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1E54AB">
      <w:pPr>
        <w:pStyle w:val="12"/>
        <w:rPr>
          <w:rFonts w:hint="default" w:ascii="Times New Roman" w:hAnsi="Times New Roman" w:cs="Times New Roman"/>
          <w:b w:val="0"/>
        </w:rPr>
      </w:pPr>
      <w:r>
        <w:rPr>
          <w:rFonts w:hint="default" w:ascii="Times New Roman" w:hAnsi="Times New Roman" w:cs="Times New Roman"/>
        </w:rPr>
        <w:t>Supplementary Material</w:t>
      </w:r>
    </w:p>
    <w:p w14:paraId="7BD219F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1 Supplementary Figures</w:t>
      </w:r>
    </w:p>
    <w:p w14:paraId="2BBACF4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Supplementary Figure1. Detailed information of the risk of bias assessment for each eligible study</w:t>
      </w:r>
    </w:p>
    <w:p w14:paraId="1191A28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Supplementary Figure2 Forest plot of each modality of exercise compared to Control</w:t>
      </w:r>
    </w:p>
    <w:p w14:paraId="42E5AE0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Supplementary Figure3. League heat plot for SBP</w:t>
      </w:r>
    </w:p>
    <w:p w14:paraId="324D122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Supplementary Figure4. League heat plot for DBP</w:t>
      </w:r>
    </w:p>
    <w:p w14:paraId="0777F40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Supplementary Figure5 Ranking superiority and NMA estimates for FMD</w:t>
      </w:r>
    </w:p>
    <w:p w14:paraId="788AD21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Supplementary Figure6 Ranking superiority and NMA estimates for PWV</w:t>
      </w:r>
    </w:p>
    <w:p w14:paraId="2CDA561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Supplementary Figure7 Fixed and random effects modeling</w:t>
      </w:r>
    </w:p>
    <w:p w14:paraId="108AE28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Supplementary Figure8. Node-splitting analysis</w:t>
      </w:r>
    </w:p>
    <w:p w14:paraId="3272ECD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Supplementary Figure9. Sensitivity analysis of the primary outcomes</w:t>
      </w:r>
    </w:p>
    <w:p w14:paraId="60EA4F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Supplementary Figure10. Plot of funnel</w:t>
      </w:r>
    </w:p>
    <w:p w14:paraId="3FF0F98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lang w:val="en-US" w:eastAsia="zh-CN"/>
        </w:rPr>
      </w:pPr>
    </w:p>
    <w:p w14:paraId="447D397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2 Supplementary Tables</w:t>
      </w:r>
    </w:p>
    <w:p w14:paraId="24E5CB9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Supplementary Table 1. PRISMA checklist</w:t>
      </w:r>
    </w:p>
    <w:p w14:paraId="018F1A3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Supplementary Table 2. Specific search strategies for each database</w:t>
      </w:r>
    </w:p>
    <w:p w14:paraId="7769EE9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Supplementary Table 3. Categories of exercise modalities</w:t>
      </w:r>
    </w:p>
    <w:p w14:paraId="1021347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Supplementary Table 4. Excluded full-text with reasons</w:t>
      </w:r>
    </w:p>
    <w:p w14:paraId="68213A6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Supplementary Table5. Meta-regression analysis results</w:t>
      </w:r>
    </w:p>
    <w:p w14:paraId="06D6456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Supplementary Table6. CINeMA confidence rating</w:t>
      </w:r>
    </w:p>
    <w:p w14:paraId="24FD6C9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lang w:val="en-US" w:eastAsia="zh-CN"/>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p>
    <w:p w14:paraId="04D877E4">
      <w:pPr>
        <w:spacing w:line="480" w:lineRule="auto"/>
        <w:rPr>
          <w:rFonts w:hint="default" w:ascii="Times New Roman" w:hAnsi="Times New Roman" w:cs="Times New Roman"/>
          <w:b/>
          <w:bCs/>
          <w:color w:val="000000" w:themeColor="text1"/>
          <w:sz w:val="28"/>
          <w:szCs w:val="36"/>
          <w14:textFill>
            <w14:solidFill>
              <w14:schemeClr w14:val="tx1"/>
            </w14:solidFill>
          </w14:textFill>
        </w:rPr>
      </w:pPr>
      <w:r>
        <w:rPr>
          <w:rFonts w:hint="default" w:ascii="Times New Roman" w:hAnsi="Times New Roman" w:cs="Times New Roman"/>
          <w:b/>
          <w:bCs/>
          <w:color w:val="000000" w:themeColor="text1"/>
          <w:sz w:val="28"/>
          <w:szCs w:val="36"/>
          <w:lang w:eastAsia="zh-CN"/>
          <w14:textFill>
            <w14:solidFill>
              <w14:schemeClr w14:val="tx1"/>
            </w14:solidFill>
          </w14:textFill>
        </w:rPr>
        <w:t>Supplementary</w:t>
      </w:r>
      <w:r>
        <w:rPr>
          <w:rFonts w:hint="default" w:ascii="Times New Roman" w:hAnsi="Times New Roman" w:cs="Times New Roman"/>
          <w:b/>
          <w:bCs/>
          <w:color w:val="000000" w:themeColor="text1"/>
          <w:sz w:val="28"/>
          <w:szCs w:val="36"/>
          <w14:textFill>
            <w14:solidFill>
              <w14:schemeClr w14:val="tx1"/>
            </w14:solidFill>
          </w14:textFill>
        </w:rPr>
        <w:t xml:space="preserve"> Table 1. PRISMA checklist</w:t>
      </w:r>
      <w:bookmarkStart w:id="83" w:name="_GoBack"/>
      <w:bookmarkEnd w:id="83"/>
    </w:p>
    <w:tbl>
      <w:tblPr>
        <w:tblStyle w:val="6"/>
        <w:tblW w:w="1389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64"/>
        <w:gridCol w:w="587"/>
        <w:gridCol w:w="11643"/>
      </w:tblGrid>
      <w:tr w14:paraId="43A1E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blHeader/>
        </w:trPr>
        <w:tc>
          <w:tcPr>
            <w:tcW w:w="1664" w:type="dxa"/>
            <w:tcBorders>
              <w:top w:val="double" w:color="000000" w:sz="4" w:space="0"/>
              <w:left w:val="single" w:color="000000" w:sz="4" w:space="0"/>
              <w:bottom w:val="double" w:color="FFFFCC" w:sz="2" w:space="0"/>
              <w:right w:val="single" w:color="000000" w:sz="4" w:space="0"/>
            </w:tcBorders>
            <w:shd w:val="clear" w:color="auto" w:fill="63639A"/>
            <w:vAlign w:val="center"/>
          </w:tcPr>
          <w:p w14:paraId="474855DE">
            <w:pPr>
              <w:pStyle w:val="1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 xml:space="preserve">Section and Topic </w:t>
            </w:r>
          </w:p>
        </w:tc>
        <w:tc>
          <w:tcPr>
            <w:tcW w:w="587" w:type="dxa"/>
            <w:tcBorders>
              <w:top w:val="double" w:color="000000" w:sz="4" w:space="0"/>
              <w:left w:val="single" w:color="000000" w:sz="4" w:space="0"/>
              <w:bottom w:val="double" w:color="FFFFCC" w:sz="2" w:space="0"/>
              <w:right w:val="single" w:color="000000" w:sz="4" w:space="0"/>
            </w:tcBorders>
            <w:shd w:val="clear" w:color="auto" w:fill="63639A"/>
            <w:vAlign w:val="center"/>
          </w:tcPr>
          <w:p w14:paraId="6993C091">
            <w:pPr>
              <w:pStyle w:val="10"/>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Item #</w:t>
            </w:r>
          </w:p>
        </w:tc>
        <w:tc>
          <w:tcPr>
            <w:tcW w:w="11643" w:type="dxa"/>
            <w:tcBorders>
              <w:top w:val="double" w:color="000000" w:sz="4" w:space="0"/>
              <w:left w:val="single" w:color="000000" w:sz="4" w:space="0"/>
              <w:bottom w:val="double" w:color="000000" w:sz="4" w:space="0"/>
              <w:right w:val="single" w:color="000000" w:sz="4" w:space="0"/>
            </w:tcBorders>
            <w:shd w:val="clear" w:color="auto" w:fill="63639A"/>
            <w:vAlign w:val="center"/>
          </w:tcPr>
          <w:p w14:paraId="6AB1D3FB">
            <w:pPr>
              <w:pStyle w:val="1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 xml:space="preserve">Checklist item </w:t>
            </w:r>
          </w:p>
        </w:tc>
      </w:tr>
      <w:tr w14:paraId="42E32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 w:hRule="atLeast"/>
        </w:trPr>
        <w:tc>
          <w:tcPr>
            <w:tcW w:w="13894" w:type="dxa"/>
            <w:gridSpan w:val="3"/>
            <w:tcBorders>
              <w:top w:val="double" w:color="000000" w:sz="4" w:space="0"/>
              <w:left w:val="single" w:color="000000" w:sz="4" w:space="0"/>
              <w:bottom w:val="single" w:color="000000" w:sz="4" w:space="0"/>
              <w:right w:val="single" w:color="000000" w:sz="4" w:space="0"/>
            </w:tcBorders>
            <w:shd w:val="clear" w:color="auto" w:fill="FFFFCC"/>
            <w:vAlign w:val="center"/>
          </w:tcPr>
          <w:p w14:paraId="6B4B65A3">
            <w:pPr>
              <w:pStyle w:val="1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 xml:space="preserve">TITLE </w:t>
            </w:r>
          </w:p>
        </w:tc>
      </w:tr>
      <w:tr w14:paraId="6D9E1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tcBorders>
              <w:top w:val="single" w:color="000000" w:sz="4" w:space="0"/>
              <w:left w:val="single" w:color="000000" w:sz="4" w:space="0"/>
              <w:bottom w:val="double" w:color="FFFFCC" w:sz="2" w:space="0"/>
              <w:right w:val="single" w:color="000000" w:sz="4" w:space="0"/>
            </w:tcBorders>
          </w:tcPr>
          <w:p w14:paraId="3A64CC53">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Title </w:t>
            </w:r>
          </w:p>
        </w:tc>
        <w:tc>
          <w:tcPr>
            <w:tcW w:w="587" w:type="dxa"/>
            <w:tcBorders>
              <w:top w:val="single" w:color="000000" w:sz="4" w:space="0"/>
              <w:left w:val="single" w:color="000000" w:sz="4" w:space="0"/>
              <w:bottom w:val="double" w:color="FFFFCC" w:sz="2" w:space="0"/>
              <w:right w:val="single" w:color="000000" w:sz="4" w:space="0"/>
            </w:tcBorders>
          </w:tcPr>
          <w:p w14:paraId="5FCBEEC6">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w:t>
            </w:r>
          </w:p>
        </w:tc>
        <w:tc>
          <w:tcPr>
            <w:tcW w:w="11643" w:type="dxa"/>
            <w:tcBorders>
              <w:top w:val="single" w:color="000000" w:sz="4" w:space="0"/>
              <w:left w:val="single" w:color="000000" w:sz="4" w:space="0"/>
              <w:bottom w:val="double" w:color="000000" w:sz="4" w:space="0"/>
              <w:right w:val="single" w:color="000000" w:sz="4" w:space="0"/>
            </w:tcBorders>
          </w:tcPr>
          <w:p w14:paraId="50738CAE">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Identify the report as a systematic review.</w:t>
            </w:r>
          </w:p>
        </w:tc>
      </w:tr>
      <w:tr w14:paraId="30481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3894" w:type="dxa"/>
            <w:gridSpan w:val="3"/>
            <w:tcBorders>
              <w:top w:val="double" w:color="000000" w:sz="4" w:space="0"/>
              <w:left w:val="single" w:color="000000" w:sz="4" w:space="0"/>
              <w:bottom w:val="single" w:color="000000" w:sz="4" w:space="0"/>
              <w:right w:val="single" w:color="000000" w:sz="4" w:space="0"/>
            </w:tcBorders>
            <w:shd w:val="clear" w:color="auto" w:fill="FFFFCC"/>
            <w:vAlign w:val="center"/>
          </w:tcPr>
          <w:p w14:paraId="30212612">
            <w:pPr>
              <w:pStyle w:val="1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 xml:space="preserve">ABSTRACT </w:t>
            </w:r>
          </w:p>
        </w:tc>
      </w:tr>
      <w:tr w14:paraId="640C9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tcBorders>
              <w:top w:val="single" w:color="000000" w:sz="4" w:space="0"/>
              <w:left w:val="single" w:color="000000" w:sz="4" w:space="0"/>
              <w:bottom w:val="double" w:color="FFFFCC" w:sz="2" w:space="0"/>
              <w:right w:val="single" w:color="000000" w:sz="4" w:space="0"/>
            </w:tcBorders>
          </w:tcPr>
          <w:p w14:paraId="374EE03A">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Abstract </w:t>
            </w:r>
          </w:p>
        </w:tc>
        <w:tc>
          <w:tcPr>
            <w:tcW w:w="587" w:type="dxa"/>
            <w:tcBorders>
              <w:top w:val="single" w:color="000000" w:sz="4" w:space="0"/>
              <w:left w:val="single" w:color="000000" w:sz="4" w:space="0"/>
              <w:bottom w:val="double" w:color="FFFFCC" w:sz="2" w:space="0"/>
              <w:right w:val="single" w:color="000000" w:sz="4" w:space="0"/>
            </w:tcBorders>
          </w:tcPr>
          <w:p w14:paraId="52AB2335">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w:t>
            </w:r>
          </w:p>
        </w:tc>
        <w:tc>
          <w:tcPr>
            <w:tcW w:w="11643" w:type="dxa"/>
            <w:tcBorders>
              <w:top w:val="single" w:color="000000" w:sz="4" w:space="0"/>
              <w:left w:val="single" w:color="000000" w:sz="4" w:space="0"/>
              <w:bottom w:val="double" w:color="000000" w:sz="4" w:space="0"/>
              <w:right w:val="single" w:color="000000" w:sz="4" w:space="0"/>
            </w:tcBorders>
          </w:tcPr>
          <w:p w14:paraId="4DE8310E">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See the </w:t>
            </w:r>
            <w:bookmarkStart w:id="0" w:name="_Hlk121925527"/>
            <w:r>
              <w:rPr>
                <w:rFonts w:hint="default" w:ascii="Times New Roman" w:hAnsi="Times New Roman" w:cs="Times New Roman"/>
                <w:color w:val="000000" w:themeColor="text1"/>
                <w:sz w:val="18"/>
                <w:szCs w:val="18"/>
                <w14:textFill>
                  <w14:solidFill>
                    <w14:schemeClr w14:val="tx1"/>
                  </w14:solidFill>
                </w14:textFill>
              </w:rPr>
              <w:t>PRISMA</w:t>
            </w:r>
            <w:bookmarkEnd w:id="0"/>
            <w:r>
              <w:rPr>
                <w:rFonts w:hint="default" w:ascii="Times New Roman" w:hAnsi="Times New Roman" w:cs="Times New Roman"/>
                <w:color w:val="000000" w:themeColor="text1"/>
                <w:sz w:val="18"/>
                <w:szCs w:val="18"/>
                <w14:textFill>
                  <w14:solidFill>
                    <w14:schemeClr w14:val="tx1"/>
                  </w14:solidFill>
                </w14:textFill>
              </w:rPr>
              <w:t xml:space="preserve"> 2020 for Abstracts checklist.</w:t>
            </w:r>
          </w:p>
        </w:tc>
      </w:tr>
      <w:tr w14:paraId="4C82F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 w:hRule="atLeast"/>
        </w:trPr>
        <w:tc>
          <w:tcPr>
            <w:tcW w:w="13894" w:type="dxa"/>
            <w:gridSpan w:val="3"/>
            <w:tcBorders>
              <w:top w:val="double" w:color="000000" w:sz="4" w:space="0"/>
              <w:left w:val="single" w:color="000000" w:sz="4" w:space="0"/>
              <w:bottom w:val="single" w:color="000000" w:sz="4" w:space="0"/>
              <w:right w:val="single" w:color="000000" w:sz="4" w:space="0"/>
            </w:tcBorders>
            <w:shd w:val="clear" w:color="auto" w:fill="FFFFCC"/>
            <w:vAlign w:val="center"/>
          </w:tcPr>
          <w:p w14:paraId="17EF49CD">
            <w:pPr>
              <w:pStyle w:val="1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 xml:space="preserve">INTRODUCTION </w:t>
            </w:r>
          </w:p>
        </w:tc>
      </w:tr>
      <w:tr w14:paraId="4C2A2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tcBorders>
              <w:top w:val="single" w:color="000000" w:sz="4" w:space="0"/>
              <w:left w:val="single" w:color="000000" w:sz="4" w:space="0"/>
              <w:bottom w:val="single" w:color="000000" w:sz="4" w:space="0"/>
              <w:right w:val="single" w:color="000000" w:sz="4" w:space="0"/>
            </w:tcBorders>
          </w:tcPr>
          <w:p w14:paraId="272D10F4">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Rationale </w:t>
            </w:r>
          </w:p>
        </w:tc>
        <w:tc>
          <w:tcPr>
            <w:tcW w:w="587" w:type="dxa"/>
            <w:tcBorders>
              <w:top w:val="single" w:color="000000" w:sz="4" w:space="0"/>
              <w:left w:val="single" w:color="000000" w:sz="4" w:space="0"/>
              <w:bottom w:val="single" w:color="000000" w:sz="4" w:space="0"/>
              <w:right w:val="single" w:color="000000" w:sz="4" w:space="0"/>
            </w:tcBorders>
          </w:tcPr>
          <w:p w14:paraId="0BDB4BDD">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3</w:t>
            </w:r>
          </w:p>
        </w:tc>
        <w:tc>
          <w:tcPr>
            <w:tcW w:w="11643" w:type="dxa"/>
            <w:tcBorders>
              <w:top w:val="single" w:color="000000" w:sz="4" w:space="0"/>
              <w:left w:val="single" w:color="000000" w:sz="4" w:space="0"/>
              <w:bottom w:val="single" w:color="000000" w:sz="4" w:space="0"/>
              <w:right w:val="single" w:color="000000" w:sz="4" w:space="0"/>
            </w:tcBorders>
          </w:tcPr>
          <w:p w14:paraId="5D4745DA">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Describe the rationale for the review in the context of existing knowledge.</w:t>
            </w:r>
          </w:p>
        </w:tc>
      </w:tr>
      <w:tr w14:paraId="2C2B3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tcBorders>
              <w:top w:val="single" w:color="000000" w:sz="4" w:space="0"/>
              <w:left w:val="single" w:color="000000" w:sz="4" w:space="0"/>
              <w:bottom w:val="double" w:color="FFFFCC" w:sz="2" w:space="0"/>
              <w:right w:val="single" w:color="000000" w:sz="4" w:space="0"/>
            </w:tcBorders>
          </w:tcPr>
          <w:p w14:paraId="2441EEB9">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Objectives </w:t>
            </w:r>
          </w:p>
        </w:tc>
        <w:tc>
          <w:tcPr>
            <w:tcW w:w="587" w:type="dxa"/>
            <w:tcBorders>
              <w:top w:val="single" w:color="000000" w:sz="4" w:space="0"/>
              <w:left w:val="single" w:color="000000" w:sz="4" w:space="0"/>
              <w:bottom w:val="double" w:color="FFFFCC" w:sz="2" w:space="0"/>
              <w:right w:val="single" w:color="000000" w:sz="4" w:space="0"/>
            </w:tcBorders>
          </w:tcPr>
          <w:p w14:paraId="7E2CCC56">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4</w:t>
            </w:r>
          </w:p>
        </w:tc>
        <w:tc>
          <w:tcPr>
            <w:tcW w:w="11643" w:type="dxa"/>
            <w:tcBorders>
              <w:top w:val="single" w:color="000000" w:sz="4" w:space="0"/>
              <w:left w:val="single" w:color="000000" w:sz="4" w:space="0"/>
              <w:bottom w:val="double" w:color="000000" w:sz="4" w:space="0"/>
              <w:right w:val="single" w:color="000000" w:sz="4" w:space="0"/>
            </w:tcBorders>
          </w:tcPr>
          <w:p w14:paraId="33592D0E">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Provide an explicit statement of the objective(s) or question(s) the review addresses.</w:t>
            </w:r>
          </w:p>
        </w:tc>
      </w:tr>
      <w:tr w14:paraId="1A497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 w:hRule="atLeast"/>
        </w:trPr>
        <w:tc>
          <w:tcPr>
            <w:tcW w:w="13894" w:type="dxa"/>
            <w:gridSpan w:val="3"/>
            <w:tcBorders>
              <w:top w:val="double" w:color="000000" w:sz="4" w:space="0"/>
              <w:left w:val="single" w:color="000000" w:sz="4" w:space="0"/>
              <w:bottom w:val="single" w:color="000000" w:sz="4" w:space="0"/>
              <w:right w:val="single" w:color="000000" w:sz="4" w:space="0"/>
            </w:tcBorders>
            <w:shd w:val="clear" w:color="auto" w:fill="FFFFCC"/>
            <w:vAlign w:val="center"/>
          </w:tcPr>
          <w:p w14:paraId="008E00CB">
            <w:pPr>
              <w:pStyle w:val="1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 xml:space="preserve">METHODS </w:t>
            </w:r>
          </w:p>
        </w:tc>
      </w:tr>
      <w:tr w14:paraId="70EF4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tcBorders>
              <w:top w:val="single" w:color="000000" w:sz="4" w:space="0"/>
              <w:left w:val="single" w:color="000000" w:sz="4" w:space="0"/>
              <w:bottom w:val="single" w:color="000000" w:sz="4" w:space="0"/>
              <w:right w:val="single" w:color="000000" w:sz="4" w:space="0"/>
            </w:tcBorders>
          </w:tcPr>
          <w:p w14:paraId="5A8BB40F">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Eligibility criteria </w:t>
            </w:r>
          </w:p>
        </w:tc>
        <w:tc>
          <w:tcPr>
            <w:tcW w:w="587" w:type="dxa"/>
            <w:tcBorders>
              <w:top w:val="single" w:color="000000" w:sz="4" w:space="0"/>
              <w:left w:val="single" w:color="000000" w:sz="4" w:space="0"/>
              <w:bottom w:val="single" w:color="000000" w:sz="4" w:space="0"/>
              <w:right w:val="single" w:color="000000" w:sz="4" w:space="0"/>
            </w:tcBorders>
          </w:tcPr>
          <w:p w14:paraId="577DC3E7">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5</w:t>
            </w:r>
          </w:p>
        </w:tc>
        <w:tc>
          <w:tcPr>
            <w:tcW w:w="11643" w:type="dxa"/>
            <w:tcBorders>
              <w:top w:val="single" w:color="000000" w:sz="4" w:space="0"/>
              <w:left w:val="single" w:color="000000" w:sz="4" w:space="0"/>
              <w:bottom w:val="single" w:color="000000" w:sz="4" w:space="0"/>
              <w:right w:val="single" w:color="000000" w:sz="4" w:space="0"/>
            </w:tcBorders>
          </w:tcPr>
          <w:p w14:paraId="7A3C7B60">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Specify the inclusion and exclusion criteria for the review and how studies were grouped for the syntheses.</w:t>
            </w:r>
          </w:p>
        </w:tc>
      </w:tr>
      <w:tr w14:paraId="1E2B8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 w:hRule="atLeast"/>
        </w:trPr>
        <w:tc>
          <w:tcPr>
            <w:tcW w:w="1664" w:type="dxa"/>
            <w:tcBorders>
              <w:top w:val="single" w:color="000000" w:sz="4" w:space="0"/>
              <w:left w:val="single" w:color="000000" w:sz="4" w:space="0"/>
              <w:bottom w:val="single" w:color="000000" w:sz="4" w:space="0"/>
              <w:right w:val="single" w:color="000000" w:sz="4" w:space="0"/>
            </w:tcBorders>
          </w:tcPr>
          <w:p w14:paraId="6D660A53">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Information sources </w:t>
            </w:r>
          </w:p>
        </w:tc>
        <w:tc>
          <w:tcPr>
            <w:tcW w:w="587" w:type="dxa"/>
            <w:tcBorders>
              <w:top w:val="single" w:color="000000" w:sz="4" w:space="0"/>
              <w:left w:val="single" w:color="000000" w:sz="4" w:space="0"/>
              <w:bottom w:val="single" w:color="000000" w:sz="4" w:space="0"/>
              <w:right w:val="single" w:color="000000" w:sz="4" w:space="0"/>
            </w:tcBorders>
          </w:tcPr>
          <w:p w14:paraId="3D611AA9">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6</w:t>
            </w:r>
          </w:p>
        </w:tc>
        <w:tc>
          <w:tcPr>
            <w:tcW w:w="11643" w:type="dxa"/>
            <w:tcBorders>
              <w:top w:val="single" w:color="000000" w:sz="4" w:space="0"/>
              <w:left w:val="single" w:color="000000" w:sz="4" w:space="0"/>
              <w:bottom w:val="single" w:color="000000" w:sz="4" w:space="0"/>
              <w:right w:val="single" w:color="000000" w:sz="4" w:space="0"/>
            </w:tcBorders>
          </w:tcPr>
          <w:p w14:paraId="473C1752">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Specify all databases, registers, websites, organisations, reference lists and other sources searched or consulted to identify studies. Specify the date when each source was last searched or consulted.</w:t>
            </w:r>
          </w:p>
        </w:tc>
      </w:tr>
      <w:tr w14:paraId="3FA94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tcBorders>
              <w:top w:val="single" w:color="000000" w:sz="4" w:space="0"/>
              <w:left w:val="single" w:color="000000" w:sz="4" w:space="0"/>
              <w:bottom w:val="single" w:color="000000" w:sz="4" w:space="0"/>
              <w:right w:val="single" w:color="000000" w:sz="4" w:space="0"/>
            </w:tcBorders>
          </w:tcPr>
          <w:p w14:paraId="1A76C664">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Search strategy</w:t>
            </w:r>
          </w:p>
        </w:tc>
        <w:tc>
          <w:tcPr>
            <w:tcW w:w="587" w:type="dxa"/>
            <w:tcBorders>
              <w:top w:val="single" w:color="000000" w:sz="4" w:space="0"/>
              <w:left w:val="single" w:color="000000" w:sz="4" w:space="0"/>
              <w:bottom w:val="single" w:color="000000" w:sz="4" w:space="0"/>
              <w:right w:val="single" w:color="000000" w:sz="4" w:space="0"/>
            </w:tcBorders>
          </w:tcPr>
          <w:p w14:paraId="5B2D59CD">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7</w:t>
            </w:r>
          </w:p>
        </w:tc>
        <w:tc>
          <w:tcPr>
            <w:tcW w:w="11643" w:type="dxa"/>
            <w:tcBorders>
              <w:top w:val="single" w:color="000000" w:sz="4" w:space="0"/>
              <w:left w:val="single" w:color="000000" w:sz="4" w:space="0"/>
              <w:bottom w:val="single" w:color="000000" w:sz="4" w:space="0"/>
              <w:right w:val="single" w:color="000000" w:sz="4" w:space="0"/>
            </w:tcBorders>
          </w:tcPr>
          <w:p w14:paraId="0CE99108">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Present the full search strategies for all databases, registers and websites, including any filters and limits used.</w:t>
            </w:r>
          </w:p>
        </w:tc>
      </w:tr>
      <w:tr w14:paraId="76B36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tcBorders>
              <w:top w:val="single" w:color="000000" w:sz="4" w:space="0"/>
              <w:left w:val="single" w:color="000000" w:sz="4" w:space="0"/>
              <w:bottom w:val="single" w:color="000000" w:sz="4" w:space="0"/>
              <w:right w:val="single" w:color="000000" w:sz="4" w:space="0"/>
            </w:tcBorders>
          </w:tcPr>
          <w:p w14:paraId="30991475">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Selection process</w:t>
            </w:r>
          </w:p>
        </w:tc>
        <w:tc>
          <w:tcPr>
            <w:tcW w:w="587" w:type="dxa"/>
            <w:tcBorders>
              <w:top w:val="single" w:color="000000" w:sz="4" w:space="0"/>
              <w:left w:val="single" w:color="000000" w:sz="4" w:space="0"/>
              <w:bottom w:val="single" w:color="000000" w:sz="4" w:space="0"/>
              <w:right w:val="single" w:color="000000" w:sz="4" w:space="0"/>
            </w:tcBorders>
          </w:tcPr>
          <w:p w14:paraId="22BD31EF">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8</w:t>
            </w:r>
          </w:p>
        </w:tc>
        <w:tc>
          <w:tcPr>
            <w:tcW w:w="11643" w:type="dxa"/>
            <w:tcBorders>
              <w:top w:val="single" w:color="000000" w:sz="4" w:space="0"/>
              <w:left w:val="single" w:color="000000" w:sz="4" w:space="0"/>
              <w:bottom w:val="single" w:color="000000" w:sz="4" w:space="0"/>
              <w:right w:val="single" w:color="000000" w:sz="4" w:space="0"/>
            </w:tcBorders>
          </w:tcPr>
          <w:p w14:paraId="6A62F566">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r>
      <w:tr w14:paraId="42FC3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 w:hRule="atLeast"/>
        </w:trPr>
        <w:tc>
          <w:tcPr>
            <w:tcW w:w="1664" w:type="dxa"/>
            <w:tcBorders>
              <w:top w:val="single" w:color="000000" w:sz="4" w:space="0"/>
              <w:left w:val="single" w:color="000000" w:sz="4" w:space="0"/>
              <w:bottom w:val="single" w:color="000000" w:sz="4" w:space="0"/>
              <w:right w:val="single" w:color="000000" w:sz="4" w:space="0"/>
            </w:tcBorders>
          </w:tcPr>
          <w:p w14:paraId="271A60F4">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Data collection process </w:t>
            </w:r>
          </w:p>
        </w:tc>
        <w:tc>
          <w:tcPr>
            <w:tcW w:w="587" w:type="dxa"/>
            <w:tcBorders>
              <w:top w:val="single" w:color="000000" w:sz="4" w:space="0"/>
              <w:left w:val="single" w:color="000000" w:sz="4" w:space="0"/>
              <w:bottom w:val="single" w:color="000000" w:sz="4" w:space="0"/>
              <w:right w:val="single" w:color="000000" w:sz="4" w:space="0"/>
            </w:tcBorders>
          </w:tcPr>
          <w:p w14:paraId="06CA132D">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9</w:t>
            </w:r>
          </w:p>
        </w:tc>
        <w:tc>
          <w:tcPr>
            <w:tcW w:w="11643" w:type="dxa"/>
            <w:tcBorders>
              <w:top w:val="single" w:color="000000" w:sz="4" w:space="0"/>
              <w:left w:val="single" w:color="000000" w:sz="4" w:space="0"/>
              <w:bottom w:val="single" w:color="000000" w:sz="4" w:space="0"/>
              <w:right w:val="single" w:color="000000" w:sz="4" w:space="0"/>
            </w:tcBorders>
          </w:tcPr>
          <w:p w14:paraId="2D9519F5">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r>
      <w:tr w14:paraId="5C9D9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vMerge w:val="restart"/>
            <w:tcBorders>
              <w:top w:val="single" w:color="000000" w:sz="4" w:space="0"/>
              <w:left w:val="single" w:color="000000" w:sz="4" w:space="0"/>
              <w:right w:val="single" w:color="000000" w:sz="4" w:space="0"/>
            </w:tcBorders>
          </w:tcPr>
          <w:p w14:paraId="2D7F7ECD">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Data items </w:t>
            </w:r>
          </w:p>
        </w:tc>
        <w:tc>
          <w:tcPr>
            <w:tcW w:w="587" w:type="dxa"/>
            <w:tcBorders>
              <w:top w:val="single" w:color="000000" w:sz="4" w:space="0"/>
              <w:left w:val="single" w:color="000000" w:sz="4" w:space="0"/>
              <w:bottom w:val="single" w:color="000000" w:sz="4" w:space="0"/>
              <w:right w:val="single" w:color="000000" w:sz="4" w:space="0"/>
            </w:tcBorders>
          </w:tcPr>
          <w:p w14:paraId="1977A20E">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10a</w:t>
            </w:r>
          </w:p>
        </w:tc>
        <w:tc>
          <w:tcPr>
            <w:tcW w:w="11643" w:type="dxa"/>
            <w:tcBorders>
              <w:top w:val="single" w:color="000000" w:sz="4" w:space="0"/>
              <w:left w:val="single" w:color="000000" w:sz="4" w:space="0"/>
              <w:bottom w:val="single" w:color="000000" w:sz="4" w:space="0"/>
              <w:right w:val="single" w:color="000000" w:sz="4" w:space="0"/>
            </w:tcBorders>
          </w:tcPr>
          <w:p w14:paraId="24E364E3">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r>
      <w:tr w14:paraId="4098F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vMerge w:val="continue"/>
            <w:tcBorders>
              <w:left w:val="single" w:color="000000" w:sz="4" w:space="0"/>
              <w:bottom w:val="single" w:color="000000" w:sz="4" w:space="0"/>
              <w:right w:val="single" w:color="000000" w:sz="4" w:space="0"/>
            </w:tcBorders>
          </w:tcPr>
          <w:p w14:paraId="6A19BBE0">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p>
        </w:tc>
        <w:tc>
          <w:tcPr>
            <w:tcW w:w="587" w:type="dxa"/>
            <w:tcBorders>
              <w:top w:val="single" w:color="000000" w:sz="4" w:space="0"/>
              <w:left w:val="single" w:color="000000" w:sz="4" w:space="0"/>
              <w:bottom w:val="single" w:color="000000" w:sz="4" w:space="0"/>
              <w:right w:val="single" w:color="000000" w:sz="4" w:space="0"/>
            </w:tcBorders>
          </w:tcPr>
          <w:p w14:paraId="222EA3FF">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10b</w:t>
            </w:r>
          </w:p>
        </w:tc>
        <w:tc>
          <w:tcPr>
            <w:tcW w:w="11643" w:type="dxa"/>
            <w:tcBorders>
              <w:top w:val="single" w:color="000000" w:sz="4" w:space="0"/>
              <w:left w:val="single" w:color="000000" w:sz="4" w:space="0"/>
              <w:bottom w:val="single" w:color="000000" w:sz="4" w:space="0"/>
              <w:right w:val="single" w:color="000000" w:sz="4" w:space="0"/>
            </w:tcBorders>
          </w:tcPr>
          <w:p w14:paraId="67F0D1ED">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List and define all other variables for which data were sought (e.g. participant and intervention characteristics, funding sources). Describe any assumptions made about any missing or unclear information.</w:t>
            </w:r>
          </w:p>
        </w:tc>
      </w:tr>
      <w:tr w14:paraId="7982E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tcBorders>
              <w:top w:val="single" w:color="000000" w:sz="4" w:space="0"/>
              <w:left w:val="single" w:color="000000" w:sz="4" w:space="0"/>
              <w:bottom w:val="single" w:color="000000" w:sz="4" w:space="0"/>
              <w:right w:val="single" w:color="000000" w:sz="4" w:space="0"/>
            </w:tcBorders>
          </w:tcPr>
          <w:p w14:paraId="2A5E4628">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Study risk of bias assessment</w:t>
            </w:r>
          </w:p>
        </w:tc>
        <w:tc>
          <w:tcPr>
            <w:tcW w:w="587" w:type="dxa"/>
            <w:tcBorders>
              <w:top w:val="single" w:color="000000" w:sz="4" w:space="0"/>
              <w:left w:val="single" w:color="000000" w:sz="4" w:space="0"/>
              <w:bottom w:val="single" w:color="000000" w:sz="4" w:space="0"/>
              <w:right w:val="single" w:color="000000" w:sz="4" w:space="0"/>
            </w:tcBorders>
          </w:tcPr>
          <w:p w14:paraId="072161E4">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11</w:t>
            </w:r>
          </w:p>
        </w:tc>
        <w:tc>
          <w:tcPr>
            <w:tcW w:w="11643" w:type="dxa"/>
            <w:tcBorders>
              <w:top w:val="single" w:color="000000" w:sz="4" w:space="0"/>
              <w:left w:val="single" w:color="000000" w:sz="4" w:space="0"/>
              <w:bottom w:val="single" w:color="000000" w:sz="4" w:space="0"/>
              <w:right w:val="single" w:color="000000" w:sz="4" w:space="0"/>
            </w:tcBorders>
          </w:tcPr>
          <w:p w14:paraId="05DE6AE5">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Specify the methods used to assess risk of bias in the included studies, including details of the tool(s) used, how many reviewers assessed each study and whether they worked independently, and if applicable, details of automation tools used in the process.</w:t>
            </w:r>
          </w:p>
        </w:tc>
      </w:tr>
      <w:tr w14:paraId="3F725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tcBorders>
              <w:top w:val="single" w:color="000000" w:sz="4" w:space="0"/>
              <w:left w:val="single" w:color="000000" w:sz="4" w:space="0"/>
              <w:bottom w:val="single" w:color="000000" w:sz="4" w:space="0"/>
              <w:right w:val="single" w:color="000000" w:sz="4" w:space="0"/>
            </w:tcBorders>
          </w:tcPr>
          <w:p w14:paraId="3CE5BEFC">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Effect measures </w:t>
            </w:r>
          </w:p>
        </w:tc>
        <w:tc>
          <w:tcPr>
            <w:tcW w:w="587" w:type="dxa"/>
            <w:tcBorders>
              <w:top w:val="single" w:color="000000" w:sz="4" w:space="0"/>
              <w:left w:val="single" w:color="000000" w:sz="4" w:space="0"/>
              <w:bottom w:val="single" w:color="000000" w:sz="4" w:space="0"/>
              <w:right w:val="single" w:color="000000" w:sz="4" w:space="0"/>
            </w:tcBorders>
          </w:tcPr>
          <w:p w14:paraId="0BAB1A3A">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12</w:t>
            </w:r>
          </w:p>
        </w:tc>
        <w:tc>
          <w:tcPr>
            <w:tcW w:w="11643" w:type="dxa"/>
            <w:tcBorders>
              <w:top w:val="single" w:color="000000" w:sz="4" w:space="0"/>
              <w:left w:val="single" w:color="000000" w:sz="4" w:space="0"/>
              <w:bottom w:val="single" w:color="000000" w:sz="4" w:space="0"/>
              <w:right w:val="single" w:color="000000" w:sz="4" w:space="0"/>
            </w:tcBorders>
          </w:tcPr>
          <w:p w14:paraId="7B37B974">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Specify for each outcome the effect measure(s) (e.g. risk ratio, mean difference) used in the synthesis or presentation of results.</w:t>
            </w:r>
          </w:p>
        </w:tc>
      </w:tr>
      <w:tr w14:paraId="6C004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vMerge w:val="restart"/>
            <w:tcBorders>
              <w:top w:val="single" w:color="000000" w:sz="4" w:space="0"/>
              <w:left w:val="single" w:color="000000" w:sz="4" w:space="0"/>
              <w:right w:val="single" w:color="000000" w:sz="4" w:space="0"/>
            </w:tcBorders>
          </w:tcPr>
          <w:p w14:paraId="6F054FF4">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Synthesis methods</w:t>
            </w:r>
          </w:p>
        </w:tc>
        <w:tc>
          <w:tcPr>
            <w:tcW w:w="587" w:type="dxa"/>
            <w:tcBorders>
              <w:top w:val="single" w:color="000000" w:sz="4" w:space="0"/>
              <w:left w:val="single" w:color="000000" w:sz="4" w:space="0"/>
              <w:bottom w:val="single" w:color="000000" w:sz="4" w:space="0"/>
              <w:right w:val="single" w:color="000000" w:sz="4" w:space="0"/>
            </w:tcBorders>
          </w:tcPr>
          <w:p w14:paraId="1C19C6A5">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13a</w:t>
            </w:r>
          </w:p>
        </w:tc>
        <w:tc>
          <w:tcPr>
            <w:tcW w:w="11643" w:type="dxa"/>
            <w:tcBorders>
              <w:top w:val="single" w:color="000000" w:sz="4" w:space="0"/>
              <w:left w:val="single" w:color="000000" w:sz="4" w:space="0"/>
              <w:bottom w:val="single" w:color="000000" w:sz="4" w:space="0"/>
              <w:right w:val="single" w:color="000000" w:sz="4" w:space="0"/>
            </w:tcBorders>
          </w:tcPr>
          <w:p w14:paraId="7D6238AA">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Describe the processes used to decide which studies were eligible for each synthesis (e.g. tabulating the study intervention characteristics and comparing against the planned groups for each synthesis ).</w:t>
            </w:r>
          </w:p>
        </w:tc>
      </w:tr>
      <w:tr w14:paraId="01250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vMerge w:val="continue"/>
            <w:tcBorders>
              <w:left w:val="single" w:color="000000" w:sz="4" w:space="0"/>
              <w:right w:val="single" w:color="000000" w:sz="4" w:space="0"/>
            </w:tcBorders>
          </w:tcPr>
          <w:p w14:paraId="7212A97E">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p>
        </w:tc>
        <w:tc>
          <w:tcPr>
            <w:tcW w:w="587" w:type="dxa"/>
            <w:tcBorders>
              <w:top w:val="single" w:color="000000" w:sz="4" w:space="0"/>
              <w:left w:val="single" w:color="000000" w:sz="4" w:space="0"/>
              <w:bottom w:val="single" w:color="000000" w:sz="4" w:space="0"/>
              <w:right w:val="single" w:color="000000" w:sz="4" w:space="0"/>
            </w:tcBorders>
          </w:tcPr>
          <w:p w14:paraId="26EEFC2D">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13b</w:t>
            </w:r>
          </w:p>
        </w:tc>
        <w:tc>
          <w:tcPr>
            <w:tcW w:w="11643" w:type="dxa"/>
            <w:tcBorders>
              <w:top w:val="single" w:color="000000" w:sz="4" w:space="0"/>
              <w:left w:val="single" w:color="000000" w:sz="4" w:space="0"/>
              <w:bottom w:val="single" w:color="000000" w:sz="4" w:space="0"/>
              <w:right w:val="single" w:color="000000" w:sz="4" w:space="0"/>
            </w:tcBorders>
          </w:tcPr>
          <w:p w14:paraId="351A838C">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Describe any methods required to prepare the data for presentation or synthesis, such as handling of missing summary statistics, or data conversions.</w:t>
            </w:r>
          </w:p>
        </w:tc>
      </w:tr>
      <w:tr w14:paraId="238F5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vMerge w:val="continue"/>
            <w:tcBorders>
              <w:left w:val="single" w:color="000000" w:sz="4" w:space="0"/>
              <w:right w:val="single" w:color="000000" w:sz="4" w:space="0"/>
            </w:tcBorders>
          </w:tcPr>
          <w:p w14:paraId="2AE66E3B">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p>
        </w:tc>
        <w:tc>
          <w:tcPr>
            <w:tcW w:w="587" w:type="dxa"/>
            <w:tcBorders>
              <w:top w:val="single" w:color="000000" w:sz="4" w:space="0"/>
              <w:left w:val="single" w:color="000000" w:sz="4" w:space="0"/>
              <w:bottom w:val="single" w:color="000000" w:sz="4" w:space="0"/>
              <w:right w:val="single" w:color="000000" w:sz="4" w:space="0"/>
            </w:tcBorders>
          </w:tcPr>
          <w:p w14:paraId="791BCE49">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13c</w:t>
            </w:r>
          </w:p>
        </w:tc>
        <w:tc>
          <w:tcPr>
            <w:tcW w:w="11643" w:type="dxa"/>
            <w:tcBorders>
              <w:top w:val="single" w:color="000000" w:sz="4" w:space="0"/>
              <w:left w:val="single" w:color="000000" w:sz="4" w:space="0"/>
              <w:bottom w:val="single" w:color="000000" w:sz="4" w:space="0"/>
              <w:right w:val="single" w:color="000000" w:sz="4" w:space="0"/>
            </w:tcBorders>
          </w:tcPr>
          <w:p w14:paraId="78E56D7E">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Describe any methods used to tabulate or visually display results of individual studies and syntheses.</w:t>
            </w:r>
          </w:p>
        </w:tc>
      </w:tr>
      <w:tr w14:paraId="45CC2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vMerge w:val="continue"/>
            <w:tcBorders>
              <w:left w:val="single" w:color="000000" w:sz="4" w:space="0"/>
              <w:right w:val="single" w:color="000000" w:sz="4" w:space="0"/>
            </w:tcBorders>
          </w:tcPr>
          <w:p w14:paraId="100C0C87">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p>
        </w:tc>
        <w:tc>
          <w:tcPr>
            <w:tcW w:w="587" w:type="dxa"/>
            <w:tcBorders>
              <w:top w:val="single" w:color="000000" w:sz="4" w:space="0"/>
              <w:left w:val="single" w:color="000000" w:sz="4" w:space="0"/>
              <w:bottom w:val="single" w:color="000000" w:sz="4" w:space="0"/>
              <w:right w:val="single" w:color="000000" w:sz="4" w:space="0"/>
            </w:tcBorders>
          </w:tcPr>
          <w:p w14:paraId="11CB317E">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13d</w:t>
            </w:r>
          </w:p>
        </w:tc>
        <w:tc>
          <w:tcPr>
            <w:tcW w:w="11643" w:type="dxa"/>
            <w:tcBorders>
              <w:top w:val="single" w:color="000000" w:sz="4" w:space="0"/>
              <w:left w:val="single" w:color="000000" w:sz="4" w:space="0"/>
              <w:bottom w:val="single" w:color="000000" w:sz="4" w:space="0"/>
              <w:right w:val="single" w:color="000000" w:sz="4" w:space="0"/>
            </w:tcBorders>
          </w:tcPr>
          <w:p w14:paraId="4796055E">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Describe any methods used to synthesize results and provide a rationale for the choice(s). If meta-analysis was performed, describe the model(s), method(s) to identify the presence and extent of statistical heterogeneity, and software package(s) used.</w:t>
            </w:r>
          </w:p>
        </w:tc>
      </w:tr>
      <w:tr w14:paraId="4E829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vMerge w:val="continue"/>
            <w:tcBorders>
              <w:left w:val="single" w:color="000000" w:sz="4" w:space="0"/>
              <w:right w:val="single" w:color="000000" w:sz="4" w:space="0"/>
            </w:tcBorders>
          </w:tcPr>
          <w:p w14:paraId="2C8B2752">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p>
        </w:tc>
        <w:tc>
          <w:tcPr>
            <w:tcW w:w="587" w:type="dxa"/>
            <w:tcBorders>
              <w:top w:val="single" w:color="000000" w:sz="4" w:space="0"/>
              <w:left w:val="single" w:color="000000" w:sz="4" w:space="0"/>
              <w:bottom w:val="single" w:color="000000" w:sz="4" w:space="0"/>
              <w:right w:val="single" w:color="000000" w:sz="4" w:space="0"/>
            </w:tcBorders>
          </w:tcPr>
          <w:p w14:paraId="44DC504E">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13e</w:t>
            </w:r>
          </w:p>
        </w:tc>
        <w:tc>
          <w:tcPr>
            <w:tcW w:w="11643" w:type="dxa"/>
            <w:tcBorders>
              <w:top w:val="single" w:color="000000" w:sz="4" w:space="0"/>
              <w:left w:val="single" w:color="000000" w:sz="4" w:space="0"/>
              <w:bottom w:val="single" w:color="000000" w:sz="4" w:space="0"/>
              <w:right w:val="single" w:color="000000" w:sz="4" w:space="0"/>
            </w:tcBorders>
          </w:tcPr>
          <w:p w14:paraId="7617E1DA">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Describe any methods used to explore possible causes of heterogeneity among study results (e.g. subgroup analysis, meta-regression).</w:t>
            </w:r>
          </w:p>
        </w:tc>
      </w:tr>
      <w:tr w14:paraId="37EAF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 w:hRule="atLeast"/>
        </w:trPr>
        <w:tc>
          <w:tcPr>
            <w:tcW w:w="1664" w:type="dxa"/>
            <w:vMerge w:val="continue"/>
            <w:tcBorders>
              <w:left w:val="single" w:color="000000" w:sz="4" w:space="0"/>
              <w:bottom w:val="single" w:color="000000" w:sz="4" w:space="0"/>
              <w:right w:val="single" w:color="000000" w:sz="4" w:space="0"/>
            </w:tcBorders>
          </w:tcPr>
          <w:p w14:paraId="1AC897BD">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p>
        </w:tc>
        <w:tc>
          <w:tcPr>
            <w:tcW w:w="587" w:type="dxa"/>
            <w:tcBorders>
              <w:top w:val="single" w:color="000000" w:sz="4" w:space="0"/>
              <w:left w:val="single" w:color="000000" w:sz="4" w:space="0"/>
              <w:bottom w:val="single" w:color="000000" w:sz="4" w:space="0"/>
              <w:right w:val="single" w:color="000000" w:sz="4" w:space="0"/>
            </w:tcBorders>
          </w:tcPr>
          <w:p w14:paraId="6B93EBF4">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13f</w:t>
            </w:r>
          </w:p>
        </w:tc>
        <w:tc>
          <w:tcPr>
            <w:tcW w:w="11643" w:type="dxa"/>
            <w:tcBorders>
              <w:top w:val="single" w:color="000000" w:sz="4" w:space="0"/>
              <w:left w:val="single" w:color="000000" w:sz="4" w:space="0"/>
              <w:bottom w:val="single" w:color="000000" w:sz="4" w:space="0"/>
              <w:right w:val="single" w:color="000000" w:sz="4" w:space="0"/>
            </w:tcBorders>
          </w:tcPr>
          <w:p w14:paraId="78CB3D8F">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Describe any sensitivity analyses conducted to assess robustness of the synthesized results.</w:t>
            </w:r>
          </w:p>
        </w:tc>
      </w:tr>
      <w:tr w14:paraId="6DBC8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tcBorders>
              <w:top w:val="single" w:color="000000" w:sz="4" w:space="0"/>
              <w:left w:val="single" w:color="000000" w:sz="4" w:space="0"/>
              <w:bottom w:val="single" w:color="000000" w:sz="4" w:space="0"/>
              <w:right w:val="single" w:color="000000" w:sz="4" w:space="0"/>
            </w:tcBorders>
          </w:tcPr>
          <w:p w14:paraId="7140F23D">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Reporting bias assessment</w:t>
            </w:r>
          </w:p>
        </w:tc>
        <w:tc>
          <w:tcPr>
            <w:tcW w:w="587" w:type="dxa"/>
            <w:tcBorders>
              <w:top w:val="single" w:color="000000" w:sz="4" w:space="0"/>
              <w:left w:val="single" w:color="000000" w:sz="4" w:space="0"/>
              <w:bottom w:val="single" w:color="000000" w:sz="4" w:space="0"/>
              <w:right w:val="single" w:color="000000" w:sz="4" w:space="0"/>
            </w:tcBorders>
          </w:tcPr>
          <w:p w14:paraId="22C3E51B">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14</w:t>
            </w:r>
          </w:p>
        </w:tc>
        <w:tc>
          <w:tcPr>
            <w:tcW w:w="11643" w:type="dxa"/>
            <w:tcBorders>
              <w:top w:val="single" w:color="000000" w:sz="4" w:space="0"/>
              <w:left w:val="single" w:color="000000" w:sz="4" w:space="0"/>
              <w:bottom w:val="single" w:color="000000" w:sz="4" w:space="0"/>
              <w:right w:val="single" w:color="000000" w:sz="4" w:space="0"/>
            </w:tcBorders>
          </w:tcPr>
          <w:p w14:paraId="17429AAB">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Describe any methods used to assess risk of bias due to missing results in a synthesis (arising from reporting biases).</w:t>
            </w:r>
          </w:p>
        </w:tc>
      </w:tr>
      <w:tr w14:paraId="63F0D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tcBorders>
              <w:top w:val="single" w:color="000000" w:sz="4" w:space="0"/>
              <w:left w:val="single" w:color="000000" w:sz="4" w:space="0"/>
              <w:bottom w:val="single" w:color="000000" w:sz="4" w:space="0"/>
              <w:right w:val="single" w:color="000000" w:sz="4" w:space="0"/>
            </w:tcBorders>
          </w:tcPr>
          <w:p w14:paraId="20A4BB72">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Certainty assessment</w:t>
            </w:r>
          </w:p>
        </w:tc>
        <w:tc>
          <w:tcPr>
            <w:tcW w:w="587" w:type="dxa"/>
            <w:tcBorders>
              <w:top w:val="single" w:color="000000" w:sz="4" w:space="0"/>
              <w:left w:val="single" w:color="000000" w:sz="4" w:space="0"/>
              <w:bottom w:val="single" w:color="000000" w:sz="4" w:space="0"/>
              <w:right w:val="single" w:color="000000" w:sz="4" w:space="0"/>
            </w:tcBorders>
          </w:tcPr>
          <w:p w14:paraId="2D2BF84F">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15</w:t>
            </w:r>
          </w:p>
        </w:tc>
        <w:tc>
          <w:tcPr>
            <w:tcW w:w="11643" w:type="dxa"/>
            <w:tcBorders>
              <w:top w:val="single" w:color="000000" w:sz="4" w:space="0"/>
              <w:left w:val="single" w:color="000000" w:sz="4" w:space="0"/>
              <w:bottom w:val="single" w:color="000000" w:sz="4" w:space="0"/>
              <w:right w:val="single" w:color="000000" w:sz="4" w:space="0"/>
            </w:tcBorders>
          </w:tcPr>
          <w:p w14:paraId="19E166E8">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Describe any methods used to assess certainty (or confidence) in the body of evidence for an outcome.</w:t>
            </w:r>
          </w:p>
        </w:tc>
      </w:tr>
      <w:tr w14:paraId="031E5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 w:hRule="atLeast"/>
        </w:trPr>
        <w:tc>
          <w:tcPr>
            <w:tcW w:w="13894" w:type="dxa"/>
            <w:gridSpan w:val="3"/>
            <w:tcBorders>
              <w:top w:val="double" w:color="000000" w:sz="4" w:space="0"/>
              <w:left w:val="single" w:color="000000" w:sz="4" w:space="0"/>
              <w:bottom w:val="single" w:color="000000" w:sz="4" w:space="0"/>
              <w:right w:val="single" w:color="000000" w:sz="4" w:space="0"/>
            </w:tcBorders>
            <w:shd w:val="clear" w:color="auto" w:fill="FFFFCC"/>
            <w:vAlign w:val="center"/>
          </w:tcPr>
          <w:p w14:paraId="349B62BB">
            <w:pPr>
              <w:pStyle w:val="1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 xml:space="preserve">RESULTS </w:t>
            </w:r>
          </w:p>
        </w:tc>
      </w:tr>
      <w:tr w14:paraId="5B83C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vMerge w:val="restart"/>
            <w:tcBorders>
              <w:top w:val="single" w:color="000000" w:sz="4" w:space="0"/>
              <w:left w:val="single" w:color="000000" w:sz="4" w:space="0"/>
              <w:right w:val="single" w:color="000000" w:sz="4" w:space="0"/>
            </w:tcBorders>
          </w:tcPr>
          <w:p w14:paraId="12433895">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Study selection </w:t>
            </w:r>
          </w:p>
        </w:tc>
        <w:tc>
          <w:tcPr>
            <w:tcW w:w="587" w:type="dxa"/>
            <w:tcBorders>
              <w:top w:val="single" w:color="000000" w:sz="4" w:space="0"/>
              <w:left w:val="single" w:color="000000" w:sz="4" w:space="0"/>
              <w:bottom w:val="single" w:color="000000" w:sz="4" w:space="0"/>
              <w:right w:val="single" w:color="000000" w:sz="4" w:space="0"/>
            </w:tcBorders>
          </w:tcPr>
          <w:p w14:paraId="7A81EF16">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16a</w:t>
            </w:r>
          </w:p>
        </w:tc>
        <w:tc>
          <w:tcPr>
            <w:tcW w:w="11643" w:type="dxa"/>
            <w:tcBorders>
              <w:top w:val="single" w:color="000000" w:sz="4" w:space="0"/>
              <w:left w:val="single" w:color="000000" w:sz="4" w:space="0"/>
              <w:bottom w:val="single" w:color="000000" w:sz="4" w:space="0"/>
              <w:right w:val="single" w:color="000000" w:sz="4" w:space="0"/>
            </w:tcBorders>
          </w:tcPr>
          <w:p w14:paraId="290FE812">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Describe the results of the search and selection process, from the number of records identified in the search to the number of studies included in the review, ideally using a flow diagram.</w:t>
            </w:r>
          </w:p>
        </w:tc>
      </w:tr>
      <w:tr w14:paraId="697EA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vMerge w:val="continue"/>
            <w:tcBorders>
              <w:left w:val="single" w:color="000000" w:sz="4" w:space="0"/>
              <w:bottom w:val="single" w:color="000000" w:sz="4" w:space="0"/>
              <w:right w:val="single" w:color="000000" w:sz="4" w:space="0"/>
            </w:tcBorders>
          </w:tcPr>
          <w:p w14:paraId="5C544BDE">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p>
        </w:tc>
        <w:tc>
          <w:tcPr>
            <w:tcW w:w="587" w:type="dxa"/>
            <w:tcBorders>
              <w:top w:val="single" w:color="000000" w:sz="4" w:space="0"/>
              <w:left w:val="single" w:color="000000" w:sz="4" w:space="0"/>
              <w:bottom w:val="single" w:color="000000" w:sz="4" w:space="0"/>
              <w:right w:val="single" w:color="000000" w:sz="4" w:space="0"/>
            </w:tcBorders>
          </w:tcPr>
          <w:p w14:paraId="2A95BB54">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16b</w:t>
            </w:r>
          </w:p>
        </w:tc>
        <w:tc>
          <w:tcPr>
            <w:tcW w:w="11643" w:type="dxa"/>
            <w:tcBorders>
              <w:top w:val="single" w:color="000000" w:sz="4" w:space="0"/>
              <w:left w:val="single" w:color="000000" w:sz="4" w:space="0"/>
              <w:bottom w:val="single" w:color="000000" w:sz="4" w:space="0"/>
              <w:right w:val="single" w:color="000000" w:sz="4" w:space="0"/>
            </w:tcBorders>
          </w:tcPr>
          <w:p w14:paraId="63DA2767">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Cite studies that might appear to meet the inclusion criteria, but which were excluded, and explain why they were excluded.</w:t>
            </w:r>
          </w:p>
        </w:tc>
      </w:tr>
      <w:tr w14:paraId="3B0DC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 w:hRule="atLeast"/>
        </w:trPr>
        <w:tc>
          <w:tcPr>
            <w:tcW w:w="1664" w:type="dxa"/>
            <w:tcBorders>
              <w:top w:val="single" w:color="000000" w:sz="4" w:space="0"/>
              <w:left w:val="single" w:color="000000" w:sz="4" w:space="0"/>
              <w:bottom w:val="single" w:color="000000" w:sz="4" w:space="0"/>
              <w:right w:val="single" w:color="000000" w:sz="4" w:space="0"/>
            </w:tcBorders>
          </w:tcPr>
          <w:p w14:paraId="7EB92CD7">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Study characteristics </w:t>
            </w:r>
          </w:p>
        </w:tc>
        <w:tc>
          <w:tcPr>
            <w:tcW w:w="587" w:type="dxa"/>
            <w:tcBorders>
              <w:top w:val="single" w:color="000000" w:sz="4" w:space="0"/>
              <w:left w:val="single" w:color="000000" w:sz="4" w:space="0"/>
              <w:bottom w:val="single" w:color="000000" w:sz="4" w:space="0"/>
              <w:right w:val="single" w:color="000000" w:sz="4" w:space="0"/>
            </w:tcBorders>
          </w:tcPr>
          <w:p w14:paraId="02D61A57">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17</w:t>
            </w:r>
          </w:p>
        </w:tc>
        <w:tc>
          <w:tcPr>
            <w:tcW w:w="11643" w:type="dxa"/>
            <w:tcBorders>
              <w:top w:val="single" w:color="000000" w:sz="4" w:space="0"/>
              <w:left w:val="single" w:color="000000" w:sz="4" w:space="0"/>
              <w:bottom w:val="single" w:color="000000" w:sz="4" w:space="0"/>
              <w:right w:val="single" w:color="000000" w:sz="4" w:space="0"/>
            </w:tcBorders>
          </w:tcPr>
          <w:p w14:paraId="4028B6FB">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Cite each included study and present its characteristics.</w:t>
            </w:r>
          </w:p>
        </w:tc>
      </w:tr>
      <w:tr w14:paraId="4DB15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tcBorders>
              <w:top w:val="single" w:color="000000" w:sz="4" w:space="0"/>
              <w:left w:val="single" w:color="000000" w:sz="4" w:space="0"/>
              <w:bottom w:val="single" w:color="000000" w:sz="4" w:space="0"/>
              <w:right w:val="single" w:color="000000" w:sz="4" w:space="0"/>
            </w:tcBorders>
          </w:tcPr>
          <w:p w14:paraId="1627AE10">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Risk of bias in studies </w:t>
            </w:r>
          </w:p>
        </w:tc>
        <w:tc>
          <w:tcPr>
            <w:tcW w:w="587" w:type="dxa"/>
            <w:tcBorders>
              <w:top w:val="single" w:color="000000" w:sz="4" w:space="0"/>
              <w:left w:val="single" w:color="000000" w:sz="4" w:space="0"/>
              <w:bottom w:val="single" w:color="000000" w:sz="4" w:space="0"/>
              <w:right w:val="single" w:color="000000" w:sz="4" w:space="0"/>
            </w:tcBorders>
          </w:tcPr>
          <w:p w14:paraId="68EAF0E3">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18</w:t>
            </w:r>
          </w:p>
        </w:tc>
        <w:tc>
          <w:tcPr>
            <w:tcW w:w="11643" w:type="dxa"/>
            <w:tcBorders>
              <w:top w:val="single" w:color="000000" w:sz="4" w:space="0"/>
              <w:left w:val="single" w:color="000000" w:sz="4" w:space="0"/>
              <w:bottom w:val="single" w:color="000000" w:sz="4" w:space="0"/>
              <w:right w:val="single" w:color="000000" w:sz="4" w:space="0"/>
            </w:tcBorders>
          </w:tcPr>
          <w:p w14:paraId="677EAC32">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Present assessments of risk of bias for each included study.</w:t>
            </w:r>
          </w:p>
        </w:tc>
      </w:tr>
      <w:tr w14:paraId="59D7A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tcBorders>
              <w:top w:val="single" w:color="000000" w:sz="4" w:space="0"/>
              <w:left w:val="single" w:color="000000" w:sz="4" w:space="0"/>
              <w:bottom w:val="single" w:color="000000" w:sz="4" w:space="0"/>
              <w:right w:val="single" w:color="000000" w:sz="4" w:space="0"/>
            </w:tcBorders>
          </w:tcPr>
          <w:p w14:paraId="18DDDF25">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Results of individual studies </w:t>
            </w:r>
          </w:p>
        </w:tc>
        <w:tc>
          <w:tcPr>
            <w:tcW w:w="587" w:type="dxa"/>
            <w:tcBorders>
              <w:top w:val="single" w:color="000000" w:sz="4" w:space="0"/>
              <w:left w:val="single" w:color="000000" w:sz="4" w:space="0"/>
              <w:bottom w:val="single" w:color="000000" w:sz="4" w:space="0"/>
              <w:right w:val="single" w:color="000000" w:sz="4" w:space="0"/>
            </w:tcBorders>
          </w:tcPr>
          <w:p w14:paraId="23585AC4">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19</w:t>
            </w:r>
          </w:p>
        </w:tc>
        <w:tc>
          <w:tcPr>
            <w:tcW w:w="11643" w:type="dxa"/>
            <w:tcBorders>
              <w:top w:val="single" w:color="000000" w:sz="4" w:space="0"/>
              <w:left w:val="single" w:color="000000" w:sz="4" w:space="0"/>
              <w:bottom w:val="single" w:color="000000" w:sz="4" w:space="0"/>
              <w:right w:val="single" w:color="000000" w:sz="4" w:space="0"/>
            </w:tcBorders>
          </w:tcPr>
          <w:p w14:paraId="7472AFF9">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For all outcomes, present, for each study: (a) summary statistics for each group (where appropriate) and (b) an effect estimate and its precision (e.g. confidence/credible interval), ideally using structured tables or plots.</w:t>
            </w:r>
          </w:p>
        </w:tc>
      </w:tr>
      <w:tr w14:paraId="6F66C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vMerge w:val="restart"/>
            <w:tcBorders>
              <w:top w:val="single" w:color="000000" w:sz="4" w:space="0"/>
              <w:left w:val="single" w:color="000000" w:sz="4" w:space="0"/>
              <w:right w:val="single" w:color="000000" w:sz="4" w:space="0"/>
            </w:tcBorders>
          </w:tcPr>
          <w:p w14:paraId="752F5503">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Results of syntheses</w:t>
            </w:r>
          </w:p>
        </w:tc>
        <w:tc>
          <w:tcPr>
            <w:tcW w:w="587" w:type="dxa"/>
            <w:tcBorders>
              <w:top w:val="single" w:color="000000" w:sz="4" w:space="0"/>
              <w:left w:val="single" w:color="000000" w:sz="4" w:space="0"/>
              <w:bottom w:val="single" w:color="000000" w:sz="4" w:space="0"/>
              <w:right w:val="single" w:color="000000" w:sz="4" w:space="0"/>
            </w:tcBorders>
          </w:tcPr>
          <w:p w14:paraId="202E00B0">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20a</w:t>
            </w:r>
          </w:p>
        </w:tc>
        <w:tc>
          <w:tcPr>
            <w:tcW w:w="11643" w:type="dxa"/>
            <w:tcBorders>
              <w:top w:val="single" w:color="000000" w:sz="4" w:space="0"/>
              <w:left w:val="single" w:color="000000" w:sz="4" w:space="0"/>
              <w:bottom w:val="single" w:color="000000" w:sz="4" w:space="0"/>
              <w:right w:val="single" w:color="000000" w:sz="4" w:space="0"/>
            </w:tcBorders>
          </w:tcPr>
          <w:p w14:paraId="2080B9EC">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For each synthesis, briefly summarise the characteristics and risk of bias among contributing studies.</w:t>
            </w:r>
          </w:p>
        </w:tc>
      </w:tr>
      <w:tr w14:paraId="2FDB1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 w:hRule="atLeast"/>
        </w:trPr>
        <w:tc>
          <w:tcPr>
            <w:tcW w:w="1664" w:type="dxa"/>
            <w:vMerge w:val="continue"/>
            <w:tcBorders>
              <w:left w:val="single" w:color="000000" w:sz="4" w:space="0"/>
              <w:right w:val="single" w:color="000000" w:sz="4" w:space="0"/>
            </w:tcBorders>
          </w:tcPr>
          <w:p w14:paraId="46B0DBD0">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p>
        </w:tc>
        <w:tc>
          <w:tcPr>
            <w:tcW w:w="587" w:type="dxa"/>
            <w:tcBorders>
              <w:top w:val="single" w:color="000000" w:sz="4" w:space="0"/>
              <w:left w:val="single" w:color="000000" w:sz="4" w:space="0"/>
              <w:bottom w:val="single" w:color="000000" w:sz="4" w:space="0"/>
              <w:right w:val="single" w:color="000000" w:sz="4" w:space="0"/>
            </w:tcBorders>
          </w:tcPr>
          <w:p w14:paraId="77DAC6D9">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20b</w:t>
            </w:r>
          </w:p>
        </w:tc>
        <w:tc>
          <w:tcPr>
            <w:tcW w:w="11643" w:type="dxa"/>
            <w:tcBorders>
              <w:top w:val="single" w:color="000000" w:sz="4" w:space="0"/>
              <w:left w:val="single" w:color="000000" w:sz="4" w:space="0"/>
              <w:bottom w:val="single" w:color="000000" w:sz="4" w:space="0"/>
              <w:right w:val="single" w:color="000000" w:sz="4" w:space="0"/>
            </w:tcBorders>
          </w:tcPr>
          <w:p w14:paraId="1B9A1D96">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r>
      <w:tr w14:paraId="55B8B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vMerge w:val="continue"/>
            <w:tcBorders>
              <w:left w:val="single" w:color="000000" w:sz="4" w:space="0"/>
              <w:right w:val="single" w:color="000000" w:sz="4" w:space="0"/>
            </w:tcBorders>
          </w:tcPr>
          <w:p w14:paraId="4EC7AF00">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p>
        </w:tc>
        <w:tc>
          <w:tcPr>
            <w:tcW w:w="587" w:type="dxa"/>
            <w:tcBorders>
              <w:top w:val="single" w:color="000000" w:sz="4" w:space="0"/>
              <w:left w:val="single" w:color="000000" w:sz="4" w:space="0"/>
              <w:bottom w:val="single" w:color="000000" w:sz="4" w:space="0"/>
              <w:right w:val="single" w:color="000000" w:sz="4" w:space="0"/>
            </w:tcBorders>
          </w:tcPr>
          <w:p w14:paraId="54579DC3">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20c</w:t>
            </w:r>
          </w:p>
        </w:tc>
        <w:tc>
          <w:tcPr>
            <w:tcW w:w="11643" w:type="dxa"/>
            <w:tcBorders>
              <w:top w:val="single" w:color="000000" w:sz="4" w:space="0"/>
              <w:left w:val="single" w:color="000000" w:sz="4" w:space="0"/>
              <w:bottom w:val="single" w:color="000000" w:sz="4" w:space="0"/>
              <w:right w:val="single" w:color="000000" w:sz="4" w:space="0"/>
            </w:tcBorders>
          </w:tcPr>
          <w:p w14:paraId="3D228D40">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Present results of all investigations of possible causes of heterogeneity among study results.</w:t>
            </w:r>
          </w:p>
        </w:tc>
      </w:tr>
      <w:tr w14:paraId="59462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vMerge w:val="continue"/>
            <w:tcBorders>
              <w:left w:val="single" w:color="000000" w:sz="4" w:space="0"/>
              <w:bottom w:val="single" w:color="000000" w:sz="4" w:space="0"/>
              <w:right w:val="single" w:color="000000" w:sz="4" w:space="0"/>
            </w:tcBorders>
          </w:tcPr>
          <w:p w14:paraId="6E91D0C7">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p>
        </w:tc>
        <w:tc>
          <w:tcPr>
            <w:tcW w:w="587" w:type="dxa"/>
            <w:tcBorders>
              <w:top w:val="single" w:color="000000" w:sz="4" w:space="0"/>
              <w:left w:val="single" w:color="000000" w:sz="4" w:space="0"/>
              <w:bottom w:val="single" w:color="000000" w:sz="4" w:space="0"/>
              <w:right w:val="single" w:color="000000" w:sz="4" w:space="0"/>
            </w:tcBorders>
          </w:tcPr>
          <w:p w14:paraId="62B51758">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20d</w:t>
            </w:r>
          </w:p>
        </w:tc>
        <w:tc>
          <w:tcPr>
            <w:tcW w:w="11643" w:type="dxa"/>
            <w:tcBorders>
              <w:top w:val="single" w:color="000000" w:sz="4" w:space="0"/>
              <w:left w:val="single" w:color="000000" w:sz="4" w:space="0"/>
              <w:bottom w:val="single" w:color="000000" w:sz="4" w:space="0"/>
              <w:right w:val="single" w:color="000000" w:sz="4" w:space="0"/>
            </w:tcBorders>
          </w:tcPr>
          <w:p w14:paraId="0CA733F6">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Present results of all sensitivity analyses conducted to assess the robustness of the synthesized results.</w:t>
            </w:r>
          </w:p>
        </w:tc>
      </w:tr>
      <w:tr w14:paraId="0459A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tcBorders>
              <w:top w:val="single" w:color="000000" w:sz="4" w:space="0"/>
              <w:left w:val="single" w:color="000000" w:sz="4" w:space="0"/>
              <w:bottom w:val="single" w:color="000000" w:sz="4" w:space="0"/>
              <w:right w:val="single" w:color="000000" w:sz="4" w:space="0"/>
            </w:tcBorders>
          </w:tcPr>
          <w:p w14:paraId="168333BE">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Reporting biases</w:t>
            </w:r>
          </w:p>
        </w:tc>
        <w:tc>
          <w:tcPr>
            <w:tcW w:w="587" w:type="dxa"/>
            <w:tcBorders>
              <w:top w:val="single" w:color="000000" w:sz="4" w:space="0"/>
              <w:left w:val="single" w:color="000000" w:sz="4" w:space="0"/>
              <w:bottom w:val="single" w:color="000000" w:sz="4" w:space="0"/>
              <w:right w:val="single" w:color="000000" w:sz="4" w:space="0"/>
            </w:tcBorders>
          </w:tcPr>
          <w:p w14:paraId="13A1C84A">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21</w:t>
            </w:r>
          </w:p>
        </w:tc>
        <w:tc>
          <w:tcPr>
            <w:tcW w:w="11643" w:type="dxa"/>
            <w:tcBorders>
              <w:top w:val="single" w:color="000000" w:sz="4" w:space="0"/>
              <w:left w:val="single" w:color="000000" w:sz="4" w:space="0"/>
              <w:bottom w:val="single" w:color="000000" w:sz="4" w:space="0"/>
              <w:right w:val="single" w:color="000000" w:sz="4" w:space="0"/>
            </w:tcBorders>
          </w:tcPr>
          <w:p w14:paraId="7886B07F">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Present assessments of risk of bias due to missing results (arising from reporting biases) for each synthesis assessed.</w:t>
            </w:r>
          </w:p>
        </w:tc>
      </w:tr>
      <w:tr w14:paraId="1D587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tcBorders>
              <w:top w:val="single" w:color="000000" w:sz="4" w:space="0"/>
              <w:left w:val="single" w:color="000000" w:sz="4" w:space="0"/>
              <w:bottom w:val="single" w:color="000000" w:sz="4" w:space="0"/>
              <w:right w:val="single" w:color="000000" w:sz="4" w:space="0"/>
            </w:tcBorders>
          </w:tcPr>
          <w:p w14:paraId="7F50DF08">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Certainty of evidence </w:t>
            </w:r>
          </w:p>
        </w:tc>
        <w:tc>
          <w:tcPr>
            <w:tcW w:w="587" w:type="dxa"/>
            <w:tcBorders>
              <w:top w:val="single" w:color="000000" w:sz="4" w:space="0"/>
              <w:left w:val="single" w:color="000000" w:sz="4" w:space="0"/>
              <w:bottom w:val="single" w:color="000000" w:sz="4" w:space="0"/>
              <w:right w:val="single" w:color="000000" w:sz="4" w:space="0"/>
            </w:tcBorders>
          </w:tcPr>
          <w:p w14:paraId="2F266D2C">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22</w:t>
            </w:r>
          </w:p>
        </w:tc>
        <w:tc>
          <w:tcPr>
            <w:tcW w:w="11643" w:type="dxa"/>
            <w:tcBorders>
              <w:top w:val="single" w:color="000000" w:sz="4" w:space="0"/>
              <w:left w:val="single" w:color="000000" w:sz="4" w:space="0"/>
              <w:bottom w:val="single" w:color="000000" w:sz="4" w:space="0"/>
              <w:right w:val="single" w:color="000000" w:sz="4" w:space="0"/>
            </w:tcBorders>
          </w:tcPr>
          <w:p w14:paraId="1B0910D5">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Present assessments of certainty (or confidence) in the body of evidence for each outcome assessed.</w:t>
            </w:r>
          </w:p>
        </w:tc>
      </w:tr>
      <w:tr w14:paraId="729BD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 w:hRule="atLeast"/>
        </w:trPr>
        <w:tc>
          <w:tcPr>
            <w:tcW w:w="13894" w:type="dxa"/>
            <w:gridSpan w:val="3"/>
            <w:tcBorders>
              <w:top w:val="double" w:color="000000" w:sz="4" w:space="0"/>
              <w:left w:val="single" w:color="000000" w:sz="4" w:space="0"/>
              <w:bottom w:val="single" w:color="000000" w:sz="4" w:space="0"/>
              <w:right w:val="single" w:color="000000" w:sz="4" w:space="0"/>
            </w:tcBorders>
            <w:shd w:val="clear" w:color="auto" w:fill="FFFFCC"/>
            <w:vAlign w:val="center"/>
          </w:tcPr>
          <w:p w14:paraId="29885B45">
            <w:pPr>
              <w:pStyle w:val="1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 xml:space="preserve">DISCUSSION </w:t>
            </w:r>
          </w:p>
        </w:tc>
      </w:tr>
      <w:tr w14:paraId="1A315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vMerge w:val="restart"/>
            <w:tcBorders>
              <w:top w:val="single" w:color="000000" w:sz="4" w:space="0"/>
              <w:left w:val="single" w:color="000000" w:sz="4" w:space="0"/>
              <w:right w:val="single" w:color="000000" w:sz="4" w:space="0"/>
            </w:tcBorders>
          </w:tcPr>
          <w:p w14:paraId="050C7F17">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Discussion </w:t>
            </w:r>
          </w:p>
        </w:tc>
        <w:tc>
          <w:tcPr>
            <w:tcW w:w="587" w:type="dxa"/>
            <w:tcBorders>
              <w:top w:val="single" w:color="000000" w:sz="4" w:space="0"/>
              <w:left w:val="single" w:color="000000" w:sz="4" w:space="0"/>
              <w:bottom w:val="single" w:color="000000" w:sz="4" w:space="0"/>
              <w:right w:val="single" w:color="000000" w:sz="4" w:space="0"/>
            </w:tcBorders>
          </w:tcPr>
          <w:p w14:paraId="71EA8702">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23a</w:t>
            </w:r>
          </w:p>
        </w:tc>
        <w:tc>
          <w:tcPr>
            <w:tcW w:w="11643" w:type="dxa"/>
            <w:tcBorders>
              <w:top w:val="single" w:color="000000" w:sz="4" w:space="0"/>
              <w:left w:val="single" w:color="000000" w:sz="4" w:space="0"/>
              <w:bottom w:val="single" w:color="000000" w:sz="4" w:space="0"/>
              <w:right w:val="single" w:color="000000" w:sz="4" w:space="0"/>
            </w:tcBorders>
          </w:tcPr>
          <w:p w14:paraId="44FD08A1">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Provide a general interpretation of the results in the context of other evidence.</w:t>
            </w:r>
          </w:p>
        </w:tc>
      </w:tr>
      <w:tr w14:paraId="11F29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vMerge w:val="continue"/>
            <w:tcBorders>
              <w:left w:val="single" w:color="000000" w:sz="4" w:space="0"/>
              <w:right w:val="single" w:color="000000" w:sz="4" w:space="0"/>
            </w:tcBorders>
          </w:tcPr>
          <w:p w14:paraId="4CEA61A6">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p>
        </w:tc>
        <w:tc>
          <w:tcPr>
            <w:tcW w:w="587" w:type="dxa"/>
            <w:tcBorders>
              <w:top w:val="single" w:color="000000" w:sz="4" w:space="0"/>
              <w:left w:val="single" w:color="000000" w:sz="4" w:space="0"/>
              <w:bottom w:val="single" w:color="000000" w:sz="4" w:space="0"/>
              <w:right w:val="single" w:color="000000" w:sz="4" w:space="0"/>
            </w:tcBorders>
          </w:tcPr>
          <w:p w14:paraId="0D937C12">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23b</w:t>
            </w:r>
          </w:p>
        </w:tc>
        <w:tc>
          <w:tcPr>
            <w:tcW w:w="11643" w:type="dxa"/>
            <w:tcBorders>
              <w:top w:val="single" w:color="000000" w:sz="4" w:space="0"/>
              <w:left w:val="single" w:color="000000" w:sz="4" w:space="0"/>
              <w:bottom w:val="single" w:color="000000" w:sz="4" w:space="0"/>
              <w:right w:val="single" w:color="000000" w:sz="4" w:space="0"/>
            </w:tcBorders>
          </w:tcPr>
          <w:p w14:paraId="78C5D237">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Discuss any limitations of the evidence included in the review.</w:t>
            </w:r>
          </w:p>
        </w:tc>
      </w:tr>
      <w:tr w14:paraId="62B14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vMerge w:val="continue"/>
            <w:tcBorders>
              <w:left w:val="single" w:color="000000" w:sz="4" w:space="0"/>
              <w:right w:val="single" w:color="000000" w:sz="4" w:space="0"/>
            </w:tcBorders>
          </w:tcPr>
          <w:p w14:paraId="2A7F901C">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p>
        </w:tc>
        <w:tc>
          <w:tcPr>
            <w:tcW w:w="587" w:type="dxa"/>
            <w:tcBorders>
              <w:top w:val="single" w:color="000000" w:sz="4" w:space="0"/>
              <w:left w:val="single" w:color="000000" w:sz="4" w:space="0"/>
              <w:bottom w:val="single" w:color="auto" w:sz="4" w:space="0"/>
              <w:right w:val="single" w:color="000000" w:sz="4" w:space="0"/>
            </w:tcBorders>
          </w:tcPr>
          <w:p w14:paraId="4023299D">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23c</w:t>
            </w:r>
          </w:p>
        </w:tc>
        <w:tc>
          <w:tcPr>
            <w:tcW w:w="11643" w:type="dxa"/>
            <w:tcBorders>
              <w:top w:val="single" w:color="000000" w:sz="4" w:space="0"/>
              <w:left w:val="single" w:color="000000" w:sz="4" w:space="0"/>
              <w:bottom w:val="single" w:color="000000" w:sz="4" w:space="0"/>
              <w:right w:val="single" w:color="000000" w:sz="4" w:space="0"/>
            </w:tcBorders>
          </w:tcPr>
          <w:p w14:paraId="6725B5F4">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Discuss any limitations of the review processes used.</w:t>
            </w:r>
          </w:p>
        </w:tc>
      </w:tr>
      <w:tr w14:paraId="1F8B3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vMerge w:val="continue"/>
            <w:tcBorders>
              <w:left w:val="single" w:color="000000" w:sz="4" w:space="0"/>
              <w:bottom w:val="single" w:color="auto" w:sz="4" w:space="0"/>
              <w:right w:val="single" w:color="000000" w:sz="4" w:space="0"/>
            </w:tcBorders>
          </w:tcPr>
          <w:p w14:paraId="7AC9F807">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p>
        </w:tc>
        <w:tc>
          <w:tcPr>
            <w:tcW w:w="587" w:type="dxa"/>
            <w:tcBorders>
              <w:top w:val="single" w:color="auto" w:sz="4" w:space="0"/>
              <w:left w:val="single" w:color="000000" w:sz="4" w:space="0"/>
              <w:bottom w:val="single" w:color="auto" w:sz="4" w:space="0"/>
              <w:right w:val="single" w:color="auto" w:sz="4" w:space="0"/>
            </w:tcBorders>
          </w:tcPr>
          <w:p w14:paraId="326A420F">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23d</w:t>
            </w:r>
          </w:p>
        </w:tc>
        <w:tc>
          <w:tcPr>
            <w:tcW w:w="11643" w:type="dxa"/>
            <w:tcBorders>
              <w:top w:val="single" w:color="000000" w:sz="4" w:space="0"/>
              <w:left w:val="single" w:color="auto" w:sz="4" w:space="0"/>
              <w:bottom w:val="double" w:color="000000" w:sz="4" w:space="0"/>
              <w:right w:val="single" w:color="000000" w:sz="4" w:space="0"/>
            </w:tcBorders>
          </w:tcPr>
          <w:p w14:paraId="46BC02FC">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Discuss implications of the results for practice, policy, and future research.</w:t>
            </w:r>
          </w:p>
        </w:tc>
      </w:tr>
      <w:tr w14:paraId="2A923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 w:hRule="atLeast"/>
        </w:trPr>
        <w:tc>
          <w:tcPr>
            <w:tcW w:w="13894" w:type="dxa"/>
            <w:gridSpan w:val="3"/>
            <w:tcBorders>
              <w:top w:val="double" w:color="000000" w:sz="4" w:space="0"/>
              <w:left w:val="single" w:color="000000" w:sz="4" w:space="0"/>
              <w:bottom w:val="single" w:color="000000" w:sz="4" w:space="0"/>
              <w:right w:val="single" w:color="000000" w:sz="4" w:space="0"/>
            </w:tcBorders>
            <w:shd w:val="clear" w:color="auto" w:fill="FFFFCC"/>
            <w:vAlign w:val="center"/>
          </w:tcPr>
          <w:p w14:paraId="45EE7C5A">
            <w:pPr>
              <w:pStyle w:val="1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OTHER INFORMATION</w:t>
            </w:r>
          </w:p>
        </w:tc>
      </w:tr>
      <w:tr w14:paraId="41505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vMerge w:val="restart"/>
            <w:tcBorders>
              <w:top w:val="single" w:color="000000" w:sz="4" w:space="0"/>
              <w:left w:val="single" w:color="000000" w:sz="4" w:space="0"/>
              <w:right w:val="single" w:color="000000" w:sz="4" w:space="0"/>
            </w:tcBorders>
          </w:tcPr>
          <w:p w14:paraId="7B2AF3D8">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Registration and protocol</w:t>
            </w:r>
          </w:p>
        </w:tc>
        <w:tc>
          <w:tcPr>
            <w:tcW w:w="587" w:type="dxa"/>
            <w:tcBorders>
              <w:top w:val="single" w:color="000000" w:sz="4" w:space="0"/>
              <w:left w:val="single" w:color="000000" w:sz="4" w:space="0"/>
              <w:bottom w:val="single" w:color="000000" w:sz="4" w:space="0"/>
              <w:right w:val="single" w:color="000000" w:sz="4" w:space="0"/>
            </w:tcBorders>
          </w:tcPr>
          <w:p w14:paraId="05BFAD80">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24a</w:t>
            </w:r>
          </w:p>
        </w:tc>
        <w:tc>
          <w:tcPr>
            <w:tcW w:w="11643" w:type="dxa"/>
            <w:tcBorders>
              <w:top w:val="single" w:color="000000" w:sz="4" w:space="0"/>
              <w:left w:val="single" w:color="000000" w:sz="4" w:space="0"/>
              <w:bottom w:val="single" w:color="000000" w:sz="4" w:space="0"/>
              <w:right w:val="single" w:color="000000" w:sz="4" w:space="0"/>
            </w:tcBorders>
          </w:tcPr>
          <w:p w14:paraId="4A150EF6">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Provide registration information for the review, including register name and registration number, or state that the review was not registered.</w:t>
            </w:r>
          </w:p>
        </w:tc>
      </w:tr>
      <w:tr w14:paraId="4FAE4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664" w:type="dxa"/>
            <w:vMerge w:val="continue"/>
            <w:tcBorders>
              <w:left w:val="single" w:color="000000" w:sz="4" w:space="0"/>
              <w:right w:val="single" w:color="000000" w:sz="4" w:space="0"/>
            </w:tcBorders>
          </w:tcPr>
          <w:p w14:paraId="1E61FF1F">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p>
        </w:tc>
        <w:tc>
          <w:tcPr>
            <w:tcW w:w="587" w:type="dxa"/>
            <w:tcBorders>
              <w:top w:val="single" w:color="000000" w:sz="4" w:space="0"/>
              <w:left w:val="single" w:color="000000" w:sz="4" w:space="0"/>
              <w:bottom w:val="single" w:color="000000" w:sz="4" w:space="0"/>
              <w:right w:val="single" w:color="000000" w:sz="4" w:space="0"/>
            </w:tcBorders>
          </w:tcPr>
          <w:p w14:paraId="2F6EFF6C">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24b</w:t>
            </w:r>
          </w:p>
        </w:tc>
        <w:tc>
          <w:tcPr>
            <w:tcW w:w="11643" w:type="dxa"/>
            <w:tcBorders>
              <w:top w:val="single" w:color="000000" w:sz="4" w:space="0"/>
              <w:left w:val="single" w:color="000000" w:sz="4" w:space="0"/>
              <w:bottom w:val="single" w:color="000000" w:sz="4" w:space="0"/>
              <w:right w:val="single" w:color="000000" w:sz="4" w:space="0"/>
            </w:tcBorders>
          </w:tcPr>
          <w:p w14:paraId="1268FDA9">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Indicate where the review protocol can be accessed, or state that a protocol was not prepared.</w:t>
            </w:r>
          </w:p>
        </w:tc>
      </w:tr>
      <w:tr w14:paraId="6846A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vMerge w:val="continue"/>
            <w:tcBorders>
              <w:left w:val="single" w:color="000000" w:sz="4" w:space="0"/>
              <w:bottom w:val="single" w:color="000000" w:sz="4" w:space="0"/>
              <w:right w:val="single" w:color="000000" w:sz="4" w:space="0"/>
            </w:tcBorders>
          </w:tcPr>
          <w:p w14:paraId="20FCAE28">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p>
        </w:tc>
        <w:tc>
          <w:tcPr>
            <w:tcW w:w="587" w:type="dxa"/>
            <w:tcBorders>
              <w:top w:val="single" w:color="000000" w:sz="4" w:space="0"/>
              <w:left w:val="single" w:color="000000" w:sz="4" w:space="0"/>
              <w:bottom w:val="single" w:color="000000" w:sz="4" w:space="0"/>
              <w:right w:val="single" w:color="000000" w:sz="4" w:space="0"/>
            </w:tcBorders>
          </w:tcPr>
          <w:p w14:paraId="23D53A5C">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24c</w:t>
            </w:r>
          </w:p>
        </w:tc>
        <w:tc>
          <w:tcPr>
            <w:tcW w:w="11643" w:type="dxa"/>
            <w:tcBorders>
              <w:top w:val="single" w:color="000000" w:sz="4" w:space="0"/>
              <w:left w:val="single" w:color="000000" w:sz="4" w:space="0"/>
              <w:bottom w:val="single" w:color="000000" w:sz="4" w:space="0"/>
              <w:right w:val="single" w:color="000000" w:sz="4" w:space="0"/>
            </w:tcBorders>
          </w:tcPr>
          <w:p w14:paraId="5D0A7466">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Describe and explain any amendments to information provided at registration or in the protocol.</w:t>
            </w:r>
          </w:p>
        </w:tc>
      </w:tr>
      <w:tr w14:paraId="69F36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tcBorders>
              <w:top w:val="single" w:color="000000" w:sz="4" w:space="0"/>
              <w:left w:val="single" w:color="000000" w:sz="4" w:space="0"/>
              <w:bottom w:val="single" w:color="000000" w:sz="4" w:space="0"/>
              <w:right w:val="single" w:color="000000" w:sz="4" w:space="0"/>
            </w:tcBorders>
          </w:tcPr>
          <w:p w14:paraId="52FE98F2">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Support</w:t>
            </w:r>
          </w:p>
        </w:tc>
        <w:tc>
          <w:tcPr>
            <w:tcW w:w="587" w:type="dxa"/>
            <w:tcBorders>
              <w:top w:val="single" w:color="000000" w:sz="4" w:space="0"/>
              <w:left w:val="single" w:color="000000" w:sz="4" w:space="0"/>
              <w:bottom w:val="single" w:color="000000" w:sz="4" w:space="0"/>
              <w:right w:val="single" w:color="000000" w:sz="4" w:space="0"/>
            </w:tcBorders>
          </w:tcPr>
          <w:p w14:paraId="28D5BDA5">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25</w:t>
            </w:r>
          </w:p>
        </w:tc>
        <w:tc>
          <w:tcPr>
            <w:tcW w:w="11643" w:type="dxa"/>
            <w:tcBorders>
              <w:top w:val="single" w:color="000000" w:sz="4" w:space="0"/>
              <w:left w:val="single" w:color="000000" w:sz="4" w:space="0"/>
              <w:bottom w:val="single" w:color="000000" w:sz="4" w:space="0"/>
              <w:right w:val="single" w:color="000000" w:sz="4" w:space="0"/>
            </w:tcBorders>
          </w:tcPr>
          <w:p w14:paraId="4A444FB2">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Describe sources of financial or non-financial support for the review, and the role of the funders or sponsors in the review.</w:t>
            </w:r>
          </w:p>
        </w:tc>
      </w:tr>
      <w:tr w14:paraId="3EE53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1664" w:type="dxa"/>
            <w:tcBorders>
              <w:top w:val="single" w:color="000000" w:sz="4" w:space="0"/>
              <w:left w:val="single" w:color="000000" w:sz="4" w:space="0"/>
              <w:bottom w:val="single" w:color="000000" w:sz="4" w:space="0"/>
              <w:right w:val="single" w:color="000000" w:sz="4" w:space="0"/>
            </w:tcBorders>
          </w:tcPr>
          <w:p w14:paraId="65843CE6">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Competing interests</w:t>
            </w:r>
          </w:p>
        </w:tc>
        <w:tc>
          <w:tcPr>
            <w:tcW w:w="587" w:type="dxa"/>
            <w:tcBorders>
              <w:top w:val="single" w:color="000000" w:sz="4" w:space="0"/>
              <w:left w:val="single" w:color="000000" w:sz="4" w:space="0"/>
              <w:bottom w:val="single" w:color="000000" w:sz="4" w:space="0"/>
              <w:right w:val="single" w:color="000000" w:sz="4" w:space="0"/>
            </w:tcBorders>
          </w:tcPr>
          <w:p w14:paraId="57EBD69D">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26</w:t>
            </w:r>
          </w:p>
        </w:tc>
        <w:tc>
          <w:tcPr>
            <w:tcW w:w="11643" w:type="dxa"/>
            <w:tcBorders>
              <w:top w:val="single" w:color="000000" w:sz="4" w:space="0"/>
              <w:left w:val="single" w:color="000000" w:sz="4" w:space="0"/>
              <w:bottom w:val="single" w:color="000000" w:sz="4" w:space="0"/>
              <w:right w:val="single" w:color="000000" w:sz="4" w:space="0"/>
            </w:tcBorders>
          </w:tcPr>
          <w:p w14:paraId="00609A9F">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Declare any competing interests of review authors.</w:t>
            </w:r>
          </w:p>
        </w:tc>
      </w:tr>
      <w:tr w14:paraId="33C1F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1664" w:type="dxa"/>
            <w:tcBorders>
              <w:top w:val="single" w:color="000000" w:sz="4" w:space="0"/>
              <w:left w:val="single" w:color="000000" w:sz="4" w:space="0"/>
              <w:bottom w:val="double" w:color="000000" w:sz="4" w:space="0"/>
              <w:right w:val="single" w:color="000000" w:sz="4" w:space="0"/>
            </w:tcBorders>
          </w:tcPr>
          <w:p w14:paraId="4A60261D">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Availability of data, code and other materials</w:t>
            </w:r>
          </w:p>
        </w:tc>
        <w:tc>
          <w:tcPr>
            <w:tcW w:w="587" w:type="dxa"/>
            <w:tcBorders>
              <w:top w:val="single" w:color="000000" w:sz="4" w:space="0"/>
              <w:left w:val="single" w:color="000000" w:sz="4" w:space="0"/>
              <w:bottom w:val="double" w:color="000000" w:sz="4" w:space="0"/>
              <w:right w:val="single" w:color="000000" w:sz="4" w:space="0"/>
            </w:tcBorders>
          </w:tcPr>
          <w:p w14:paraId="33E3EB1A">
            <w:pPr>
              <w:pStyle w:val="10"/>
              <w:spacing w:before="40" w:after="40"/>
              <w:jc w:val="righ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27</w:t>
            </w:r>
          </w:p>
        </w:tc>
        <w:tc>
          <w:tcPr>
            <w:tcW w:w="11643" w:type="dxa"/>
            <w:tcBorders>
              <w:top w:val="single" w:color="000000" w:sz="4" w:space="0"/>
              <w:left w:val="single" w:color="000000" w:sz="4" w:space="0"/>
              <w:bottom w:val="double" w:color="000000" w:sz="4" w:space="0"/>
              <w:right w:val="single" w:color="000000" w:sz="4" w:space="0"/>
            </w:tcBorders>
          </w:tcPr>
          <w:p w14:paraId="022DD038">
            <w:pPr>
              <w:pStyle w:val="10"/>
              <w:spacing w:before="40" w:after="4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Report which of the following are publicly available and where they can be found: template data collection forms; data extracted from included studies; data used for all analyses; analytic code; any other materials used in the review.</w:t>
            </w:r>
          </w:p>
        </w:tc>
      </w:tr>
    </w:tbl>
    <w:p w14:paraId="197B51C3">
      <w:pPr>
        <w:pStyle w:val="10"/>
        <w:rPr>
          <w:rFonts w:hint="default" w:ascii="Times New Roman" w:hAnsi="Times New Roman" w:cs="Times New Roman"/>
          <w:color w:val="000000" w:themeColor="text1"/>
          <w14:textFill>
            <w14:solidFill>
              <w14:schemeClr w14:val="tx1"/>
            </w14:solidFill>
          </w14:textFill>
        </w:rPr>
      </w:pPr>
    </w:p>
    <w:p w14:paraId="73DF2C70">
      <w:pPr>
        <w:pStyle w:val="10"/>
        <w:spacing w:line="183" w:lineRule="atLeast"/>
        <w:jc w:val="both"/>
        <w:rPr>
          <w:rFonts w:hint="default" w:ascii="Times New Roman" w:hAnsi="Times New Roman" w:cs="Times New Roman"/>
          <w:color w:val="000000" w:themeColor="text1"/>
          <w:sz w:val="16"/>
          <w:szCs w:val="16"/>
          <w:lang w:val="da-DK"/>
          <w14:textFill>
            <w14:solidFill>
              <w14:schemeClr w14:val="tx1"/>
            </w14:solidFill>
          </w14:textFill>
        </w:rPr>
      </w:pPr>
      <w:r>
        <w:rPr>
          <w:rFonts w:hint="default" w:ascii="Times New Roman" w:hAnsi="Times New Roman" w:cs="Times New Roman"/>
          <w:i/>
          <w:iCs/>
          <w:color w:val="000000" w:themeColor="text1"/>
          <w:sz w:val="16"/>
          <w:szCs w:val="16"/>
          <w14:textFill>
            <w14:solidFill>
              <w14:schemeClr w14:val="tx1"/>
            </w14:solidFill>
          </w14:textFill>
        </w:rPr>
        <w:t xml:space="preserve">From: </w:t>
      </w:r>
      <w:r>
        <w:rPr>
          <w:rFonts w:hint="default" w:ascii="Times New Roman" w:hAnsi="Times New Roman" w:cs="Times New Roman"/>
          <w:color w:val="000000" w:themeColor="text1"/>
          <w:sz w:val="16"/>
          <w:szCs w:val="16"/>
          <w14:textFill>
            <w14:solidFill>
              <w14:schemeClr w14:val="tx1"/>
            </w14:solidFill>
          </w14:textFill>
        </w:rPr>
        <w:t xml:space="preserve"> Page MJ, McKenzie JE, Bossuyt PM, Boutron I, Hoffmann TC, Mulrow CD, et al. The PRISMA 2020 statement: an updated guideline for reporting systematic reviews. BMJ 2021;372:n71. doi: 10.1136/bmj.n71</w:t>
      </w:r>
    </w:p>
    <w:p w14:paraId="26DE9064">
      <w:pPr>
        <w:pStyle w:val="11"/>
        <w:spacing w:after="130"/>
        <w:jc w:val="center"/>
        <w:rPr>
          <w:rFonts w:hint="default" w:ascii="Times New Roman" w:hAnsi="Times New Roman" w:cs="Times New Roman"/>
          <w:sz w:val="28"/>
          <w:szCs w:val="36"/>
          <w:lang w:val="en-US" w:eastAsia="zh-CN"/>
        </w:rPr>
      </w:pPr>
      <w:r>
        <w:rPr>
          <w:rFonts w:hint="default" w:ascii="Times New Roman" w:hAnsi="Times New Roman" w:cs="Times New Roman"/>
          <w:color w:val="000000" w:themeColor="text1"/>
          <w:sz w:val="18"/>
          <w:szCs w:val="18"/>
          <w14:textFill>
            <w14:solidFill>
              <w14:schemeClr w14:val="tx1"/>
            </w14:solidFill>
          </w14:textFill>
        </w:rPr>
        <w:t>For more information, visit:</w:t>
      </w:r>
      <w:r>
        <w:rPr>
          <w:rFonts w:hint="default" w:ascii="Times New Roman" w:hAnsi="Times New Roman" w:cs="Times New Roman"/>
          <w:color w:val="000000" w:themeColor="text1"/>
          <w:sz w:val="18"/>
          <w:szCs w:val="18"/>
          <w:lang w:val="da-DK"/>
          <w14:textFill>
            <w14:solidFill>
              <w14:schemeClr w14:val="tx1"/>
            </w14:solidFill>
          </w14:textFill>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"http://www.prisma-statement.org/" </w:instrText>
      </w:r>
      <w:r>
        <w:rPr>
          <w:rFonts w:hint="default" w:ascii="Times New Roman" w:hAnsi="Times New Roman" w:cs="Times New Roman"/>
        </w:rPr>
        <w:fldChar w:fldCharType="separate"/>
      </w:r>
      <w:r>
        <w:rPr>
          <w:rStyle w:val="9"/>
          <w:rFonts w:hint="default" w:ascii="Times New Roman" w:hAnsi="Times New Roman" w:cs="Times New Roman"/>
          <w:color w:val="000000" w:themeColor="text1"/>
          <w:sz w:val="18"/>
          <w:szCs w:val="18"/>
          <w:lang w:val="da-DK"/>
          <w14:textFill>
            <w14:solidFill>
              <w14:schemeClr w14:val="tx1"/>
            </w14:solidFill>
          </w14:textFill>
        </w:rPr>
        <w:t>http://www.prisma-statement.org/</w:t>
      </w:r>
      <w:r>
        <w:rPr>
          <w:rStyle w:val="9"/>
          <w:rFonts w:hint="default" w:ascii="Times New Roman" w:hAnsi="Times New Roman" w:cs="Times New Roman"/>
          <w:color w:val="000000" w:themeColor="text1"/>
          <w:sz w:val="18"/>
          <w:szCs w:val="18"/>
          <w:lang w:val="da-DK"/>
          <w14:textFill>
            <w14:solidFill>
              <w14:schemeClr w14:val="tx1"/>
            </w14:solidFill>
          </w14:textFill>
        </w:rPr>
        <w:fldChar w:fldCharType="end"/>
      </w:r>
      <w:r>
        <w:rPr>
          <w:rFonts w:hint="default" w:ascii="Times New Roman" w:hAnsi="Times New Roman" w:cs="Times New Roman"/>
          <w:sz w:val="28"/>
          <w:szCs w:val="36"/>
          <w:lang w:val="en-US" w:eastAsia="zh-CN"/>
        </w:rPr>
        <w:br w:type="page"/>
      </w:r>
    </w:p>
    <w:p w14:paraId="3784830E">
      <w:pPr>
        <w:rPr>
          <w:rFonts w:hint="default" w:ascii="Times New Roman" w:hAnsi="Times New Roman" w:cs="Times New Roman"/>
          <w:sz w:val="28"/>
          <w:szCs w:val="36"/>
          <w:lang w:val="en-US" w:eastAsia="zh-CN"/>
        </w:rPr>
        <w:sectPr>
          <w:pgSz w:w="16838" w:h="11906" w:orient="landscape"/>
          <w:pgMar w:top="1800" w:right="1440" w:bottom="1800" w:left="1043" w:header="851" w:footer="992" w:gutter="0"/>
          <w:pgNumType w:fmt="decimal"/>
          <w:cols w:space="425" w:num="1"/>
          <w:docGrid w:type="lines" w:linePitch="312" w:charSpace="0"/>
        </w:sectPr>
      </w:pPr>
    </w:p>
    <w:p w14:paraId="62989AD4">
      <w:pPr>
        <w:rPr>
          <w:rFonts w:hint="default" w:ascii="Times New Roman" w:hAnsi="Times New Roman" w:cs="Times New Roman"/>
          <w:b/>
          <w:bCs/>
          <w:sz w:val="24"/>
          <w:szCs w:val="24"/>
          <w:lang w:val="en-US"/>
        </w:rPr>
      </w:pPr>
      <w:r>
        <w:rPr>
          <w:rFonts w:hint="default" w:ascii="Times New Roman" w:hAnsi="Times New Roman" w:cs="Times New Roman"/>
          <w:b/>
          <w:bCs/>
          <w:sz w:val="28"/>
          <w:szCs w:val="36"/>
          <w:lang w:val="en-US" w:eastAsia="zh-CN"/>
        </w:rPr>
        <w:t>Supplementary Table 2. Specific search strategies for each database</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6314"/>
        <w:gridCol w:w="1124"/>
      </w:tblGrid>
      <w:tr w14:paraId="41942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tcPr>
          <w:p w14:paraId="4EBF7463">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lef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lang w:val="en-US" w:eastAsia="zh-CN"/>
              </w:rPr>
              <w:t>Database</w:t>
            </w:r>
          </w:p>
        </w:tc>
        <w:tc>
          <w:tcPr>
            <w:tcW w:w="6314" w:type="dxa"/>
          </w:tcPr>
          <w:p w14:paraId="4222C5ED">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rPr>
              <w:t>Search Terms</w:t>
            </w:r>
          </w:p>
        </w:tc>
        <w:tc>
          <w:tcPr>
            <w:tcW w:w="1124" w:type="dxa"/>
          </w:tcPr>
          <w:p w14:paraId="46D3B2E3">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lang w:val="en-US" w:eastAsia="zh-CN"/>
              </w:rPr>
              <w:t>Result</w:t>
            </w:r>
          </w:p>
        </w:tc>
      </w:tr>
      <w:tr w14:paraId="5183E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14:paraId="15511BE8">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left"/>
              <w:textAlignment w:val="auto"/>
              <w:rPr>
                <w:rFonts w:hint="default" w:ascii="Times New Roman" w:hAnsi="Times New Roman" w:cs="Times New Roman"/>
                <w:b w:val="0"/>
                <w:bCs w:val="0"/>
                <w:sz w:val="21"/>
                <w:szCs w:val="21"/>
                <w:lang w:val="en-US" w:eastAsia="zh-CN"/>
              </w:rPr>
            </w:pPr>
            <w:r>
              <w:rPr>
                <w:rFonts w:hint="default" w:ascii="Times New Roman" w:hAnsi="Times New Roman" w:eastAsia="宋体" w:cs="Times New Roman"/>
                <w:b/>
                <w:bCs/>
                <w:sz w:val="21"/>
                <w:szCs w:val="21"/>
                <w:lang w:val="en-US" w:eastAsia="zh-CN"/>
              </w:rPr>
              <w:t>Pubmed (Date: September 12, 2024)</w:t>
            </w:r>
          </w:p>
        </w:tc>
      </w:tr>
      <w:tr w14:paraId="71A45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tcPr>
          <w:p w14:paraId="665444BC">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lang w:val="en-US" w:eastAsia="zh-CN"/>
              </w:rPr>
              <w:t>No.</w:t>
            </w:r>
          </w:p>
        </w:tc>
        <w:tc>
          <w:tcPr>
            <w:tcW w:w="7438" w:type="dxa"/>
            <w:gridSpan w:val="2"/>
          </w:tcPr>
          <w:p w14:paraId="4B8D9801">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textAlignment w:val="auto"/>
              <w:rPr>
                <w:rFonts w:hint="default" w:ascii="Times New Roman" w:hAnsi="Times New Roman" w:cs="Times New Roman"/>
                <w:b w:val="0"/>
                <w:bCs w:val="0"/>
                <w:sz w:val="21"/>
                <w:szCs w:val="21"/>
                <w:vertAlign w:val="baseline"/>
                <w:lang w:val="en-US" w:eastAsia="zh-CN"/>
              </w:rPr>
            </w:pPr>
          </w:p>
        </w:tc>
      </w:tr>
      <w:tr w14:paraId="7475C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084" w:type="dxa"/>
          </w:tcPr>
          <w:p w14:paraId="6FBE121A">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w:t>
            </w:r>
          </w:p>
        </w:tc>
        <w:tc>
          <w:tcPr>
            <w:tcW w:w="6314" w:type="dxa"/>
          </w:tcPr>
          <w:p w14:paraId="389EB947">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lef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"prehypertension"[MeSH Terms]</w:t>
            </w:r>
          </w:p>
        </w:tc>
        <w:tc>
          <w:tcPr>
            <w:tcW w:w="1124" w:type="dxa"/>
          </w:tcPr>
          <w:p w14:paraId="3BE4A423">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righ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1,209</w:t>
            </w:r>
          </w:p>
        </w:tc>
      </w:tr>
      <w:tr w14:paraId="1CC8F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tcPr>
          <w:p w14:paraId="17379568">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w:t>
            </w:r>
          </w:p>
        </w:tc>
        <w:tc>
          <w:tcPr>
            <w:tcW w:w="6314" w:type="dxa"/>
          </w:tcPr>
          <w:p w14:paraId="3CA0C047">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lef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"prehypertension*"[Title/Abstract] OR "pre hypertension*"[Title/Abstract] OR "pre hypertension*"[Title/Abstract] OR "Pre-HTN"[Title/Abstract] OR "PreHTN"[Title/Abstract] OR "high normal blood pressure"[Title/Abstract] OR "elevated blood pressure"[Title/Abstract] OR "raised blood pressure"[Title/Abstract] OR "borderline hypertension*"[Title/Abstract] OR "early hypertension*"[Title/Abstract]</w:t>
            </w:r>
          </w:p>
        </w:tc>
        <w:tc>
          <w:tcPr>
            <w:tcW w:w="1124" w:type="dxa"/>
          </w:tcPr>
          <w:p w14:paraId="34F06E6A">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righ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13,183</w:t>
            </w:r>
          </w:p>
        </w:tc>
      </w:tr>
      <w:tr w14:paraId="298B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tcPr>
          <w:p w14:paraId="07DB2F4A">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#3</w:t>
            </w:r>
          </w:p>
        </w:tc>
        <w:tc>
          <w:tcPr>
            <w:tcW w:w="6314" w:type="dxa"/>
          </w:tcPr>
          <w:p w14:paraId="027AB63F">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lef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 OR #2</w:t>
            </w:r>
          </w:p>
        </w:tc>
        <w:tc>
          <w:tcPr>
            <w:tcW w:w="1124" w:type="dxa"/>
          </w:tcPr>
          <w:p w14:paraId="47EDFFDA">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righ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13,388</w:t>
            </w:r>
          </w:p>
        </w:tc>
      </w:tr>
      <w:tr w14:paraId="6A82D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tcPr>
          <w:p w14:paraId="4AE07E42">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#4</w:t>
            </w:r>
          </w:p>
        </w:tc>
        <w:tc>
          <w:tcPr>
            <w:tcW w:w="6314" w:type="dxa"/>
          </w:tcPr>
          <w:p w14:paraId="02E0055F">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lef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rPr>
              <w:t>"exercise"[MeSH Terms] OR "resistance training"[MeSH Terms] OR "endurance training"[MeSH Terms] OR "high intensity interval training"[MeSH Terms] OR "walking"[MeSH Terms] OR "jogging"[MeSH Terms]</w:t>
            </w:r>
          </w:p>
        </w:tc>
        <w:tc>
          <w:tcPr>
            <w:tcW w:w="1124" w:type="dxa"/>
          </w:tcPr>
          <w:p w14:paraId="73F68D07">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righ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286,280</w:t>
            </w:r>
          </w:p>
        </w:tc>
      </w:tr>
      <w:tr w14:paraId="0E359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tcPr>
          <w:p w14:paraId="5EF9B097">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#5</w:t>
            </w:r>
          </w:p>
        </w:tc>
        <w:tc>
          <w:tcPr>
            <w:tcW w:w="6314" w:type="dxa"/>
          </w:tcPr>
          <w:p w14:paraId="6E301CCC">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lef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"exercise*"[Title/Abstract] OR "physical exercise*"[Title/Abstract] OR "physical activit*"[Title/Abstract] OR "aerobic exercise*"[Title/Abstract] OR "isometric exercise*"[Title/Abstract] OR "activit*"[Title/Abstract] OR "Gymnastics"[Title/Abstract] OR "muscle stretching exercise*"[Title/Abstract] OR "physical conditioning"[Title/Abstract] OR "circuit based exercise*"[Title/Abstract] OR "endurance training"[Title/Abstract] OR "inspiratory training"[Title/Abstract] OR "interval training"[Title/Abstract] OR "continuous training"[Title/Abstract] OR "plyometric exercise*"[Title/Abstract] OR "flexibility exercise"[Title/Abstract] OR "isometric exercise"[Title/Abstract] OR "resistance training"[Title/Abstract] OR "acute exercise*"[Title/Abstract] OR "Jogging"[Title/Abstract] OR "training*"[Title/Abstract] OR "Walking"[Title/Abstract] OR "Cycling"[Title/Abstract] OR "stair climbing"[Title/Abstract] OR "Taichi"[Title/Abstract] OR "Qigong"[Title/Abstract] OR "Swimming"[Title/Abstract] OR "sport*"[Title/Abstract] OR "Running"[Title/Abstract] OR "Yoga"[Title/Abstract]</w:t>
            </w:r>
          </w:p>
        </w:tc>
        <w:tc>
          <w:tcPr>
            <w:tcW w:w="1124" w:type="dxa"/>
          </w:tcPr>
          <w:p w14:paraId="4A61F3A0">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righ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4,823,733</w:t>
            </w:r>
          </w:p>
        </w:tc>
      </w:tr>
      <w:tr w14:paraId="250A7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tcPr>
          <w:p w14:paraId="350945B3">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#6</w:t>
            </w:r>
          </w:p>
        </w:tc>
        <w:tc>
          <w:tcPr>
            <w:tcW w:w="6314" w:type="dxa"/>
          </w:tcPr>
          <w:p w14:paraId="1428FECC">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lef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#4 OR #5</w:t>
            </w:r>
          </w:p>
        </w:tc>
        <w:tc>
          <w:tcPr>
            <w:tcW w:w="1124" w:type="dxa"/>
          </w:tcPr>
          <w:p w14:paraId="2F31F37E">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righ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4,870,743</w:t>
            </w:r>
          </w:p>
        </w:tc>
      </w:tr>
      <w:tr w14:paraId="6B769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tcPr>
          <w:p w14:paraId="767A4AD9">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#7</w:t>
            </w:r>
          </w:p>
        </w:tc>
        <w:tc>
          <w:tcPr>
            <w:tcW w:w="6314" w:type="dxa"/>
          </w:tcPr>
          <w:p w14:paraId="71951A01">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lef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"randomized controlled trials as topic"[MeSH Terms]</w:t>
            </w:r>
          </w:p>
        </w:tc>
        <w:tc>
          <w:tcPr>
            <w:tcW w:w="1124" w:type="dxa"/>
          </w:tcPr>
          <w:p w14:paraId="64849846">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righ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177,680</w:t>
            </w:r>
          </w:p>
        </w:tc>
      </w:tr>
      <w:tr w14:paraId="39EF1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tcPr>
          <w:p w14:paraId="38CF8FE5">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#8</w:t>
            </w:r>
          </w:p>
        </w:tc>
        <w:tc>
          <w:tcPr>
            <w:tcW w:w="6314" w:type="dxa"/>
          </w:tcPr>
          <w:p w14:paraId="1327EC08">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lef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rPr>
              <w:t>"randomized controlled trial*"[Title/Abstract] OR "randomized clinical trial*"[Title/Abstract] OR "controlled clinical trial*"[Title/Abstract] OR "double blind method"[Title/Abstract] OR "single blind method"[Title/Abstract] OR "Randomized"[Title/Abstract] OR "control group*"[Title/Abstract] OR "Randomly"[Title/Abstract] OR "random allocation"[Title/Abstract]</w:t>
            </w:r>
          </w:p>
        </w:tc>
        <w:tc>
          <w:tcPr>
            <w:tcW w:w="1124" w:type="dxa"/>
          </w:tcPr>
          <w:p w14:paraId="5E412C4D">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righ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1,542,000</w:t>
            </w:r>
          </w:p>
        </w:tc>
      </w:tr>
      <w:tr w14:paraId="60E06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tcPr>
          <w:p w14:paraId="36C6299C">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#9</w:t>
            </w:r>
          </w:p>
        </w:tc>
        <w:tc>
          <w:tcPr>
            <w:tcW w:w="6314" w:type="dxa"/>
          </w:tcPr>
          <w:p w14:paraId="1BD38424">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lef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#7 OR #8</w:t>
            </w:r>
          </w:p>
        </w:tc>
        <w:tc>
          <w:tcPr>
            <w:tcW w:w="1124" w:type="dxa"/>
          </w:tcPr>
          <w:p w14:paraId="75458568">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righ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1,626,352</w:t>
            </w:r>
          </w:p>
        </w:tc>
      </w:tr>
      <w:tr w14:paraId="0571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tcPr>
          <w:p w14:paraId="4F3E9110">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#10</w:t>
            </w:r>
          </w:p>
        </w:tc>
        <w:tc>
          <w:tcPr>
            <w:tcW w:w="6314" w:type="dxa"/>
          </w:tcPr>
          <w:p w14:paraId="50ADA58C">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lef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#3 AND #6 AND #9</w:t>
            </w:r>
          </w:p>
        </w:tc>
        <w:tc>
          <w:tcPr>
            <w:tcW w:w="1124" w:type="dxa"/>
          </w:tcPr>
          <w:p w14:paraId="1C0F3840">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righ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396</w:t>
            </w:r>
          </w:p>
        </w:tc>
      </w:tr>
      <w:tr w14:paraId="1DED8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14:paraId="0FC936BC">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lef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b/>
                <w:bCs/>
                <w:sz w:val="21"/>
                <w:szCs w:val="21"/>
                <w:lang w:val="en-US" w:eastAsia="zh-CN"/>
              </w:rPr>
              <w:t>Web of Science (Date: September 12, 2024)</w:t>
            </w:r>
          </w:p>
        </w:tc>
      </w:tr>
      <w:tr w14:paraId="2844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tcPr>
          <w:p w14:paraId="12ECD22C">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No.</w:t>
            </w:r>
          </w:p>
        </w:tc>
        <w:tc>
          <w:tcPr>
            <w:tcW w:w="7438" w:type="dxa"/>
            <w:gridSpan w:val="2"/>
          </w:tcPr>
          <w:p w14:paraId="0C1B82AA">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left"/>
              <w:textAlignment w:val="auto"/>
              <w:rPr>
                <w:rFonts w:hint="default" w:ascii="Times New Roman" w:hAnsi="Times New Roman" w:cs="Times New Roman"/>
                <w:b w:val="0"/>
                <w:bCs w:val="0"/>
                <w:sz w:val="21"/>
                <w:szCs w:val="21"/>
                <w:vertAlign w:val="baseline"/>
                <w:lang w:val="en-US" w:eastAsia="zh-CN"/>
              </w:rPr>
            </w:pPr>
          </w:p>
        </w:tc>
      </w:tr>
      <w:tr w14:paraId="5FCF9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12FA0EF0">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ind w:left="0" w:leftChars="0" w:firstLine="0" w:firstLineChars="0"/>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b w:val="0"/>
                <w:bCs w:val="0"/>
                <w:sz w:val="21"/>
                <w:szCs w:val="21"/>
                <w:vertAlign w:val="baseline"/>
                <w:lang w:val="en-US" w:eastAsia="zh-CN"/>
              </w:rPr>
              <w:t>#1</w:t>
            </w:r>
          </w:p>
        </w:tc>
        <w:tc>
          <w:tcPr>
            <w:tcW w:w="6314" w:type="dxa"/>
          </w:tcPr>
          <w:p w14:paraId="14A8CFF2">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lef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rPr>
              <w:t>(((((((TS=(Prehypertension)) OR TS=(Prehypertension*)) OR TS=(Pre-Hypertension*)) OR TS=(Pre Hypertension*)) OR TS=(Pre-HTN)) OR TS=(PreHTN)) OR TS=(Borderline hypertension*)) OR TS=(Early hypertension*)</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p>
        </w:tc>
        <w:tc>
          <w:tcPr>
            <w:tcW w:w="1124" w:type="dxa"/>
          </w:tcPr>
          <w:p w14:paraId="51B03ECA">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righ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52,892</w:t>
            </w:r>
          </w:p>
        </w:tc>
      </w:tr>
      <w:tr w14:paraId="27258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205CDD50">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ind w:left="0" w:leftChars="0" w:firstLine="0" w:firstLineChars="0"/>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b w:val="0"/>
                <w:bCs w:val="0"/>
                <w:sz w:val="21"/>
                <w:szCs w:val="21"/>
                <w:vertAlign w:val="baseline"/>
                <w:lang w:val="en-US" w:eastAsia="zh-CN"/>
              </w:rPr>
              <w:t>#2</w:t>
            </w:r>
          </w:p>
        </w:tc>
        <w:tc>
          <w:tcPr>
            <w:tcW w:w="6314" w:type="dxa"/>
          </w:tcPr>
          <w:p w14:paraId="29AF3847">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lef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rPr>
              <w:t>((((((((((((((((((((((((((TS=(Exercise*)) OR TS=(Physical Exercise*)) OR TS=( Physical Activit*)) OR TS=(Aerobic Exercise*)) OR TS=(Isometric Exercise*)) OR TS=(Sport*)) OR TS=(Gymnastics)) OR TS=(Muscle Stretching Exercise*)) OR TS=(Physical Conditioning)) OR TS=(Circuit-Based Exercise*)) OR TS=(Endurance Training)) OR TS=(inspiratory training)) OR TS=(Interval Training)) OR TS=(continuous training)) OR TS=(Plyometric Exercise*)) OR TS=(flexibility exercise)) OR TS=(Isometric exercise)) OR TS=(Resistance Training)) OR TS=(Running)) OR TS=(Jogging)) OR TS=(Swimming)) OR TS=( Walking)) OR TS=(Cycling)) OR TS=(Stair Climbing)) OR TS=( Taichi)) OR TS=(Qigong)) OR TS=(Yoga)</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p>
        </w:tc>
        <w:tc>
          <w:tcPr>
            <w:tcW w:w="1124" w:type="dxa"/>
          </w:tcPr>
          <w:p w14:paraId="57FB715A">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righ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2,742,358</w:t>
            </w:r>
          </w:p>
        </w:tc>
      </w:tr>
      <w:tr w14:paraId="7226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224417B8">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ind w:left="0" w:leftChars="0" w:firstLine="0" w:firstLineChars="0"/>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b w:val="0"/>
                <w:bCs w:val="0"/>
                <w:sz w:val="21"/>
                <w:szCs w:val="21"/>
                <w:vertAlign w:val="baseline"/>
                <w:lang w:val="en-US" w:eastAsia="zh-CN"/>
              </w:rPr>
              <w:t>#3</w:t>
            </w:r>
          </w:p>
        </w:tc>
        <w:tc>
          <w:tcPr>
            <w:tcW w:w="6314" w:type="dxa"/>
          </w:tcPr>
          <w:p w14:paraId="6FD0B2C5">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lef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rPr>
              <w:t>(((((TS=(Randomized Controlled Trial*)) OR TS=(Randomized Clinical Trial*)) OR TS=(Controlled Clinical Trial*)) OR TS=(Double-blind method)) OR TS=(Single-blind method)) OR TS=(Random allocation)</w:t>
            </w:r>
            <w:r>
              <w:rPr>
                <w:rFonts w:hint="default" w:ascii="Times New Roman" w:hAnsi="Times New Roman" w:cs="Times New Roman"/>
              </w:rPr>
              <w:tab/>
            </w:r>
          </w:p>
        </w:tc>
        <w:tc>
          <w:tcPr>
            <w:tcW w:w="1124" w:type="dxa"/>
          </w:tcPr>
          <w:p w14:paraId="3163D282">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righ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729,059</w:t>
            </w:r>
          </w:p>
        </w:tc>
      </w:tr>
      <w:tr w14:paraId="1F7ED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3E70DE49">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ind w:left="0" w:leftChars="0" w:firstLine="0" w:firstLineChars="0"/>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b w:val="0"/>
                <w:bCs w:val="0"/>
                <w:sz w:val="21"/>
                <w:szCs w:val="21"/>
                <w:vertAlign w:val="baseline"/>
                <w:lang w:val="en-US" w:eastAsia="zh-CN"/>
              </w:rPr>
              <w:t>#4</w:t>
            </w:r>
          </w:p>
        </w:tc>
        <w:tc>
          <w:tcPr>
            <w:tcW w:w="6314" w:type="dxa"/>
          </w:tcPr>
          <w:p w14:paraId="7C65BB93">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lef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 AND #2 AND #3</w:t>
            </w:r>
            <w:r>
              <w:rPr>
                <w:rFonts w:hint="default" w:ascii="Times New Roman" w:hAnsi="Times New Roman" w:cs="Times New Roman"/>
                <w:b w:val="0"/>
                <w:bCs w:val="0"/>
                <w:sz w:val="21"/>
                <w:szCs w:val="21"/>
                <w:vertAlign w:val="baseline"/>
                <w:lang w:val="en-US" w:eastAsia="zh-CN"/>
              </w:rPr>
              <w:tab/>
            </w:r>
            <w:r>
              <w:rPr>
                <w:rFonts w:hint="default" w:ascii="Times New Roman" w:hAnsi="Times New Roman" w:cs="Times New Roman"/>
                <w:b w:val="0"/>
                <w:bCs w:val="0"/>
                <w:sz w:val="21"/>
                <w:szCs w:val="21"/>
                <w:vertAlign w:val="baseline"/>
                <w:lang w:val="en-US" w:eastAsia="zh-CN"/>
              </w:rPr>
              <w:tab/>
            </w:r>
            <w:r>
              <w:rPr>
                <w:rFonts w:hint="default" w:ascii="Times New Roman" w:hAnsi="Times New Roman" w:cs="Times New Roman"/>
                <w:b w:val="0"/>
                <w:bCs w:val="0"/>
                <w:sz w:val="21"/>
                <w:szCs w:val="21"/>
                <w:vertAlign w:val="baseline"/>
                <w:lang w:val="en-US" w:eastAsia="zh-CN"/>
              </w:rPr>
              <w:tab/>
            </w:r>
          </w:p>
        </w:tc>
        <w:tc>
          <w:tcPr>
            <w:tcW w:w="1124" w:type="dxa"/>
          </w:tcPr>
          <w:p w14:paraId="2B06D857">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jc w:val="righ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628</w:t>
            </w:r>
          </w:p>
        </w:tc>
      </w:tr>
      <w:tr w14:paraId="165D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vAlign w:val="top"/>
          </w:tcPr>
          <w:p w14:paraId="737ED060">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b/>
                <w:bCs/>
                <w:sz w:val="21"/>
                <w:szCs w:val="21"/>
                <w:lang w:val="en-US" w:eastAsia="zh-CN"/>
              </w:rPr>
              <w:t>Embase (Date: September 12, 2024)</w:t>
            </w:r>
          </w:p>
        </w:tc>
      </w:tr>
      <w:tr w14:paraId="3A1F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4EC7C7B2">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ind w:left="0" w:leftChars="0" w:firstLine="0" w:firstLineChars="0"/>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No.</w:t>
            </w:r>
          </w:p>
        </w:tc>
        <w:tc>
          <w:tcPr>
            <w:tcW w:w="7438" w:type="dxa"/>
            <w:gridSpan w:val="2"/>
          </w:tcPr>
          <w:p w14:paraId="38093DE5">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textAlignment w:val="auto"/>
              <w:rPr>
                <w:rFonts w:hint="default" w:ascii="Times New Roman" w:hAnsi="Times New Roman" w:cs="Times New Roman"/>
                <w:b w:val="0"/>
                <w:bCs w:val="0"/>
                <w:sz w:val="21"/>
                <w:szCs w:val="21"/>
                <w:vertAlign w:val="baseline"/>
                <w:lang w:val="en-US" w:eastAsia="zh-CN"/>
              </w:rPr>
            </w:pPr>
          </w:p>
        </w:tc>
      </w:tr>
      <w:tr w14:paraId="7535E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6660E225">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ind w:left="0" w:leftChars="0" w:firstLine="0" w:firstLineChars="0"/>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w:t>
            </w:r>
          </w:p>
        </w:tc>
        <w:tc>
          <w:tcPr>
            <w:tcW w:w="6314" w:type="dxa"/>
            <w:vAlign w:val="center"/>
          </w:tcPr>
          <w:p w14:paraId="778C0387">
            <w:pPr>
              <w:keepNext w:val="0"/>
              <w:keepLines w:val="0"/>
              <w:widowControl/>
              <w:suppressLineNumbers w:val="0"/>
              <w:spacing w:after="0" w:line="240" w:lineRule="auto"/>
              <w:jc w:val="left"/>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'prehypertension'/exp</w:t>
            </w:r>
          </w:p>
        </w:tc>
        <w:tc>
          <w:tcPr>
            <w:tcW w:w="1124" w:type="dxa"/>
            <w:vAlign w:val="center"/>
          </w:tcPr>
          <w:p w14:paraId="28F37001">
            <w:pPr>
              <w:keepNext w:val="0"/>
              <w:keepLines w:val="0"/>
              <w:widowControl/>
              <w:suppressLineNumbers w:val="0"/>
              <w:spacing w:after="0" w:line="240" w:lineRule="auto"/>
              <w:jc w:val="right"/>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3,912</w:t>
            </w:r>
          </w:p>
        </w:tc>
      </w:tr>
      <w:tr w14:paraId="7B626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411961DD">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ind w:left="0" w:leftChars="0" w:firstLine="0" w:firstLineChars="0"/>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w:t>
            </w:r>
          </w:p>
        </w:tc>
        <w:tc>
          <w:tcPr>
            <w:tcW w:w="6314" w:type="dxa"/>
            <w:vAlign w:val="center"/>
          </w:tcPr>
          <w:p w14:paraId="67F6E4B9">
            <w:pPr>
              <w:keepNext w:val="0"/>
              <w:keepLines w:val="0"/>
              <w:widowControl/>
              <w:suppressLineNumbers w:val="0"/>
              <w:spacing w:after="0" w:line="240" w:lineRule="auto"/>
              <w:jc w:val="left"/>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rPr>
              <w:t>prehypertension*:ab,ti OR 'pre hypertension*':ab,ti OR 'pre htn':ab,ti OR prehtn:ab,ti OR 'elevated blood pressure':ab,ti OR 'elevated bp':ab,ti OR 'high normal blood pressure':ab,ti OR 'high normal bp':ab,ti OR 'raised blood pressure':ab,ti OR 'borderline hypertension*':ab,ti OR 'early hypertension*':ab,ti</w:t>
            </w:r>
          </w:p>
        </w:tc>
        <w:tc>
          <w:tcPr>
            <w:tcW w:w="1124" w:type="dxa"/>
            <w:vAlign w:val="center"/>
          </w:tcPr>
          <w:p w14:paraId="3DF9DDB9">
            <w:pPr>
              <w:keepNext w:val="0"/>
              <w:keepLines w:val="0"/>
              <w:widowControl/>
              <w:suppressLineNumbers w:val="0"/>
              <w:spacing w:after="0" w:line="240" w:lineRule="auto"/>
              <w:jc w:val="right"/>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21,476</w:t>
            </w:r>
          </w:p>
        </w:tc>
      </w:tr>
      <w:tr w14:paraId="7FF05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4" w:type="dxa"/>
            <w:vAlign w:val="top"/>
          </w:tcPr>
          <w:p w14:paraId="4F8B3B02">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ind w:left="0" w:leftChars="0" w:firstLine="0" w:firstLineChars="0"/>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#3</w:t>
            </w:r>
          </w:p>
        </w:tc>
        <w:tc>
          <w:tcPr>
            <w:tcW w:w="6314" w:type="dxa"/>
            <w:vAlign w:val="center"/>
          </w:tcPr>
          <w:p w14:paraId="72D937BA">
            <w:pPr>
              <w:keepNext w:val="0"/>
              <w:keepLines w:val="0"/>
              <w:widowControl/>
              <w:suppressLineNumbers w:val="0"/>
              <w:spacing w:after="0" w:line="240" w:lineRule="auto"/>
              <w:jc w:val="left"/>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 OR #2</w:t>
            </w:r>
          </w:p>
        </w:tc>
        <w:tc>
          <w:tcPr>
            <w:tcW w:w="1124" w:type="dxa"/>
            <w:vAlign w:val="center"/>
          </w:tcPr>
          <w:p w14:paraId="3513BD29">
            <w:pPr>
              <w:keepNext w:val="0"/>
              <w:keepLines w:val="0"/>
              <w:widowControl/>
              <w:suppressLineNumbers w:val="0"/>
              <w:spacing w:after="0" w:line="240" w:lineRule="auto"/>
              <w:jc w:val="right"/>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22,478</w:t>
            </w:r>
          </w:p>
        </w:tc>
      </w:tr>
      <w:tr w14:paraId="766E9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25777886">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ind w:left="0" w:leftChars="0" w:firstLine="0" w:firstLineChars="0"/>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b w:val="0"/>
                <w:bCs w:val="0"/>
                <w:sz w:val="21"/>
                <w:szCs w:val="21"/>
                <w:vertAlign w:val="baseline"/>
                <w:lang w:val="en-US" w:eastAsia="zh-CN"/>
              </w:rPr>
              <w:t>#4</w:t>
            </w:r>
          </w:p>
        </w:tc>
        <w:tc>
          <w:tcPr>
            <w:tcW w:w="6314" w:type="dxa"/>
            <w:vAlign w:val="center"/>
          </w:tcPr>
          <w:p w14:paraId="2289A73C">
            <w:pPr>
              <w:keepNext w:val="0"/>
              <w:keepLines w:val="0"/>
              <w:widowControl/>
              <w:suppressLineNumbers w:val="0"/>
              <w:spacing w:after="0" w:line="240" w:lineRule="auto"/>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'exercise'/exp</w:t>
            </w:r>
          </w:p>
        </w:tc>
        <w:tc>
          <w:tcPr>
            <w:tcW w:w="1124" w:type="dxa"/>
            <w:vAlign w:val="center"/>
          </w:tcPr>
          <w:p w14:paraId="1BB0BED5">
            <w:pPr>
              <w:keepNext w:val="0"/>
              <w:keepLines w:val="0"/>
              <w:widowControl/>
              <w:suppressLineNumbers w:val="0"/>
              <w:spacing w:after="0" w:line="240" w:lineRule="auto"/>
              <w:jc w:val="right"/>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476,282</w:t>
            </w:r>
          </w:p>
        </w:tc>
      </w:tr>
      <w:tr w14:paraId="0DDC6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787A92E3">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ind w:left="0" w:leftChars="0" w:firstLine="0" w:firstLineChars="0"/>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b w:val="0"/>
                <w:bCs w:val="0"/>
                <w:sz w:val="21"/>
                <w:szCs w:val="21"/>
                <w:vertAlign w:val="baseline"/>
                <w:lang w:val="en-US" w:eastAsia="zh-CN"/>
              </w:rPr>
              <w:t>#5</w:t>
            </w:r>
          </w:p>
        </w:tc>
        <w:tc>
          <w:tcPr>
            <w:tcW w:w="6314" w:type="dxa"/>
            <w:vAlign w:val="center"/>
          </w:tcPr>
          <w:p w14:paraId="010EF944">
            <w:pPr>
              <w:keepNext w:val="0"/>
              <w:keepLines w:val="0"/>
              <w:widowControl/>
              <w:suppressLineNumbers w:val="0"/>
              <w:spacing w:after="0" w:line="240" w:lineRule="auto"/>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'training'/exp</w:t>
            </w:r>
          </w:p>
        </w:tc>
        <w:tc>
          <w:tcPr>
            <w:tcW w:w="1124" w:type="dxa"/>
            <w:vAlign w:val="center"/>
          </w:tcPr>
          <w:p w14:paraId="51A117B1">
            <w:pPr>
              <w:keepNext w:val="0"/>
              <w:keepLines w:val="0"/>
              <w:widowControl/>
              <w:suppressLineNumbers w:val="0"/>
              <w:spacing w:after="0" w:line="240" w:lineRule="auto"/>
              <w:jc w:val="right"/>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129,020</w:t>
            </w:r>
          </w:p>
        </w:tc>
      </w:tr>
      <w:tr w14:paraId="6ABC5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2A4B0D9D">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ind w:left="0" w:leftChars="0" w:firstLine="0" w:firstLineChars="0"/>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b w:val="0"/>
                <w:bCs w:val="0"/>
                <w:sz w:val="21"/>
                <w:szCs w:val="21"/>
                <w:vertAlign w:val="baseline"/>
                <w:lang w:val="en-US" w:eastAsia="zh-CN"/>
              </w:rPr>
              <w:t>#6</w:t>
            </w:r>
          </w:p>
        </w:tc>
        <w:tc>
          <w:tcPr>
            <w:tcW w:w="6314" w:type="dxa"/>
            <w:vAlign w:val="center"/>
          </w:tcPr>
          <w:p w14:paraId="75C73D94">
            <w:pPr>
              <w:keepNext w:val="0"/>
              <w:keepLines w:val="0"/>
              <w:widowControl/>
              <w:suppressLineNumbers w:val="0"/>
              <w:spacing w:after="0" w:line="240" w:lineRule="auto"/>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rPr>
              <w:t>'physical activity'/exp</w:t>
            </w:r>
          </w:p>
        </w:tc>
        <w:tc>
          <w:tcPr>
            <w:tcW w:w="1124" w:type="dxa"/>
            <w:vAlign w:val="center"/>
          </w:tcPr>
          <w:p w14:paraId="3FC1CF9D">
            <w:pPr>
              <w:keepNext w:val="0"/>
              <w:keepLines w:val="0"/>
              <w:widowControl/>
              <w:suppressLineNumbers w:val="0"/>
              <w:spacing w:after="0" w:line="240" w:lineRule="auto"/>
              <w:jc w:val="right"/>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rPr>
              <w:t>578</w:t>
            </w:r>
            <w:r>
              <w:rPr>
                <w:rFonts w:hint="default" w:ascii="Times New Roman" w:hAnsi="Times New Roman" w:cs="Times New Roman"/>
                <w:lang w:val="en-US" w:eastAsia="zh-CN"/>
              </w:rPr>
              <w:t>,</w:t>
            </w:r>
            <w:r>
              <w:rPr>
                <w:rFonts w:hint="default" w:ascii="Times New Roman" w:hAnsi="Times New Roman" w:cs="Times New Roman"/>
              </w:rPr>
              <w:t>621</w:t>
            </w:r>
          </w:p>
        </w:tc>
      </w:tr>
      <w:tr w14:paraId="59AEB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32E37922">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ind w:left="0" w:leftChars="0" w:firstLine="0" w:firstLineChars="0"/>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b w:val="0"/>
                <w:bCs w:val="0"/>
                <w:sz w:val="21"/>
                <w:szCs w:val="21"/>
                <w:vertAlign w:val="baseline"/>
                <w:lang w:val="en-US" w:eastAsia="zh-CN"/>
              </w:rPr>
              <w:t>#7</w:t>
            </w:r>
          </w:p>
        </w:tc>
        <w:tc>
          <w:tcPr>
            <w:tcW w:w="6314" w:type="dxa"/>
            <w:vAlign w:val="center"/>
          </w:tcPr>
          <w:p w14:paraId="135A22E1">
            <w:pPr>
              <w:keepNext w:val="0"/>
              <w:keepLines w:val="0"/>
              <w:widowControl/>
              <w:suppressLineNumbers w:val="0"/>
              <w:spacing w:after="0" w:line="240" w:lineRule="auto"/>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rPr>
              <w:t>exercise*:ab,ti OR 'exercise capacity':ab,ti OR 'exercise performance':ab,ti OR 'exercise training':ab,ti OR exertion:ab,ti OR 'fitness training':ab,ti OR 'fitness workout':ab,ti OR 'physical conditioning, human':ab,ti OR 'physical effort':ab,ti OR 'physical exercise':ab,ti OR 'physical exertion':ab,ti OR 'physical work-out':ab,ti OR 'physical workout':ab,ti OR 'physical exercise*':ab,ti OR 'physical activit*':ab,ti OR activit*:ab,ti OR 'aerobic exercise*':ab,ti OR 'isometric exercise*':ab,ti OR 'exercise training*':ab,ti OR training:ab,ti OR sport*:ab,ti OR gymnastics:ab,ti OR 'muscle stretching exercise*':ab,ti OR 'circuit training':ab,ti OR 'endurance training':ab,ti OR 'inspiratory training':ab,ti OR 'high-intensity interval training':ab,ti OR 'plyometric exercise*':ab,ti OR 'flexibility exercise':ab,ti OR 'isometric exercise':ab,ti OR 'resistance training':ab,ti OR running:ab,ti OR jogging:ab,ti OR swimming:ab,ti OR walking:ab,ti OR 'stair climbing':ab,ti OR taichi:ab,ti OR qigong:ab,ti OR yoga:ab,ti</w:t>
            </w:r>
          </w:p>
        </w:tc>
        <w:tc>
          <w:tcPr>
            <w:tcW w:w="1124" w:type="dxa"/>
            <w:vAlign w:val="center"/>
          </w:tcPr>
          <w:p w14:paraId="4182FEA0">
            <w:pPr>
              <w:keepNext w:val="0"/>
              <w:keepLines w:val="0"/>
              <w:widowControl/>
              <w:suppressLineNumbers w:val="0"/>
              <w:spacing w:after="0" w:line="240" w:lineRule="auto"/>
              <w:jc w:val="right"/>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5,992,868</w:t>
            </w:r>
          </w:p>
        </w:tc>
      </w:tr>
      <w:tr w14:paraId="68F05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5CCA8267">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ind w:left="0" w:leftChars="0" w:firstLine="0" w:firstLineChars="0"/>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b w:val="0"/>
                <w:bCs w:val="0"/>
                <w:sz w:val="21"/>
                <w:szCs w:val="21"/>
                <w:vertAlign w:val="baseline"/>
                <w:lang w:val="en-US" w:eastAsia="zh-CN"/>
              </w:rPr>
              <w:t>#8</w:t>
            </w:r>
          </w:p>
        </w:tc>
        <w:tc>
          <w:tcPr>
            <w:tcW w:w="6314" w:type="dxa"/>
            <w:vAlign w:val="center"/>
          </w:tcPr>
          <w:p w14:paraId="3023844D">
            <w:pPr>
              <w:keepNext w:val="0"/>
              <w:keepLines w:val="0"/>
              <w:widowControl/>
              <w:suppressLineNumbers w:val="0"/>
              <w:spacing w:after="0" w:line="240" w:lineRule="auto"/>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 OR #5 OR #6 OR #7</w:t>
            </w:r>
          </w:p>
        </w:tc>
        <w:tc>
          <w:tcPr>
            <w:tcW w:w="1124" w:type="dxa"/>
            <w:vAlign w:val="center"/>
          </w:tcPr>
          <w:p w14:paraId="0FC55A7A">
            <w:pPr>
              <w:keepNext w:val="0"/>
              <w:keepLines w:val="0"/>
              <w:widowControl/>
              <w:suppressLineNumbers w:val="0"/>
              <w:spacing w:after="0" w:line="240" w:lineRule="auto"/>
              <w:jc w:val="right"/>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6,328,828</w:t>
            </w:r>
          </w:p>
        </w:tc>
      </w:tr>
      <w:tr w14:paraId="5109B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5FCC111B">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ind w:left="0" w:leftChars="0" w:firstLine="0" w:firstLineChars="0"/>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b w:val="0"/>
                <w:bCs w:val="0"/>
                <w:sz w:val="21"/>
                <w:szCs w:val="21"/>
                <w:vertAlign w:val="baseline"/>
                <w:lang w:val="en-US" w:eastAsia="zh-CN"/>
              </w:rPr>
              <w:t>#9</w:t>
            </w:r>
          </w:p>
        </w:tc>
        <w:tc>
          <w:tcPr>
            <w:tcW w:w="6314" w:type="dxa"/>
            <w:vAlign w:val="center"/>
          </w:tcPr>
          <w:p w14:paraId="449C7BCA">
            <w:pPr>
              <w:keepNext w:val="0"/>
              <w:keepLines w:val="0"/>
              <w:widowControl/>
              <w:suppressLineNumbers w:val="0"/>
              <w:spacing w:after="0" w:line="240" w:lineRule="auto"/>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rPr>
              <w:t>'randomized controlled trial'/exp</w:t>
            </w:r>
          </w:p>
        </w:tc>
        <w:tc>
          <w:tcPr>
            <w:tcW w:w="1124" w:type="dxa"/>
            <w:vAlign w:val="center"/>
          </w:tcPr>
          <w:p w14:paraId="7A507F48">
            <w:pPr>
              <w:keepNext w:val="0"/>
              <w:keepLines w:val="0"/>
              <w:widowControl/>
              <w:suppressLineNumbers w:val="0"/>
              <w:spacing w:after="0" w:line="240" w:lineRule="auto"/>
              <w:jc w:val="right"/>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842,722</w:t>
            </w:r>
          </w:p>
        </w:tc>
      </w:tr>
      <w:tr w14:paraId="7978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27EB103F">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ind w:left="0" w:leftChars="0" w:firstLine="0" w:firstLineChars="0"/>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b w:val="0"/>
                <w:bCs w:val="0"/>
                <w:sz w:val="21"/>
                <w:szCs w:val="21"/>
                <w:vertAlign w:val="baseline"/>
                <w:lang w:val="en-US" w:eastAsia="zh-CN"/>
              </w:rPr>
              <w:t>#10</w:t>
            </w:r>
          </w:p>
        </w:tc>
        <w:tc>
          <w:tcPr>
            <w:tcW w:w="6314" w:type="dxa"/>
            <w:vAlign w:val="center"/>
          </w:tcPr>
          <w:p w14:paraId="005B31AF">
            <w:pPr>
              <w:keepNext w:val="0"/>
              <w:keepLines w:val="0"/>
              <w:widowControl/>
              <w:suppressLineNumbers w:val="0"/>
              <w:spacing w:after="0" w:line="240" w:lineRule="auto"/>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rPr>
              <w:t>'randomized controlled trial*':ab,ti OR 'pragmatic clinical trials as topic':ab,ti OR 'clinical trial*, randomized':ab,ti OR 'trial*, randomized clinical':ab,ti OR 'controlled clinical trial*, randomized':ab,ti OR 'controlled clinical trial':ab,ti OR 'double blind procedure':ab,ti OR 'single blind procedure':ab,ti OR randomly:ab,ti OR randomization:ab,ti OR 'random allocation':ab,ti</w:t>
            </w:r>
          </w:p>
        </w:tc>
        <w:tc>
          <w:tcPr>
            <w:tcW w:w="1124" w:type="dxa"/>
            <w:vAlign w:val="center"/>
          </w:tcPr>
          <w:p w14:paraId="34DE9355">
            <w:pPr>
              <w:keepNext w:val="0"/>
              <w:keepLines w:val="0"/>
              <w:widowControl/>
              <w:suppressLineNumbers w:val="0"/>
              <w:spacing w:after="0" w:line="240" w:lineRule="auto"/>
              <w:jc w:val="right"/>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901,751</w:t>
            </w:r>
          </w:p>
        </w:tc>
      </w:tr>
      <w:tr w14:paraId="42D7C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13BFD567">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ind w:left="0" w:leftChars="0" w:firstLine="0" w:firstLineChars="0"/>
              <w:textAlignment w:val="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b w:val="0"/>
                <w:bCs w:val="0"/>
                <w:sz w:val="21"/>
                <w:szCs w:val="21"/>
                <w:vertAlign w:val="baseline"/>
                <w:lang w:val="en-US" w:eastAsia="zh-CN"/>
              </w:rPr>
              <w:t>#11</w:t>
            </w:r>
          </w:p>
        </w:tc>
        <w:tc>
          <w:tcPr>
            <w:tcW w:w="6314" w:type="dxa"/>
            <w:vAlign w:val="center"/>
          </w:tcPr>
          <w:p w14:paraId="16251D2A">
            <w:pPr>
              <w:keepNext w:val="0"/>
              <w:keepLines w:val="0"/>
              <w:widowControl/>
              <w:suppressLineNumbers w:val="0"/>
              <w:spacing w:after="0" w:line="240" w:lineRule="auto"/>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rPr>
              <w:t>#9 OR #10</w:t>
            </w:r>
          </w:p>
        </w:tc>
        <w:tc>
          <w:tcPr>
            <w:tcW w:w="1124" w:type="dxa"/>
            <w:vAlign w:val="center"/>
          </w:tcPr>
          <w:p w14:paraId="4CE90637">
            <w:pPr>
              <w:keepNext w:val="0"/>
              <w:keepLines w:val="0"/>
              <w:widowControl/>
              <w:suppressLineNumbers w:val="0"/>
              <w:spacing w:after="0" w:line="240" w:lineRule="auto"/>
              <w:jc w:val="right"/>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1,402,905</w:t>
            </w:r>
          </w:p>
        </w:tc>
      </w:tr>
      <w:tr w14:paraId="55075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4AE1011F">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ind w:left="0" w:leftChars="0" w:firstLine="0" w:firstLineChars="0"/>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#12</w:t>
            </w:r>
          </w:p>
        </w:tc>
        <w:tc>
          <w:tcPr>
            <w:tcW w:w="6314" w:type="dxa"/>
            <w:vAlign w:val="center"/>
          </w:tcPr>
          <w:p w14:paraId="7D61B53B">
            <w:pPr>
              <w:keepNext w:val="0"/>
              <w:keepLines w:val="0"/>
              <w:widowControl/>
              <w:suppressLineNumbers w:val="0"/>
              <w:spacing w:after="0" w:line="240" w:lineRule="auto"/>
              <w:jc w:val="left"/>
              <w:textAlignment w:val="center"/>
              <w:rPr>
                <w:rFonts w:hint="default" w:ascii="Times New Roman" w:hAnsi="Times New Roman" w:cs="Times New Roman"/>
              </w:rPr>
            </w:pPr>
            <w:r>
              <w:rPr>
                <w:rFonts w:hint="default" w:ascii="Times New Roman" w:hAnsi="Times New Roman" w:cs="Times New Roman"/>
              </w:rPr>
              <w:t>#3 AND #8 AND #11</w:t>
            </w:r>
          </w:p>
        </w:tc>
        <w:tc>
          <w:tcPr>
            <w:tcW w:w="1124" w:type="dxa"/>
            <w:vAlign w:val="center"/>
          </w:tcPr>
          <w:p w14:paraId="6B44E005">
            <w:pPr>
              <w:keepNext w:val="0"/>
              <w:keepLines w:val="0"/>
              <w:widowControl/>
              <w:suppressLineNumbers w:val="0"/>
              <w:spacing w:after="0" w:line="240" w:lineRule="auto"/>
              <w:jc w:val="righ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498</w:t>
            </w:r>
          </w:p>
        </w:tc>
      </w:tr>
      <w:tr w14:paraId="408DE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vAlign w:val="top"/>
          </w:tcPr>
          <w:p w14:paraId="4D0B3C96">
            <w:pPr>
              <w:keepNext w:val="0"/>
              <w:keepLines w:val="0"/>
              <w:widowControl/>
              <w:suppressLineNumbers w:val="0"/>
              <w:spacing w:after="0" w:line="240" w:lineRule="auto"/>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b/>
                <w:bCs/>
                <w:sz w:val="21"/>
                <w:szCs w:val="21"/>
                <w:lang w:val="en-US" w:eastAsia="zh-CN"/>
              </w:rPr>
              <w:t>Cochrane Library (Date: September 12, 2024)</w:t>
            </w:r>
          </w:p>
        </w:tc>
      </w:tr>
      <w:tr w14:paraId="2A1B5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0EF6D9E7">
            <w:pPr>
              <w:keepNext w:val="0"/>
              <w:keepLines w:val="0"/>
              <w:pageBreakBefore w:val="0"/>
              <w:widowControl w:val="0"/>
              <w:numPr>
                <w:ilvl w:val="0"/>
                <w:numId w:val="0"/>
              </w:numPr>
              <w:kinsoku/>
              <w:wordWrap/>
              <w:overflowPunct/>
              <w:topLinePunct w:val="0"/>
              <w:autoSpaceDE/>
              <w:autoSpaceDN/>
              <w:bidi w:val="0"/>
              <w:adjustRightInd/>
              <w:snapToGrid/>
              <w:spacing w:after="0" w:line="240" w:lineRule="atLeast"/>
              <w:ind w:left="0" w:leftChars="0" w:firstLine="0" w:firstLineChars="0"/>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No.</w:t>
            </w:r>
          </w:p>
        </w:tc>
        <w:tc>
          <w:tcPr>
            <w:tcW w:w="7438" w:type="dxa"/>
            <w:gridSpan w:val="2"/>
            <w:vAlign w:val="center"/>
          </w:tcPr>
          <w:p w14:paraId="709A0297">
            <w:pPr>
              <w:keepNext w:val="0"/>
              <w:keepLines w:val="0"/>
              <w:widowControl/>
              <w:suppressLineNumbers w:val="0"/>
              <w:spacing w:after="0" w:line="240" w:lineRule="auto"/>
              <w:jc w:val="right"/>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14:paraId="50B09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55815672">
            <w:pPr>
              <w:spacing w:after="0" w:line="240" w:lineRule="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lang w:val="en-US" w:eastAsia="zh-CN"/>
              </w:rPr>
              <w:t>#1</w:t>
            </w:r>
          </w:p>
        </w:tc>
        <w:tc>
          <w:tcPr>
            <w:tcW w:w="6314" w:type="dxa"/>
            <w:vAlign w:val="top"/>
          </w:tcPr>
          <w:p w14:paraId="794BBD9B">
            <w:pPr>
              <w:spacing w:after="0" w:line="240" w:lineRule="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rPr>
              <w:t>MeSH descriptor: [Prehypertension] explode all trees</w:t>
            </w:r>
          </w:p>
        </w:tc>
        <w:tc>
          <w:tcPr>
            <w:tcW w:w="1124" w:type="dxa"/>
            <w:vAlign w:val="top"/>
          </w:tcPr>
          <w:p w14:paraId="30F601D6">
            <w:pPr>
              <w:spacing w:after="0" w:line="240" w:lineRule="auto"/>
              <w:jc w:val="right"/>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lang w:val="en-US" w:eastAsia="zh-CN"/>
              </w:rPr>
              <w:t>262</w:t>
            </w:r>
          </w:p>
        </w:tc>
      </w:tr>
      <w:tr w14:paraId="5F9C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1D36A78A">
            <w:pPr>
              <w:spacing w:after="0" w:line="240" w:lineRule="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lang w:val="en-US" w:eastAsia="zh-CN"/>
              </w:rPr>
              <w:t>#2</w:t>
            </w:r>
          </w:p>
        </w:tc>
        <w:tc>
          <w:tcPr>
            <w:tcW w:w="6314" w:type="dxa"/>
            <w:vAlign w:val="top"/>
          </w:tcPr>
          <w:p w14:paraId="0750D08B">
            <w:pPr>
              <w:spacing w:after="0" w:line="240" w:lineRule="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rPr>
              <w:t>(Prehypertension*):ti,ab,kw OR (Pre-Hypertension*):ti,ab,kw OR (Pre Hypertension*):ti,ab,kw OR (Pre-HTN):ti,ab,kw OR (PreHTN):ti,ab,kw (Word variations have been searched)</w:t>
            </w:r>
          </w:p>
        </w:tc>
        <w:tc>
          <w:tcPr>
            <w:tcW w:w="1124" w:type="dxa"/>
            <w:vAlign w:val="top"/>
          </w:tcPr>
          <w:p w14:paraId="74EDCDD5">
            <w:pPr>
              <w:spacing w:after="0" w:line="240" w:lineRule="auto"/>
              <w:jc w:val="right"/>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lang w:val="en-US" w:eastAsia="zh-CN"/>
              </w:rPr>
              <w:t>6,188</w:t>
            </w:r>
          </w:p>
        </w:tc>
      </w:tr>
      <w:tr w14:paraId="38688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268A00D0">
            <w:pPr>
              <w:spacing w:after="0" w:line="240" w:lineRule="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lang w:val="en-US" w:eastAsia="zh-CN"/>
              </w:rPr>
              <w:t>#3</w:t>
            </w:r>
          </w:p>
        </w:tc>
        <w:tc>
          <w:tcPr>
            <w:tcW w:w="6314" w:type="dxa"/>
            <w:vAlign w:val="top"/>
          </w:tcPr>
          <w:p w14:paraId="72640638">
            <w:pPr>
              <w:spacing w:after="0" w:line="240" w:lineRule="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rPr>
              <w:t>(Borderline hypertension*):ti,ab,kw OR (Early hypertension*):ti,ab,kw (Word variations have been searched)</w:t>
            </w:r>
          </w:p>
        </w:tc>
        <w:tc>
          <w:tcPr>
            <w:tcW w:w="1124" w:type="dxa"/>
            <w:vAlign w:val="top"/>
          </w:tcPr>
          <w:p w14:paraId="4328C8B4">
            <w:pPr>
              <w:spacing w:after="0" w:line="240" w:lineRule="auto"/>
              <w:jc w:val="right"/>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rPr>
              <w:t>5</w:t>
            </w:r>
            <w:r>
              <w:rPr>
                <w:rFonts w:hint="default" w:ascii="Times New Roman" w:hAnsi="Times New Roman" w:cs="Times New Roman"/>
                <w:lang w:val="en-US" w:eastAsia="zh-CN"/>
              </w:rPr>
              <w:t>,</w:t>
            </w:r>
            <w:r>
              <w:rPr>
                <w:rFonts w:hint="default" w:ascii="Times New Roman" w:hAnsi="Times New Roman" w:cs="Times New Roman"/>
              </w:rPr>
              <w:t>918</w:t>
            </w:r>
          </w:p>
        </w:tc>
      </w:tr>
      <w:tr w14:paraId="5C50B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2C09D2D9">
            <w:pPr>
              <w:spacing w:after="0" w:line="240" w:lineRule="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lang w:val="en-US" w:eastAsia="zh-CN"/>
              </w:rPr>
              <w:t>#4</w:t>
            </w:r>
          </w:p>
        </w:tc>
        <w:tc>
          <w:tcPr>
            <w:tcW w:w="6314" w:type="dxa"/>
            <w:vAlign w:val="top"/>
          </w:tcPr>
          <w:p w14:paraId="7A6A6579">
            <w:pPr>
              <w:spacing w:after="0" w:line="240" w:lineRule="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rPr>
              <w:t>#1 OR #2 OR #3</w:t>
            </w:r>
          </w:p>
        </w:tc>
        <w:tc>
          <w:tcPr>
            <w:tcW w:w="1124" w:type="dxa"/>
            <w:vAlign w:val="top"/>
          </w:tcPr>
          <w:p w14:paraId="3AAFCABA">
            <w:pPr>
              <w:spacing w:after="0" w:line="240" w:lineRule="auto"/>
              <w:jc w:val="right"/>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lang w:val="en-US" w:eastAsia="zh-CN"/>
              </w:rPr>
              <w:t>11,370</w:t>
            </w:r>
          </w:p>
        </w:tc>
      </w:tr>
      <w:tr w14:paraId="41DEB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3564194F">
            <w:pPr>
              <w:spacing w:after="0" w:line="240" w:lineRule="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lang w:val="en-US" w:eastAsia="zh-CN"/>
              </w:rPr>
              <w:t>#5</w:t>
            </w:r>
          </w:p>
        </w:tc>
        <w:tc>
          <w:tcPr>
            <w:tcW w:w="6314" w:type="dxa"/>
            <w:vAlign w:val="top"/>
          </w:tcPr>
          <w:p w14:paraId="3E25E112">
            <w:pPr>
              <w:spacing w:after="0" w:line="240" w:lineRule="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rPr>
              <w:t>MeSH descriptor: [Exercise] explode all trees</w:t>
            </w:r>
          </w:p>
        </w:tc>
        <w:tc>
          <w:tcPr>
            <w:tcW w:w="1124" w:type="dxa"/>
            <w:vAlign w:val="top"/>
          </w:tcPr>
          <w:p w14:paraId="35A44873">
            <w:pPr>
              <w:spacing w:after="0" w:line="240" w:lineRule="auto"/>
              <w:jc w:val="right"/>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rPr>
              <w:t>39</w:t>
            </w:r>
            <w:r>
              <w:rPr>
                <w:rFonts w:hint="default" w:ascii="Times New Roman" w:hAnsi="Times New Roman" w:cs="Times New Roman"/>
                <w:lang w:val="en-US" w:eastAsia="zh-CN"/>
              </w:rPr>
              <w:t>,</w:t>
            </w:r>
            <w:r>
              <w:rPr>
                <w:rFonts w:hint="default" w:ascii="Times New Roman" w:hAnsi="Times New Roman" w:cs="Times New Roman"/>
              </w:rPr>
              <w:t>380</w:t>
            </w:r>
          </w:p>
        </w:tc>
      </w:tr>
      <w:tr w14:paraId="29DCC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6B185E4C">
            <w:pPr>
              <w:spacing w:after="0" w:line="240" w:lineRule="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lang w:val="en-US" w:eastAsia="zh-CN"/>
              </w:rPr>
              <w:t>#6</w:t>
            </w:r>
          </w:p>
        </w:tc>
        <w:tc>
          <w:tcPr>
            <w:tcW w:w="6314" w:type="dxa"/>
            <w:vAlign w:val="top"/>
          </w:tcPr>
          <w:p w14:paraId="34FD3D93">
            <w:pPr>
              <w:spacing w:after="0" w:line="240" w:lineRule="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rPr>
              <w:t>MeSH descriptor: [Resistance Training] explode all trees</w:t>
            </w:r>
          </w:p>
        </w:tc>
        <w:tc>
          <w:tcPr>
            <w:tcW w:w="1124" w:type="dxa"/>
            <w:vAlign w:val="top"/>
          </w:tcPr>
          <w:p w14:paraId="379A548D">
            <w:pPr>
              <w:spacing w:after="0" w:line="240" w:lineRule="auto"/>
              <w:jc w:val="right"/>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lang w:val="en-US" w:eastAsia="zh-CN"/>
              </w:rPr>
              <w:t>5,813</w:t>
            </w:r>
          </w:p>
        </w:tc>
      </w:tr>
      <w:tr w14:paraId="3F320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431F3330">
            <w:pPr>
              <w:spacing w:after="0" w:line="240" w:lineRule="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lang w:val="en-US" w:eastAsia="zh-CN"/>
              </w:rPr>
              <w:t>#7</w:t>
            </w:r>
          </w:p>
        </w:tc>
        <w:tc>
          <w:tcPr>
            <w:tcW w:w="6314" w:type="dxa"/>
            <w:vAlign w:val="top"/>
          </w:tcPr>
          <w:p w14:paraId="4D7B080A">
            <w:pPr>
              <w:spacing w:after="0" w:line="240" w:lineRule="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rPr>
              <w:t>MeSH descriptor: [Endurance Training] explode all trees</w:t>
            </w:r>
            <w:r>
              <w:rPr>
                <w:rFonts w:hint="default" w:ascii="Times New Roman" w:hAnsi="Times New Roman" w:cs="Times New Roman"/>
              </w:rPr>
              <w:tab/>
            </w:r>
          </w:p>
        </w:tc>
        <w:tc>
          <w:tcPr>
            <w:tcW w:w="1124" w:type="dxa"/>
            <w:vAlign w:val="top"/>
          </w:tcPr>
          <w:p w14:paraId="1216B593">
            <w:pPr>
              <w:spacing w:after="0" w:line="240" w:lineRule="auto"/>
              <w:jc w:val="right"/>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lang w:val="en-US" w:eastAsia="zh-CN"/>
              </w:rPr>
              <w:t>200</w:t>
            </w:r>
          </w:p>
        </w:tc>
      </w:tr>
      <w:tr w14:paraId="4116A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036EEC20">
            <w:pPr>
              <w:spacing w:after="0" w:line="240" w:lineRule="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lang w:val="en-US" w:eastAsia="zh-CN"/>
              </w:rPr>
              <w:t>#8</w:t>
            </w:r>
          </w:p>
        </w:tc>
        <w:tc>
          <w:tcPr>
            <w:tcW w:w="6314" w:type="dxa"/>
            <w:vAlign w:val="top"/>
          </w:tcPr>
          <w:p w14:paraId="7F7B0695">
            <w:pPr>
              <w:spacing w:after="0" w:line="240" w:lineRule="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rPr>
              <w:t>MeSH descriptor: [High-Intensity Interval Training] explode all trees</w:t>
            </w:r>
          </w:p>
        </w:tc>
        <w:tc>
          <w:tcPr>
            <w:tcW w:w="1124" w:type="dxa"/>
            <w:vAlign w:val="top"/>
          </w:tcPr>
          <w:p w14:paraId="43FBCCF4">
            <w:pPr>
              <w:spacing w:after="0" w:line="240" w:lineRule="auto"/>
              <w:jc w:val="right"/>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lang w:val="en-US" w:eastAsia="zh-CN"/>
              </w:rPr>
              <w:t>1,147</w:t>
            </w:r>
          </w:p>
        </w:tc>
      </w:tr>
      <w:tr w14:paraId="7CE7C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54DBE31B">
            <w:pPr>
              <w:spacing w:after="0" w:line="240" w:lineRule="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lang w:val="en-US" w:eastAsia="zh-CN"/>
              </w:rPr>
              <w:t>#9</w:t>
            </w:r>
          </w:p>
        </w:tc>
        <w:tc>
          <w:tcPr>
            <w:tcW w:w="6314" w:type="dxa"/>
            <w:vAlign w:val="top"/>
          </w:tcPr>
          <w:p w14:paraId="28B953B8">
            <w:pPr>
              <w:spacing w:after="0" w:line="240" w:lineRule="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rPr>
              <w:t>MeSH descriptor: [Walking] explode all trees</w:t>
            </w:r>
          </w:p>
        </w:tc>
        <w:tc>
          <w:tcPr>
            <w:tcW w:w="1124" w:type="dxa"/>
            <w:vAlign w:val="top"/>
          </w:tcPr>
          <w:p w14:paraId="5AB53D7E">
            <w:pPr>
              <w:spacing w:after="0" w:line="240" w:lineRule="auto"/>
              <w:jc w:val="right"/>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lang w:val="en-US" w:eastAsia="zh-CN"/>
              </w:rPr>
              <w:t>8,389</w:t>
            </w:r>
          </w:p>
        </w:tc>
      </w:tr>
      <w:tr w14:paraId="0BCB1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4BDE5720">
            <w:pPr>
              <w:spacing w:after="0" w:line="240" w:lineRule="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lang w:val="en-US" w:eastAsia="zh-CN"/>
              </w:rPr>
              <w:t>#10</w:t>
            </w:r>
          </w:p>
        </w:tc>
        <w:tc>
          <w:tcPr>
            <w:tcW w:w="6314" w:type="dxa"/>
            <w:vAlign w:val="top"/>
          </w:tcPr>
          <w:p w14:paraId="496A9CFD">
            <w:pPr>
              <w:spacing w:after="0" w:line="240" w:lineRule="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rPr>
              <w:t>MeSH descriptor: [Jogging] explode all trees</w:t>
            </w:r>
          </w:p>
        </w:tc>
        <w:tc>
          <w:tcPr>
            <w:tcW w:w="1124" w:type="dxa"/>
            <w:vAlign w:val="top"/>
          </w:tcPr>
          <w:p w14:paraId="6FFB4723">
            <w:pPr>
              <w:spacing w:after="0" w:line="240" w:lineRule="auto"/>
              <w:jc w:val="right"/>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69</w:t>
            </w:r>
          </w:p>
        </w:tc>
      </w:tr>
      <w:tr w14:paraId="78E1B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4A86640F">
            <w:pPr>
              <w:spacing w:after="0" w:line="240" w:lineRule="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lang w:val="en-US" w:eastAsia="zh-CN"/>
              </w:rPr>
              <w:t>#11</w:t>
            </w:r>
          </w:p>
        </w:tc>
        <w:tc>
          <w:tcPr>
            <w:tcW w:w="6314" w:type="dxa"/>
            <w:vAlign w:val="top"/>
          </w:tcPr>
          <w:p w14:paraId="57E44CBF">
            <w:pPr>
              <w:spacing w:after="0" w:line="240" w:lineRule="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rPr>
              <w:t>(Exercise*):ti,ab,kw OR (Aerobic exercise*):ti,ab,kw OR (Physical Conditioning, human):ti,ab,kw OR (Physical activit*):ti,ab,kw OR (Physical Exercise*):ti,ab,kw (Word variations have been searched)</w:t>
            </w:r>
          </w:p>
        </w:tc>
        <w:tc>
          <w:tcPr>
            <w:tcW w:w="1124" w:type="dxa"/>
            <w:vAlign w:val="top"/>
          </w:tcPr>
          <w:p w14:paraId="6B409677">
            <w:pPr>
              <w:spacing w:after="0" w:line="240" w:lineRule="auto"/>
              <w:jc w:val="right"/>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rPr>
              <w:t>192</w:t>
            </w:r>
            <w:r>
              <w:rPr>
                <w:rFonts w:hint="default" w:ascii="Times New Roman" w:hAnsi="Times New Roman" w:cs="Times New Roman"/>
                <w:lang w:val="en-US" w:eastAsia="zh-CN"/>
              </w:rPr>
              <w:t>,</w:t>
            </w:r>
            <w:r>
              <w:rPr>
                <w:rFonts w:hint="default" w:ascii="Times New Roman" w:hAnsi="Times New Roman" w:cs="Times New Roman"/>
              </w:rPr>
              <w:t>795</w:t>
            </w:r>
          </w:p>
        </w:tc>
      </w:tr>
      <w:tr w14:paraId="4EA0D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362C792C">
            <w:pPr>
              <w:spacing w:after="0" w:line="240" w:lineRule="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lang w:val="en-US" w:eastAsia="zh-CN"/>
              </w:rPr>
              <w:t>#12</w:t>
            </w:r>
          </w:p>
        </w:tc>
        <w:tc>
          <w:tcPr>
            <w:tcW w:w="6314" w:type="dxa"/>
            <w:vAlign w:val="top"/>
          </w:tcPr>
          <w:p w14:paraId="7C4F824B">
            <w:pPr>
              <w:spacing w:after="0" w:line="240" w:lineRule="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rPr>
              <w:t>(Circuit-Based Exercise*):ti,ab,kw OR (Inspiratory Training*):ti,ab,kw OR (Exercise Training*):ti,ab,kw OR (Endurance Training*):ti,ab,kw OR (Isometric Exercise*):ti,ab,kw (Word variations have been searched)</w:t>
            </w:r>
          </w:p>
        </w:tc>
        <w:tc>
          <w:tcPr>
            <w:tcW w:w="1124" w:type="dxa"/>
            <w:vAlign w:val="top"/>
          </w:tcPr>
          <w:p w14:paraId="5D8A135B">
            <w:pPr>
              <w:spacing w:after="0" w:line="240" w:lineRule="auto"/>
              <w:jc w:val="right"/>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rPr>
              <w:t>58</w:t>
            </w:r>
            <w:r>
              <w:rPr>
                <w:rFonts w:hint="default" w:ascii="Times New Roman" w:hAnsi="Times New Roman" w:cs="Times New Roman"/>
                <w:lang w:val="en-US" w:eastAsia="zh-CN"/>
              </w:rPr>
              <w:t>,</w:t>
            </w:r>
            <w:r>
              <w:rPr>
                <w:rFonts w:hint="default" w:ascii="Times New Roman" w:hAnsi="Times New Roman" w:cs="Times New Roman"/>
              </w:rPr>
              <w:t>145</w:t>
            </w:r>
          </w:p>
        </w:tc>
      </w:tr>
      <w:tr w14:paraId="315B9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2C6434E0">
            <w:pPr>
              <w:spacing w:after="0" w:line="240" w:lineRule="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lang w:val="en-US" w:eastAsia="zh-CN"/>
              </w:rPr>
              <w:t>#13</w:t>
            </w:r>
          </w:p>
        </w:tc>
        <w:tc>
          <w:tcPr>
            <w:tcW w:w="6314" w:type="dxa"/>
            <w:vAlign w:val="top"/>
          </w:tcPr>
          <w:p w14:paraId="3384162D">
            <w:pPr>
              <w:spacing w:after="0" w:line="240" w:lineRule="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rPr>
              <w:t>(Sport*):ti,ab,kw OR (Gymnastics):ti,ab,kw OR (Muscle Stretching Exercise):ti,ab,kw OR (Walking):ti,ab,kw OR (Swimming):ti,ab,kw (Word variations have been searched)</w:t>
            </w:r>
          </w:p>
        </w:tc>
        <w:tc>
          <w:tcPr>
            <w:tcW w:w="1124" w:type="dxa"/>
            <w:vAlign w:val="top"/>
          </w:tcPr>
          <w:p w14:paraId="793FF9D4">
            <w:pPr>
              <w:spacing w:after="0" w:line="240" w:lineRule="auto"/>
              <w:jc w:val="right"/>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lang w:val="en-US" w:eastAsia="zh-CN"/>
              </w:rPr>
              <w:t>63,782</w:t>
            </w:r>
          </w:p>
        </w:tc>
      </w:tr>
      <w:tr w14:paraId="32872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229B406E">
            <w:pPr>
              <w:spacing w:after="0" w:line="240" w:lineRule="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lang w:val="en-US" w:eastAsia="zh-CN"/>
              </w:rPr>
              <w:t>#14</w:t>
            </w:r>
          </w:p>
        </w:tc>
        <w:tc>
          <w:tcPr>
            <w:tcW w:w="6314" w:type="dxa"/>
            <w:vAlign w:val="top"/>
          </w:tcPr>
          <w:p w14:paraId="4D1EA75F">
            <w:pPr>
              <w:spacing w:after="0" w:line="240" w:lineRule="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rPr>
              <w:t>(High-Intensity Interval Training):ti,ab,kw OR (Plyometric Exercise):ti,ab,kw OR (Flexibility Exercise):ti,ab,kw OR (Resistance Training):ti,ab,kw OR (Stair Climbing):ti,ab,kw (Word variations have been searched)</w:t>
            </w:r>
          </w:p>
        </w:tc>
        <w:tc>
          <w:tcPr>
            <w:tcW w:w="1124" w:type="dxa"/>
            <w:vAlign w:val="top"/>
          </w:tcPr>
          <w:p w14:paraId="5B389191">
            <w:pPr>
              <w:spacing w:after="0" w:line="240" w:lineRule="auto"/>
              <w:jc w:val="right"/>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lang w:val="en-US" w:eastAsia="zh-CN"/>
              </w:rPr>
              <w:t>29,014</w:t>
            </w:r>
          </w:p>
        </w:tc>
      </w:tr>
      <w:tr w14:paraId="07771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5533D23C">
            <w:pPr>
              <w:spacing w:after="0" w:line="240" w:lineRule="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lang w:val="en-US" w:eastAsia="zh-CN"/>
              </w:rPr>
              <w:t>#15</w:t>
            </w:r>
          </w:p>
        </w:tc>
        <w:tc>
          <w:tcPr>
            <w:tcW w:w="6314" w:type="dxa"/>
            <w:vAlign w:val="top"/>
          </w:tcPr>
          <w:p w14:paraId="5D99CAD9">
            <w:pPr>
              <w:spacing w:after="0" w:line="240" w:lineRule="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rPr>
              <w:t>(Running):ti,ab,kw OR (Jogging):ti,ab,kw OR (Taichi):ti,ab,kw OR (Qigong):ti,ab,kw OR (Yoga):ti,ab,kw (Word variations have been searched)</w:t>
            </w:r>
          </w:p>
        </w:tc>
        <w:tc>
          <w:tcPr>
            <w:tcW w:w="1124" w:type="dxa"/>
            <w:vAlign w:val="top"/>
          </w:tcPr>
          <w:p w14:paraId="5DC0C2AD">
            <w:pPr>
              <w:spacing w:after="0" w:line="240" w:lineRule="auto"/>
              <w:jc w:val="right"/>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lang w:val="en-US" w:eastAsia="zh-CN"/>
              </w:rPr>
              <w:t>35,280</w:t>
            </w:r>
          </w:p>
        </w:tc>
      </w:tr>
      <w:tr w14:paraId="1F586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42C1E7AD">
            <w:pPr>
              <w:spacing w:after="0" w:line="240" w:lineRule="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lang w:val="en-US" w:eastAsia="zh-CN"/>
              </w:rPr>
              <w:t>#16</w:t>
            </w:r>
          </w:p>
        </w:tc>
        <w:tc>
          <w:tcPr>
            <w:tcW w:w="6314" w:type="dxa"/>
            <w:vAlign w:val="top"/>
          </w:tcPr>
          <w:p w14:paraId="79E8EE3B">
            <w:pPr>
              <w:spacing w:after="0" w:line="240" w:lineRule="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rPr>
              <w:t xml:space="preserve">#5 OR #6 OR #7 OR #8 OR </w:t>
            </w:r>
            <w:r>
              <w:rPr>
                <w:rFonts w:hint="default" w:ascii="Times New Roman" w:hAnsi="Times New Roman" w:cs="Times New Roman"/>
                <w:lang w:val="en-US" w:eastAsia="zh-CN"/>
              </w:rPr>
              <w:t xml:space="preserve">#9 </w:t>
            </w:r>
            <w:r>
              <w:rPr>
                <w:rFonts w:hint="default" w:ascii="Times New Roman" w:hAnsi="Times New Roman" w:cs="Times New Roman"/>
              </w:rPr>
              <w:t xml:space="preserve">OR </w:t>
            </w:r>
            <w:r>
              <w:rPr>
                <w:rFonts w:hint="default" w:ascii="Times New Roman" w:hAnsi="Times New Roman" w:cs="Times New Roman"/>
                <w:lang w:val="en-US" w:eastAsia="zh-CN"/>
              </w:rPr>
              <w:t xml:space="preserve">#10 </w:t>
            </w:r>
            <w:r>
              <w:rPr>
                <w:rFonts w:hint="default" w:ascii="Times New Roman" w:hAnsi="Times New Roman" w:cs="Times New Roman"/>
              </w:rPr>
              <w:t>OR #11 OR #12 OR #13 OR #14 OR #15</w:t>
            </w:r>
          </w:p>
        </w:tc>
        <w:tc>
          <w:tcPr>
            <w:tcW w:w="1124" w:type="dxa"/>
            <w:vAlign w:val="top"/>
          </w:tcPr>
          <w:p w14:paraId="70F7A486">
            <w:pPr>
              <w:spacing w:after="0" w:line="240" w:lineRule="auto"/>
              <w:jc w:val="right"/>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lang w:val="en-US" w:eastAsia="zh-CN"/>
              </w:rPr>
              <w:t>244,653</w:t>
            </w:r>
          </w:p>
        </w:tc>
      </w:tr>
      <w:tr w14:paraId="0077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278A5ADF">
            <w:pPr>
              <w:spacing w:after="0" w:line="240" w:lineRule="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lang w:val="en-US" w:eastAsia="zh-CN"/>
              </w:rPr>
              <w:t>#17</w:t>
            </w:r>
          </w:p>
        </w:tc>
        <w:tc>
          <w:tcPr>
            <w:tcW w:w="6314" w:type="dxa"/>
            <w:vAlign w:val="top"/>
          </w:tcPr>
          <w:p w14:paraId="76BC8AA0">
            <w:pPr>
              <w:spacing w:after="0" w:line="240" w:lineRule="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lang w:val="en-US" w:eastAsia="zh-CN"/>
              </w:rPr>
              <w:t>MeSH descriptor: [Randomized Controlled Trial] explode all trees</w:t>
            </w:r>
          </w:p>
        </w:tc>
        <w:tc>
          <w:tcPr>
            <w:tcW w:w="1124" w:type="dxa"/>
            <w:vAlign w:val="top"/>
          </w:tcPr>
          <w:p w14:paraId="44C3DBE8">
            <w:pPr>
              <w:spacing w:after="0" w:line="240" w:lineRule="auto"/>
              <w:jc w:val="right"/>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lang w:val="en-US" w:eastAsia="zh-CN"/>
              </w:rPr>
              <w:t>37</w:t>
            </w:r>
          </w:p>
        </w:tc>
      </w:tr>
      <w:tr w14:paraId="07FF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4C4E30C3">
            <w:pPr>
              <w:spacing w:after="0" w:line="240" w:lineRule="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lang w:val="en-US" w:eastAsia="zh-CN"/>
              </w:rPr>
              <w:t>#18</w:t>
            </w:r>
          </w:p>
        </w:tc>
        <w:tc>
          <w:tcPr>
            <w:tcW w:w="6314" w:type="dxa"/>
            <w:vAlign w:val="top"/>
          </w:tcPr>
          <w:p w14:paraId="32B6B8F0">
            <w:pPr>
              <w:spacing w:after="0" w:line="240" w:lineRule="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rPr>
              <w:t>(Randomized Controlled Trial*):ti,ab,kw OR (Clinical Trial*, Randomized):ti,ab,kw OR (Trial*, Randomized Clinical):ti,ab,kw OR (Controlled Clinical Trial*, Randomized):ti,ab,kw OR (Random allocation):ti,ab,kw (Word variations have been searched)</w:t>
            </w:r>
          </w:p>
        </w:tc>
        <w:tc>
          <w:tcPr>
            <w:tcW w:w="1124" w:type="dxa"/>
            <w:vAlign w:val="top"/>
          </w:tcPr>
          <w:p w14:paraId="4016B2EC">
            <w:pPr>
              <w:spacing w:after="0" w:line="240" w:lineRule="auto"/>
              <w:jc w:val="right"/>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lang w:val="en-US" w:eastAsia="zh-CN"/>
              </w:rPr>
              <w:t>927,628</w:t>
            </w:r>
          </w:p>
        </w:tc>
      </w:tr>
      <w:tr w14:paraId="0E425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60B15546">
            <w:pPr>
              <w:spacing w:after="0" w:line="240" w:lineRule="auto"/>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#19</w:t>
            </w:r>
          </w:p>
        </w:tc>
        <w:tc>
          <w:tcPr>
            <w:tcW w:w="6314" w:type="dxa"/>
            <w:vAlign w:val="top"/>
          </w:tcPr>
          <w:p w14:paraId="5AD03BAF">
            <w:pPr>
              <w:spacing w:after="0" w:line="240" w:lineRule="auto"/>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#17 OR #18</w:t>
            </w:r>
          </w:p>
        </w:tc>
        <w:tc>
          <w:tcPr>
            <w:tcW w:w="1124" w:type="dxa"/>
            <w:vAlign w:val="top"/>
          </w:tcPr>
          <w:p w14:paraId="5158B661">
            <w:pPr>
              <w:spacing w:after="0" w:line="240" w:lineRule="auto"/>
              <w:jc w:val="right"/>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927,628</w:t>
            </w:r>
          </w:p>
        </w:tc>
      </w:tr>
      <w:tr w14:paraId="2877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54F3BB70">
            <w:pPr>
              <w:spacing w:after="0" w:line="240" w:lineRule="auto"/>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#20</w:t>
            </w:r>
          </w:p>
        </w:tc>
        <w:tc>
          <w:tcPr>
            <w:tcW w:w="6314" w:type="dxa"/>
            <w:vAlign w:val="top"/>
          </w:tcPr>
          <w:p w14:paraId="0563C121">
            <w:pPr>
              <w:spacing w:after="0" w:line="240" w:lineRule="auto"/>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rPr>
              <w:t>#4 AND #16 AND #19 in Trials</w:t>
            </w:r>
            <w:r>
              <w:rPr>
                <w:rFonts w:hint="default" w:ascii="Times New Roman" w:hAnsi="Times New Roman" w:cs="Times New Roman"/>
                <w:lang w:val="en-US" w:eastAsia="zh-CN"/>
              </w:rPr>
              <w:t xml:space="preserve"> (Language: English)</w:t>
            </w:r>
          </w:p>
        </w:tc>
        <w:tc>
          <w:tcPr>
            <w:tcW w:w="1124" w:type="dxa"/>
            <w:vAlign w:val="top"/>
          </w:tcPr>
          <w:p w14:paraId="5AD29FBA">
            <w:pPr>
              <w:spacing w:after="0" w:line="240" w:lineRule="auto"/>
              <w:jc w:val="right"/>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1,146</w:t>
            </w:r>
          </w:p>
        </w:tc>
      </w:tr>
      <w:tr w14:paraId="5FED9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vAlign w:val="top"/>
          </w:tcPr>
          <w:p w14:paraId="25A8E43A">
            <w:pPr>
              <w:spacing w:after="0" w:line="240" w:lineRule="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CINAHL ,SPORTDiscus, and Rehabilitation &amp; Sports Medicine Source from EBSCO Interface</w:t>
            </w:r>
          </w:p>
          <w:p w14:paraId="570A8CD0">
            <w:pPr>
              <w:spacing w:after="0" w:line="240" w:lineRule="auto"/>
              <w:rPr>
                <w:rFonts w:hint="default" w:ascii="Times New Roman" w:hAnsi="Times New Roman" w:cs="Times New Roman" w:eastAsiaTheme="minorEastAsia"/>
                <w:kern w:val="2"/>
                <w:sz w:val="21"/>
                <w:szCs w:val="24"/>
                <w:lang w:val="en-US" w:eastAsia="zh-CN" w:bidi="ar-SA"/>
              </w:rPr>
            </w:pPr>
            <w:r>
              <w:rPr>
                <w:rFonts w:hint="default" w:ascii="Times New Roman" w:hAnsi="Times New Roman" w:eastAsia="宋体" w:cs="Times New Roman"/>
                <w:b/>
                <w:bCs/>
                <w:sz w:val="21"/>
                <w:szCs w:val="21"/>
                <w:lang w:val="en-US" w:eastAsia="zh-CN"/>
              </w:rPr>
              <w:t>(Date: September 12, 2024)</w:t>
            </w:r>
          </w:p>
        </w:tc>
      </w:tr>
      <w:tr w14:paraId="6A8DF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62CFF71F">
            <w:pPr>
              <w:spacing w:after="0" w:line="240" w:lineRule="auto"/>
              <w:rPr>
                <w:rFonts w:hint="default" w:ascii="Times New Roman" w:hAnsi="Times New Roman" w:cs="Times New Roman"/>
                <w:lang w:val="en-US" w:eastAsia="zh-CN"/>
              </w:rPr>
            </w:pPr>
            <w:r>
              <w:rPr>
                <w:rFonts w:hint="default" w:ascii="Times New Roman" w:hAnsi="Times New Roman" w:cs="Times New Roman"/>
                <w:lang w:val="en-US" w:eastAsia="zh-CN"/>
              </w:rPr>
              <w:t>No.</w:t>
            </w:r>
          </w:p>
        </w:tc>
        <w:tc>
          <w:tcPr>
            <w:tcW w:w="7438" w:type="dxa"/>
            <w:gridSpan w:val="2"/>
            <w:vAlign w:val="top"/>
          </w:tcPr>
          <w:p w14:paraId="102B282C">
            <w:pPr>
              <w:spacing w:after="0" w:line="240" w:lineRule="auto"/>
              <w:rPr>
                <w:rFonts w:hint="default" w:ascii="Times New Roman" w:hAnsi="Times New Roman" w:cs="Times New Roman" w:eastAsiaTheme="minorEastAsia"/>
                <w:kern w:val="2"/>
                <w:sz w:val="21"/>
                <w:szCs w:val="24"/>
                <w:lang w:val="en-US" w:eastAsia="zh-CN" w:bidi="ar-SA"/>
              </w:rPr>
            </w:pPr>
          </w:p>
        </w:tc>
      </w:tr>
      <w:tr w14:paraId="1F77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4374A998">
            <w:pPr>
              <w:spacing w:after="0" w:line="240" w:lineRule="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lang w:val="en-US" w:eastAsia="zh-CN"/>
              </w:rPr>
              <w:t>#1</w:t>
            </w:r>
          </w:p>
        </w:tc>
        <w:tc>
          <w:tcPr>
            <w:tcW w:w="6314" w:type="dxa"/>
            <w:vAlign w:val="center"/>
          </w:tcPr>
          <w:p w14:paraId="769E9782">
            <w:pPr>
              <w:keepNext w:val="0"/>
              <w:keepLines w:val="0"/>
              <w:widowControl/>
              <w:suppressLineNumbers w:val="0"/>
              <w:spacing w:after="0" w:line="240" w:lineRule="auto"/>
              <w:jc w:val="left"/>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Helvetica" w:cs="Times New Roman"/>
                <w:i w:val="0"/>
                <w:iCs w:val="0"/>
                <w:color w:val="333333"/>
                <w:kern w:val="0"/>
                <w:sz w:val="21"/>
                <w:szCs w:val="21"/>
                <w:u w:val="none"/>
                <w:lang w:val="en-US" w:eastAsia="zh-CN" w:bidi="ar"/>
              </w:rPr>
              <w:t>SU Prehypertension* OR SU Pre-Hypertension* OR SU Pre Hypertension* OR SU Pre-HTN OR SU PreHTN OR SU High normal blood pressure OR SU elevated blood pressure OR SU Borderline hypertension* OR SU Early hypertension*</w:t>
            </w:r>
          </w:p>
        </w:tc>
        <w:tc>
          <w:tcPr>
            <w:tcW w:w="1124" w:type="dxa"/>
            <w:vAlign w:val="center"/>
          </w:tcPr>
          <w:p w14:paraId="109A9FC6">
            <w:pPr>
              <w:keepNext w:val="0"/>
              <w:keepLines w:val="0"/>
              <w:widowControl/>
              <w:suppressLineNumbers w:val="0"/>
              <w:spacing w:after="0" w:line="240" w:lineRule="auto"/>
              <w:jc w:val="right"/>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Helvetica" w:cs="Times New Roman"/>
                <w:i w:val="0"/>
                <w:iCs w:val="0"/>
                <w:color w:val="333333"/>
                <w:kern w:val="0"/>
                <w:sz w:val="21"/>
                <w:szCs w:val="21"/>
                <w:u w:val="none"/>
                <w:lang w:val="en-US" w:eastAsia="zh-CN" w:bidi="ar"/>
              </w:rPr>
              <w:t>3,267</w:t>
            </w:r>
          </w:p>
        </w:tc>
      </w:tr>
      <w:tr w14:paraId="77FF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05D4A6B5">
            <w:pPr>
              <w:spacing w:after="0" w:line="240" w:lineRule="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lang w:val="en-US" w:eastAsia="zh-CN"/>
              </w:rPr>
              <w:t>#2</w:t>
            </w:r>
          </w:p>
        </w:tc>
        <w:tc>
          <w:tcPr>
            <w:tcW w:w="6314" w:type="dxa"/>
            <w:vAlign w:val="center"/>
          </w:tcPr>
          <w:p w14:paraId="7AC7A29E">
            <w:pPr>
              <w:keepNext w:val="0"/>
              <w:keepLines w:val="0"/>
              <w:widowControl/>
              <w:suppressLineNumbers w:val="0"/>
              <w:spacing w:after="0" w:line="240" w:lineRule="auto"/>
              <w:jc w:val="left"/>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Helvetica" w:cs="Times New Roman"/>
                <w:i w:val="0"/>
                <w:iCs w:val="0"/>
                <w:color w:val="333333"/>
                <w:kern w:val="0"/>
                <w:sz w:val="21"/>
                <w:szCs w:val="21"/>
                <w:u w:val="none"/>
                <w:lang w:val="en-US" w:eastAsia="zh-CN" w:bidi="ar"/>
              </w:rPr>
              <w:t>SU Exercise* OR SU Physical Exercise* OR SU Physical Activit* OR SU Aerobic Exercise* OR SU Isometric Exercise* OR SU Sport* OR SU Gymnastics OR SU Muscle Stretching Exercise* OR SU Physical Conditioning OR SU Circuit-Based Exercise* OR SU Endurance Training OR SU inspiratory training</w:t>
            </w:r>
          </w:p>
        </w:tc>
        <w:tc>
          <w:tcPr>
            <w:tcW w:w="1124" w:type="dxa"/>
            <w:vAlign w:val="center"/>
          </w:tcPr>
          <w:p w14:paraId="0195CDA2">
            <w:pPr>
              <w:keepNext w:val="0"/>
              <w:keepLines w:val="0"/>
              <w:widowControl/>
              <w:suppressLineNumbers w:val="0"/>
              <w:spacing w:after="0" w:line="240" w:lineRule="auto"/>
              <w:jc w:val="right"/>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Helvetica" w:cs="Times New Roman"/>
                <w:i w:val="0"/>
                <w:iCs w:val="0"/>
                <w:color w:val="333333"/>
                <w:kern w:val="0"/>
                <w:sz w:val="21"/>
                <w:szCs w:val="21"/>
                <w:u w:val="none"/>
                <w:lang w:val="en-US" w:eastAsia="zh-CN" w:bidi="ar"/>
              </w:rPr>
              <w:t>1,010,676</w:t>
            </w:r>
          </w:p>
        </w:tc>
      </w:tr>
      <w:tr w14:paraId="7DAE7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4AB0C213">
            <w:pPr>
              <w:spacing w:after="0" w:line="240" w:lineRule="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lang w:val="en-US" w:eastAsia="zh-CN"/>
              </w:rPr>
              <w:t>#3</w:t>
            </w:r>
          </w:p>
        </w:tc>
        <w:tc>
          <w:tcPr>
            <w:tcW w:w="6314" w:type="dxa"/>
            <w:vAlign w:val="center"/>
          </w:tcPr>
          <w:p w14:paraId="689798F1">
            <w:pPr>
              <w:keepNext w:val="0"/>
              <w:keepLines w:val="0"/>
              <w:widowControl/>
              <w:suppressLineNumbers w:val="0"/>
              <w:spacing w:after="0" w:line="240" w:lineRule="auto"/>
              <w:jc w:val="left"/>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Helvetica" w:cs="Times New Roman"/>
                <w:i w:val="0"/>
                <w:iCs w:val="0"/>
                <w:color w:val="333333"/>
                <w:kern w:val="0"/>
                <w:sz w:val="21"/>
                <w:szCs w:val="21"/>
                <w:u w:val="none"/>
                <w:lang w:val="en-US" w:eastAsia="zh-CN" w:bidi="ar"/>
              </w:rPr>
              <w:t>SU Interval Training* OR SU continuous training* OR SU Plyometric Exercise* OR SU flexibility exercise* OR SU Resistance Training* OR SU Running OR SU Jogging OR SU Swimming OR SU Walking OR SU Cycling OR SU Stair Climbing OR SU Taichi</w:t>
            </w:r>
          </w:p>
        </w:tc>
        <w:tc>
          <w:tcPr>
            <w:tcW w:w="1124" w:type="dxa"/>
            <w:vAlign w:val="center"/>
          </w:tcPr>
          <w:p w14:paraId="6631F1C6">
            <w:pPr>
              <w:keepNext w:val="0"/>
              <w:keepLines w:val="0"/>
              <w:widowControl/>
              <w:suppressLineNumbers w:val="0"/>
              <w:spacing w:after="0" w:line="240" w:lineRule="auto"/>
              <w:jc w:val="right"/>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Helvetica" w:cs="Times New Roman"/>
                <w:i w:val="0"/>
                <w:iCs w:val="0"/>
                <w:color w:val="333333"/>
                <w:kern w:val="0"/>
                <w:sz w:val="21"/>
                <w:szCs w:val="21"/>
                <w:u w:val="none"/>
                <w:lang w:val="en-US" w:eastAsia="zh-CN" w:bidi="ar"/>
              </w:rPr>
              <w:t>262,845</w:t>
            </w:r>
          </w:p>
        </w:tc>
      </w:tr>
      <w:tr w14:paraId="6FB6D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519A010C">
            <w:pPr>
              <w:spacing w:after="0" w:line="240" w:lineRule="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lang w:val="en-US" w:eastAsia="zh-CN"/>
              </w:rPr>
              <w:t>#4</w:t>
            </w:r>
          </w:p>
        </w:tc>
        <w:tc>
          <w:tcPr>
            <w:tcW w:w="6314" w:type="dxa"/>
            <w:vAlign w:val="center"/>
          </w:tcPr>
          <w:p w14:paraId="27E11A3F">
            <w:pPr>
              <w:keepNext w:val="0"/>
              <w:keepLines w:val="0"/>
              <w:widowControl/>
              <w:suppressLineNumbers w:val="0"/>
              <w:spacing w:after="0" w:line="240" w:lineRule="auto"/>
              <w:jc w:val="left"/>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Helvetica" w:cs="Times New Roman"/>
                <w:i w:val="0"/>
                <w:iCs w:val="0"/>
                <w:color w:val="333333"/>
                <w:kern w:val="0"/>
                <w:sz w:val="21"/>
                <w:szCs w:val="21"/>
                <w:u w:val="none"/>
                <w:lang w:val="en-US" w:eastAsia="zh-CN" w:bidi="ar"/>
              </w:rPr>
              <w:t>SU Qigong OR SU Yoga</w:t>
            </w:r>
          </w:p>
        </w:tc>
        <w:tc>
          <w:tcPr>
            <w:tcW w:w="1124" w:type="dxa"/>
            <w:vAlign w:val="center"/>
          </w:tcPr>
          <w:p w14:paraId="0665B9DF">
            <w:pPr>
              <w:keepNext w:val="0"/>
              <w:keepLines w:val="0"/>
              <w:widowControl/>
              <w:suppressLineNumbers w:val="0"/>
              <w:spacing w:after="0" w:line="240" w:lineRule="auto"/>
              <w:jc w:val="right"/>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Helvetica" w:cs="Times New Roman"/>
                <w:i w:val="0"/>
                <w:iCs w:val="0"/>
                <w:color w:val="333333"/>
                <w:kern w:val="0"/>
                <w:sz w:val="21"/>
                <w:szCs w:val="21"/>
                <w:u w:val="none"/>
                <w:lang w:val="en-US" w:eastAsia="zh-CN" w:bidi="ar"/>
              </w:rPr>
              <w:t>24,257</w:t>
            </w:r>
          </w:p>
        </w:tc>
      </w:tr>
      <w:tr w14:paraId="358E3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3A8C5E62">
            <w:pPr>
              <w:spacing w:after="0" w:line="240" w:lineRule="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lang w:val="en-US" w:eastAsia="zh-CN"/>
              </w:rPr>
              <w:t>#5</w:t>
            </w:r>
          </w:p>
        </w:tc>
        <w:tc>
          <w:tcPr>
            <w:tcW w:w="6314" w:type="dxa"/>
            <w:vAlign w:val="center"/>
          </w:tcPr>
          <w:p w14:paraId="3CA1ED4D">
            <w:pPr>
              <w:keepNext w:val="0"/>
              <w:keepLines w:val="0"/>
              <w:widowControl/>
              <w:suppressLineNumbers w:val="0"/>
              <w:spacing w:after="0" w:line="240" w:lineRule="auto"/>
              <w:jc w:val="left"/>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Helvetica" w:cs="Times New Roman"/>
                <w:i w:val="0"/>
                <w:iCs w:val="0"/>
                <w:color w:val="333333"/>
                <w:kern w:val="0"/>
                <w:sz w:val="21"/>
                <w:szCs w:val="21"/>
                <w:u w:val="none"/>
                <w:lang w:val="en-US" w:eastAsia="zh-CN" w:bidi="ar"/>
              </w:rPr>
              <w:t>S2 OR S3 OR S4</w:t>
            </w:r>
          </w:p>
        </w:tc>
        <w:tc>
          <w:tcPr>
            <w:tcW w:w="1124" w:type="dxa"/>
            <w:vAlign w:val="center"/>
          </w:tcPr>
          <w:p w14:paraId="2856B7D4">
            <w:pPr>
              <w:keepNext w:val="0"/>
              <w:keepLines w:val="0"/>
              <w:widowControl/>
              <w:suppressLineNumbers w:val="0"/>
              <w:spacing w:after="0" w:line="240" w:lineRule="auto"/>
              <w:jc w:val="right"/>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Helvetica" w:cs="Times New Roman"/>
                <w:i w:val="0"/>
                <w:iCs w:val="0"/>
                <w:color w:val="333333"/>
                <w:kern w:val="0"/>
                <w:sz w:val="21"/>
                <w:szCs w:val="21"/>
                <w:u w:val="none"/>
                <w:lang w:val="en-US" w:eastAsia="zh-CN" w:bidi="ar"/>
              </w:rPr>
              <w:t>1,185,284</w:t>
            </w:r>
          </w:p>
        </w:tc>
      </w:tr>
      <w:tr w14:paraId="22456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273C7941">
            <w:pPr>
              <w:spacing w:after="0" w:line="240" w:lineRule="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lang w:val="en-US" w:eastAsia="zh-CN"/>
              </w:rPr>
              <w:t>#6</w:t>
            </w:r>
          </w:p>
        </w:tc>
        <w:tc>
          <w:tcPr>
            <w:tcW w:w="6314" w:type="dxa"/>
            <w:vAlign w:val="center"/>
          </w:tcPr>
          <w:p w14:paraId="5CDF293B">
            <w:pPr>
              <w:keepNext w:val="0"/>
              <w:keepLines w:val="0"/>
              <w:widowControl/>
              <w:suppressLineNumbers w:val="0"/>
              <w:spacing w:after="0" w:line="240" w:lineRule="auto"/>
              <w:jc w:val="left"/>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Helvetica" w:cs="Times New Roman"/>
                <w:i w:val="0"/>
                <w:iCs w:val="0"/>
                <w:color w:val="333333"/>
                <w:kern w:val="0"/>
                <w:sz w:val="21"/>
                <w:szCs w:val="21"/>
                <w:u w:val="none"/>
                <w:lang w:val="en-US" w:eastAsia="zh-CN" w:bidi="ar"/>
              </w:rPr>
              <w:t>SU Randomized Controlled Trial* OR SU Randomized Clinical Trial* OR SU Controlled Clinical Trial* OR SU Double-blind method OR SU Single-blind method OR SU Random allocation</w:t>
            </w:r>
          </w:p>
        </w:tc>
        <w:tc>
          <w:tcPr>
            <w:tcW w:w="1124" w:type="dxa"/>
            <w:vAlign w:val="center"/>
          </w:tcPr>
          <w:p w14:paraId="3C20D7B3">
            <w:pPr>
              <w:keepNext w:val="0"/>
              <w:keepLines w:val="0"/>
              <w:widowControl/>
              <w:suppressLineNumbers w:val="0"/>
              <w:spacing w:after="0" w:line="240" w:lineRule="auto"/>
              <w:jc w:val="right"/>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Helvetica" w:cs="Times New Roman"/>
                <w:i w:val="0"/>
                <w:iCs w:val="0"/>
                <w:color w:val="333333"/>
                <w:kern w:val="0"/>
                <w:sz w:val="21"/>
                <w:szCs w:val="21"/>
                <w:u w:val="none"/>
                <w:lang w:val="en-US" w:eastAsia="zh-CN" w:bidi="ar"/>
              </w:rPr>
              <w:t>188,685</w:t>
            </w:r>
          </w:p>
        </w:tc>
      </w:tr>
      <w:tr w14:paraId="634EC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Align w:val="top"/>
          </w:tcPr>
          <w:p w14:paraId="515F64E5">
            <w:pPr>
              <w:spacing w:after="0" w:line="240" w:lineRule="auto"/>
              <w:rPr>
                <w:rFonts w:hint="default" w:ascii="Times New Roman" w:hAnsi="Times New Roman" w:cs="Times New Roman" w:eastAsiaTheme="minorEastAsia"/>
                <w:b w:val="0"/>
                <w:bCs w:val="0"/>
                <w:kern w:val="2"/>
                <w:sz w:val="21"/>
                <w:szCs w:val="21"/>
                <w:vertAlign w:val="baseline"/>
                <w:lang w:val="en-US" w:eastAsia="zh-CN" w:bidi="ar-SA"/>
              </w:rPr>
            </w:pPr>
            <w:r>
              <w:rPr>
                <w:rFonts w:hint="default" w:ascii="Times New Roman" w:hAnsi="Times New Roman" w:cs="Times New Roman"/>
                <w:lang w:val="en-US" w:eastAsia="zh-CN"/>
              </w:rPr>
              <w:t>#7</w:t>
            </w:r>
          </w:p>
        </w:tc>
        <w:tc>
          <w:tcPr>
            <w:tcW w:w="6314" w:type="dxa"/>
            <w:vAlign w:val="center"/>
          </w:tcPr>
          <w:p w14:paraId="29A24F38">
            <w:pPr>
              <w:keepNext w:val="0"/>
              <w:keepLines w:val="0"/>
              <w:widowControl/>
              <w:suppressLineNumbers w:val="0"/>
              <w:spacing w:after="0" w:line="240" w:lineRule="auto"/>
              <w:jc w:val="left"/>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Helvetica" w:cs="Times New Roman"/>
                <w:i w:val="0"/>
                <w:iCs w:val="0"/>
                <w:color w:val="333333"/>
                <w:kern w:val="0"/>
                <w:sz w:val="21"/>
                <w:szCs w:val="21"/>
                <w:u w:val="none"/>
                <w:lang w:val="en-US" w:eastAsia="zh-CN" w:bidi="ar"/>
              </w:rPr>
              <w:t>S1 AND S5 AND S6</w:t>
            </w:r>
          </w:p>
        </w:tc>
        <w:tc>
          <w:tcPr>
            <w:tcW w:w="1124" w:type="dxa"/>
            <w:vAlign w:val="center"/>
          </w:tcPr>
          <w:p w14:paraId="37101139">
            <w:pPr>
              <w:keepNext w:val="0"/>
              <w:keepLines w:val="0"/>
              <w:widowControl/>
              <w:suppressLineNumbers w:val="0"/>
              <w:spacing w:after="0" w:line="240" w:lineRule="auto"/>
              <w:jc w:val="right"/>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Helvetica" w:cs="Times New Roman"/>
                <w:i w:val="0"/>
                <w:iCs w:val="0"/>
                <w:color w:val="333333"/>
                <w:kern w:val="0"/>
                <w:sz w:val="21"/>
                <w:szCs w:val="21"/>
                <w:u w:val="none"/>
                <w:lang w:val="en-US" w:eastAsia="zh-CN" w:bidi="ar"/>
              </w:rPr>
              <w:t>30</w:t>
            </w:r>
          </w:p>
        </w:tc>
      </w:tr>
    </w:tbl>
    <w:p w14:paraId="0CDD8B1A">
      <w:pPr>
        <w:rPr>
          <w:rFonts w:hint="default" w:ascii="Times New Roman" w:hAnsi="Times New Roman" w:cs="Times New Roman"/>
          <w:sz w:val="24"/>
          <w:szCs w:val="24"/>
        </w:rPr>
      </w:pPr>
    </w:p>
    <w:p w14:paraId="1AF69D14">
      <w:pPr>
        <w:rPr>
          <w:rFonts w:hint="default" w:ascii="Times New Roman" w:hAnsi="Times New Roman" w:cs="Times New Roman"/>
          <w:sz w:val="28"/>
          <w:szCs w:val="36"/>
          <w:lang w:val="en-US" w:eastAsia="zh-CN"/>
        </w:rPr>
      </w:pPr>
      <w:r>
        <w:rPr>
          <w:rFonts w:hint="default" w:ascii="Times New Roman" w:hAnsi="Times New Roman" w:cs="Times New Roman"/>
          <w:sz w:val="28"/>
          <w:szCs w:val="36"/>
          <w:lang w:val="en-US" w:eastAsia="zh-CN"/>
        </w:rPr>
        <w:br w:type="page"/>
      </w:r>
    </w:p>
    <w:p w14:paraId="23746D7A">
      <w:pPr>
        <w:rPr>
          <w:rFonts w:hint="default" w:ascii="Times New Roman" w:hAnsi="Times New Roman" w:cs="Times New Roman"/>
          <w:b/>
          <w:bCs/>
          <w:sz w:val="28"/>
          <w:szCs w:val="36"/>
          <w:lang w:val="en-US" w:eastAsia="zh-CN"/>
        </w:rPr>
      </w:pPr>
      <w:r>
        <w:rPr>
          <w:rFonts w:hint="default" w:ascii="Times New Roman" w:hAnsi="Times New Roman" w:cs="Times New Roman"/>
          <w:b/>
          <w:bCs/>
          <w:sz w:val="24"/>
          <w:szCs w:val="32"/>
          <w:lang w:val="en-US" w:eastAsia="zh-CN"/>
        </w:rPr>
        <w:t xml:space="preserve">Supplementary Table 3. </w:t>
      </w:r>
      <w:r>
        <w:rPr>
          <w:rFonts w:hint="default" w:ascii="Times New Roman" w:hAnsi="Times New Roman" w:cs="Times New Roman"/>
          <w:b/>
          <w:bCs/>
          <w:sz w:val="28"/>
          <w:szCs w:val="36"/>
          <w:lang w:val="en-US" w:eastAsia="zh-CN"/>
        </w:rPr>
        <w:t>Categories of exercise modalities</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6"/>
        <w:gridCol w:w="6386"/>
      </w:tblGrid>
      <w:tr w14:paraId="6365D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Borders>
              <w:top w:val="single" w:color="auto" w:sz="4" w:space="0"/>
              <w:left w:val="nil"/>
              <w:right w:val="nil"/>
            </w:tcBorders>
          </w:tcPr>
          <w:p w14:paraId="0FF14364">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Exercise type</w:t>
            </w:r>
          </w:p>
        </w:tc>
        <w:tc>
          <w:tcPr>
            <w:tcW w:w="6386" w:type="dxa"/>
            <w:tcBorders>
              <w:left w:val="nil"/>
              <w:right w:val="nil"/>
            </w:tcBorders>
          </w:tcPr>
          <w:p w14:paraId="0C02B14F">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Definition</w:t>
            </w:r>
          </w:p>
        </w:tc>
      </w:tr>
      <w:tr w14:paraId="14305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Borders>
              <w:left w:val="nil"/>
              <w:right w:val="nil"/>
            </w:tcBorders>
          </w:tcPr>
          <w:p w14:paraId="1A0000CF">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AT</w:t>
            </w:r>
          </w:p>
        </w:tc>
        <w:tc>
          <w:tcPr>
            <w:tcW w:w="6386" w:type="dxa"/>
            <w:tcBorders>
              <w:left w:val="nil"/>
              <w:right w:val="nil"/>
            </w:tcBorders>
          </w:tcPr>
          <w:p w14:paraId="51507559">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Aerobic training is that which uses oxygen in the process of producing energy in the muscles (eg. treadmill or brisk walking, jogging, cycling and swimming etc.) This type of exercise works many muscle groups in a rhythmic manner. It can be performed continuously or in intervals, and at different intensities (low, medium or high)</w:t>
            </w:r>
          </w:p>
        </w:tc>
      </w:tr>
      <w:tr w14:paraId="187A4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Borders>
              <w:left w:val="nil"/>
              <w:right w:val="nil"/>
            </w:tcBorders>
            <w:shd w:val="clear" w:color="auto" w:fill="auto"/>
            <w:vAlign w:val="top"/>
          </w:tcPr>
          <w:p w14:paraId="2FE55CE1">
            <w:pPr>
              <w:ind w:firstLine="480" w:firstLineChars="200"/>
              <w:rPr>
                <w:rFonts w:hint="default" w:ascii="Times New Roman" w:hAnsi="Times New Roman" w:cs="Times New Roman" w:eastAsiaTheme="minorEastAsia"/>
                <w:kern w:val="2"/>
                <w:sz w:val="24"/>
                <w:szCs w:val="24"/>
                <w:vertAlign w:val="baseline"/>
                <w:lang w:val="en-US" w:eastAsia="zh-CN" w:bidi="ar-SA"/>
              </w:rPr>
            </w:pPr>
            <w:r>
              <w:rPr>
                <w:rFonts w:hint="default" w:ascii="Times New Roman" w:hAnsi="Times New Roman" w:cs="Times New Roman"/>
                <w:sz w:val="24"/>
                <w:szCs w:val="24"/>
                <w:vertAlign w:val="baseline"/>
                <w:lang w:val="en-US" w:eastAsia="zh-CN"/>
              </w:rPr>
              <w:t xml:space="preserve">LIT </w:t>
            </w:r>
          </w:p>
        </w:tc>
        <w:tc>
          <w:tcPr>
            <w:tcW w:w="6386" w:type="dxa"/>
            <w:tcBorders>
              <w:left w:val="nil"/>
              <w:right w:val="nil"/>
            </w:tcBorders>
            <w:shd w:val="clear" w:color="auto" w:fill="auto"/>
            <w:vAlign w:val="top"/>
          </w:tcPr>
          <w:p w14:paraId="6BA1E39E">
            <w:pPr>
              <w:rPr>
                <w:rFonts w:hint="default" w:ascii="Times New Roman" w:hAnsi="Times New Roman" w:cs="Times New Roman" w:eastAsiaTheme="minorEastAsia"/>
                <w:kern w:val="2"/>
                <w:sz w:val="24"/>
                <w:szCs w:val="24"/>
                <w:vertAlign w:val="baseline"/>
                <w:lang w:val="en-US" w:eastAsia="zh-CN" w:bidi="ar-SA"/>
              </w:rPr>
            </w:pPr>
            <w:r>
              <w:rPr>
                <w:rFonts w:hint="default" w:ascii="Times New Roman" w:hAnsi="Times New Roman" w:cs="Times New Roman"/>
                <w:sz w:val="24"/>
                <w:szCs w:val="24"/>
                <w:vertAlign w:val="baseline"/>
                <w:lang w:val="en-GB" w:eastAsia="zh-CN"/>
              </w:rPr>
              <w:t>L</w:t>
            </w:r>
            <w:r>
              <w:rPr>
                <w:rFonts w:hint="default" w:ascii="Times New Roman" w:hAnsi="Times New Roman" w:cs="Times New Roman"/>
                <w:sz w:val="24"/>
                <w:szCs w:val="24"/>
                <w:vertAlign w:val="baseline"/>
                <w:lang w:val="en-US" w:eastAsia="zh-CN"/>
              </w:rPr>
              <w:t>IT</w:t>
            </w:r>
            <w:r>
              <w:rPr>
                <w:rFonts w:hint="default" w:ascii="Times New Roman" w:hAnsi="Times New Roman" w:cs="Times New Roman"/>
                <w:sz w:val="24"/>
                <w:szCs w:val="24"/>
                <w:vertAlign w:val="baseline"/>
                <w:lang w:val="en-GB" w:eastAsia="zh-CN"/>
              </w:rPr>
              <w:t xml:space="preserve"> </w:t>
            </w:r>
            <w:r>
              <w:rPr>
                <w:rFonts w:hint="default" w:ascii="Times New Roman" w:hAnsi="Times New Roman" w:cs="Times New Roman"/>
                <w:sz w:val="24"/>
                <w:szCs w:val="24"/>
                <w:vertAlign w:val="baseline"/>
                <w:lang w:val="en-US" w:eastAsia="zh-CN"/>
              </w:rPr>
              <w:t xml:space="preserve">was </w:t>
            </w:r>
            <w:r>
              <w:rPr>
                <w:rFonts w:hint="default" w:ascii="Times New Roman" w:hAnsi="Times New Roman" w:cs="Times New Roman"/>
                <w:sz w:val="24"/>
                <w:szCs w:val="24"/>
                <w:vertAlign w:val="baseline"/>
                <w:lang w:val="en-GB" w:eastAsia="zh-CN"/>
              </w:rPr>
              <w:t>consist</w:t>
            </w:r>
            <w:r>
              <w:rPr>
                <w:rFonts w:hint="default" w:ascii="Times New Roman" w:hAnsi="Times New Roman" w:cs="Times New Roman"/>
                <w:sz w:val="24"/>
                <w:szCs w:val="24"/>
                <w:vertAlign w:val="baseline"/>
                <w:lang w:val="en-US" w:eastAsia="zh-CN"/>
              </w:rPr>
              <w:t>ed</w:t>
            </w:r>
            <w:r>
              <w:rPr>
                <w:rFonts w:hint="default" w:ascii="Times New Roman" w:hAnsi="Times New Roman" w:cs="Times New Roman"/>
                <w:sz w:val="24"/>
                <w:szCs w:val="24"/>
                <w:vertAlign w:val="baseline"/>
                <w:lang w:val="en-GB" w:eastAsia="zh-CN"/>
              </w:rPr>
              <w:t xml:space="preserve"> of l</w:t>
            </w:r>
            <w:r>
              <w:rPr>
                <w:rFonts w:hint="default" w:ascii="Times New Roman" w:hAnsi="Times New Roman" w:cs="Times New Roman"/>
                <w:sz w:val="24"/>
                <w:szCs w:val="24"/>
                <w:vertAlign w:val="baseline"/>
                <w:lang w:val="en-US" w:eastAsia="zh-CN"/>
              </w:rPr>
              <w:t>ow</w:t>
            </w:r>
            <w:r>
              <w:rPr>
                <w:rFonts w:hint="default" w:ascii="Times New Roman" w:hAnsi="Times New Roman" w:cs="Times New Roman"/>
                <w:sz w:val="24"/>
                <w:szCs w:val="24"/>
                <w:vertAlign w:val="baseline"/>
                <w:lang w:val="en-GB" w:eastAsia="zh-CN"/>
              </w:rPr>
              <w:t xml:space="preserve"> </w:t>
            </w:r>
            <w:r>
              <w:rPr>
                <w:rFonts w:hint="default" w:ascii="Times New Roman" w:hAnsi="Times New Roman" w:cs="Times New Roman"/>
                <w:sz w:val="24"/>
                <w:szCs w:val="24"/>
                <w:vertAlign w:val="baseline"/>
                <w:lang w:val="en-US" w:eastAsia="zh-CN"/>
              </w:rPr>
              <w:t>intensity</w:t>
            </w:r>
            <w:r>
              <w:rPr>
                <w:rFonts w:hint="default" w:ascii="Times New Roman" w:hAnsi="Times New Roman" w:cs="Times New Roman"/>
                <w:sz w:val="24"/>
                <w:szCs w:val="24"/>
                <w:vertAlign w:val="baseline"/>
                <w:lang w:val="en-GB" w:eastAsia="zh-CN"/>
              </w:rPr>
              <w:t xml:space="preserve"> exercise</w:t>
            </w:r>
            <w:r>
              <w:rPr>
                <w:rFonts w:hint="default" w:ascii="Times New Roman" w:hAnsi="Times New Roman" w:cs="Times New Roman"/>
                <w:sz w:val="24"/>
                <w:szCs w:val="24"/>
                <w:vertAlign w:val="baseline"/>
                <w:lang w:val="en-US" w:eastAsia="zh-CN"/>
              </w:rPr>
              <w:t>, whereby 30-50% VO2 peak, or 30-50% heart rate(HR) peak, or equivalent</w:t>
            </w:r>
          </w:p>
        </w:tc>
      </w:tr>
      <w:tr w14:paraId="22F4C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Borders>
              <w:left w:val="nil"/>
              <w:right w:val="nil"/>
            </w:tcBorders>
            <w:shd w:val="clear" w:color="auto" w:fill="auto"/>
            <w:vAlign w:val="top"/>
          </w:tcPr>
          <w:p w14:paraId="2796879A">
            <w:pPr>
              <w:ind w:firstLine="480" w:firstLineChars="200"/>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MICT</w:t>
            </w:r>
          </w:p>
        </w:tc>
        <w:tc>
          <w:tcPr>
            <w:tcW w:w="6386" w:type="dxa"/>
            <w:tcBorders>
              <w:left w:val="nil"/>
              <w:right w:val="nil"/>
            </w:tcBorders>
            <w:shd w:val="clear" w:color="auto" w:fill="auto"/>
            <w:vAlign w:val="top"/>
          </w:tcPr>
          <w:p w14:paraId="6DD3AE50">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MICT was defined as sustained aerobic exercise with moderate intensity (50-80% VO2 peak or 50-80% HRpeak, or equivalent)</w:t>
            </w:r>
          </w:p>
        </w:tc>
      </w:tr>
      <w:tr w14:paraId="7544B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Borders>
              <w:left w:val="nil"/>
              <w:right w:val="nil"/>
            </w:tcBorders>
            <w:shd w:val="clear" w:color="auto" w:fill="auto"/>
            <w:vAlign w:val="top"/>
          </w:tcPr>
          <w:p w14:paraId="5FECEED2">
            <w:pPr>
              <w:ind w:firstLine="480" w:firstLineChars="200"/>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HIIT</w:t>
            </w:r>
          </w:p>
        </w:tc>
        <w:tc>
          <w:tcPr>
            <w:tcW w:w="6386" w:type="dxa"/>
            <w:tcBorders>
              <w:left w:val="nil"/>
              <w:right w:val="nil"/>
            </w:tcBorders>
            <w:shd w:val="clear" w:color="auto" w:fill="auto"/>
            <w:vAlign w:val="top"/>
          </w:tcPr>
          <w:p w14:paraId="16D7D14F">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HIIT was defined as alternating high-intensity training, whereby ≥80% VO2 peak, or ≥80% heart rate(HR) peak, or equivalent, and were interspersed with short recovery periods by lighter exercise or rest, or equivalent.</w:t>
            </w:r>
          </w:p>
        </w:tc>
      </w:tr>
      <w:tr w14:paraId="3E1C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Borders>
              <w:left w:val="nil"/>
              <w:right w:val="nil"/>
            </w:tcBorders>
          </w:tcPr>
          <w:p w14:paraId="54C65F1D">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RT</w:t>
            </w:r>
          </w:p>
        </w:tc>
        <w:tc>
          <w:tcPr>
            <w:tcW w:w="6386" w:type="dxa"/>
            <w:tcBorders>
              <w:left w:val="nil"/>
              <w:right w:val="nil"/>
            </w:tcBorders>
          </w:tcPr>
          <w:p w14:paraId="4C13FF5D">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RT was a training that increases the ability to exert or resist force using load-bearing or resisted exercises including weights, weight-lifting machines or elastic cords</w:t>
            </w:r>
          </w:p>
        </w:tc>
      </w:tr>
      <w:tr w14:paraId="5A8F1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Borders>
              <w:left w:val="nil"/>
              <w:right w:val="nil"/>
            </w:tcBorders>
          </w:tcPr>
          <w:p w14:paraId="47B69B6B">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IET</w:t>
            </w:r>
          </w:p>
        </w:tc>
        <w:tc>
          <w:tcPr>
            <w:tcW w:w="6386" w:type="dxa"/>
            <w:tcBorders>
              <w:left w:val="nil"/>
              <w:right w:val="nil"/>
            </w:tcBorders>
          </w:tcPr>
          <w:p w14:paraId="737701BC">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Isometric exercise is defined as an exercise in which muscles are sustained contraction against an immovable load or resistance, with no or minimal change in the length of the muscle groups involved(eg.isometric handgrip (IHG), isometric leg extension (ILE), isometric wall squat, and pilates training).</w:t>
            </w:r>
          </w:p>
        </w:tc>
      </w:tr>
      <w:tr w14:paraId="51F33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Borders>
              <w:left w:val="nil"/>
              <w:right w:val="nil"/>
            </w:tcBorders>
          </w:tcPr>
          <w:p w14:paraId="43997C5A">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Tai chi</w:t>
            </w:r>
          </w:p>
        </w:tc>
        <w:tc>
          <w:tcPr>
            <w:tcW w:w="6386" w:type="dxa"/>
            <w:tcBorders>
              <w:left w:val="nil"/>
              <w:right w:val="nil"/>
            </w:tcBorders>
            <w:shd w:val="clear" w:color="auto" w:fill="auto"/>
            <w:vAlign w:val="top"/>
          </w:tcPr>
          <w:p w14:paraId="2284B8A4">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Tai chi is a traditional Chinese martial art based on gentle body movements accompanied by relaxation and breathing exercises</w:t>
            </w:r>
          </w:p>
        </w:tc>
      </w:tr>
      <w:tr w14:paraId="7836E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Borders>
              <w:left w:val="nil"/>
              <w:right w:val="nil"/>
            </w:tcBorders>
            <w:shd w:val="clear" w:color="auto" w:fill="auto"/>
            <w:vAlign w:val="top"/>
          </w:tcPr>
          <w:p w14:paraId="6E084775">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Yoga</w:t>
            </w:r>
          </w:p>
        </w:tc>
        <w:tc>
          <w:tcPr>
            <w:tcW w:w="6386" w:type="dxa"/>
            <w:tcBorders>
              <w:left w:val="nil"/>
              <w:right w:val="nil"/>
            </w:tcBorders>
          </w:tcPr>
          <w:p w14:paraId="626D177F">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Yoga is exercise with a variety of styles, which typically involve physical poses designed for strengthening and stretching (asanas), controlled breathing (pranayama) and meditation (dhyana)</w:t>
            </w:r>
          </w:p>
        </w:tc>
      </w:tr>
      <w:tr w14:paraId="1BD56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Borders>
              <w:left w:val="nil"/>
              <w:right w:val="nil"/>
            </w:tcBorders>
            <w:shd w:val="clear" w:color="auto" w:fill="auto"/>
            <w:vAlign w:val="top"/>
          </w:tcPr>
          <w:p w14:paraId="5EF799A5">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Combined Training</w:t>
            </w:r>
          </w:p>
        </w:tc>
        <w:tc>
          <w:tcPr>
            <w:tcW w:w="6386" w:type="dxa"/>
            <w:tcBorders>
              <w:left w:val="nil"/>
              <w:right w:val="nil"/>
            </w:tcBorders>
          </w:tcPr>
          <w:p w14:paraId="49367937">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Combination of two types of exercise.</w:t>
            </w:r>
          </w:p>
        </w:tc>
      </w:tr>
    </w:tbl>
    <w:p w14:paraId="1D87360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32"/>
          <w:lang w:val="en-US" w:eastAsia="zh-CN"/>
        </w:rPr>
        <w:t>AT: Aerobic Training; HIIT: H</w:t>
      </w:r>
      <w:r>
        <w:rPr>
          <w:rFonts w:hint="default" w:ascii="Times New Roman" w:hAnsi="Times New Roman" w:cs="Times New Roman"/>
          <w:sz w:val="24"/>
          <w:szCs w:val="24"/>
          <w:vertAlign w:val="baseline"/>
          <w:lang w:val="en-US" w:eastAsia="zh-CN"/>
        </w:rPr>
        <w:t xml:space="preserve">igh-Intensity Interval Training; </w:t>
      </w:r>
      <w:r>
        <w:rPr>
          <w:rFonts w:hint="default" w:ascii="Times New Roman" w:hAnsi="Times New Roman" w:cs="Times New Roman"/>
          <w:sz w:val="24"/>
          <w:szCs w:val="32"/>
          <w:lang w:val="en-US" w:eastAsia="zh-CN"/>
        </w:rPr>
        <w:t xml:space="preserve">IET: </w:t>
      </w:r>
      <w:r>
        <w:rPr>
          <w:rFonts w:hint="default" w:ascii="Times New Roman" w:hAnsi="Times New Roman" w:cs="Times New Roman"/>
          <w:sz w:val="24"/>
          <w:szCs w:val="24"/>
          <w:vertAlign w:val="baseline"/>
          <w:lang w:val="en-US" w:eastAsia="zh-CN"/>
        </w:rPr>
        <w:t xml:space="preserve">Isometric Exercise Training; LIT: Low Intensity Training; </w:t>
      </w:r>
      <w:r>
        <w:rPr>
          <w:rFonts w:hint="default" w:ascii="Times New Roman" w:hAnsi="Times New Roman" w:cs="Times New Roman"/>
          <w:sz w:val="24"/>
          <w:szCs w:val="32"/>
          <w:lang w:val="en-US" w:eastAsia="zh-CN"/>
        </w:rPr>
        <w:t xml:space="preserve">MICT: </w:t>
      </w:r>
      <w:r>
        <w:rPr>
          <w:rFonts w:hint="default" w:ascii="Times New Roman" w:hAnsi="Times New Roman" w:cs="Times New Roman"/>
          <w:sz w:val="24"/>
          <w:szCs w:val="24"/>
          <w:vertAlign w:val="baseline"/>
          <w:lang w:val="en-US" w:eastAsia="zh-CN"/>
        </w:rPr>
        <w:t xml:space="preserve">Moderate-Intensity Continuous Training; </w:t>
      </w:r>
      <w:r>
        <w:rPr>
          <w:rFonts w:hint="default" w:ascii="Times New Roman" w:hAnsi="Times New Roman" w:cs="Times New Roman"/>
          <w:sz w:val="24"/>
          <w:szCs w:val="32"/>
          <w:lang w:val="en-US" w:eastAsia="zh-CN"/>
        </w:rPr>
        <w:t xml:space="preserve">RT: </w:t>
      </w:r>
      <w:r>
        <w:rPr>
          <w:rFonts w:hint="default" w:ascii="Times New Roman" w:hAnsi="Times New Roman" w:cs="Times New Roman"/>
          <w:sz w:val="24"/>
          <w:szCs w:val="24"/>
          <w:vertAlign w:val="baseline"/>
          <w:lang w:val="en-US" w:eastAsia="zh-CN"/>
        </w:rPr>
        <w:t>Resistance Training</w:t>
      </w:r>
    </w:p>
    <w:p w14:paraId="67CB6758">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br w:type="page"/>
      </w:r>
    </w:p>
    <w:p w14:paraId="7E4DC7E3">
      <w:pPr>
        <w:rPr>
          <w:rFonts w:hint="default" w:ascii="Times New Roman" w:hAnsi="Times New Roman" w:eastAsia="宋体" w:cs="Times New Roman"/>
          <w:b/>
          <w:bCs/>
          <w:i w:val="0"/>
          <w:iCs w:val="0"/>
          <w:caps w:val="0"/>
          <w:color w:val="000000"/>
          <w:spacing w:val="10"/>
          <w:sz w:val="28"/>
          <w:szCs w:val="28"/>
          <w:lang w:val="en-US"/>
        </w:rPr>
      </w:pPr>
      <w:r>
        <w:rPr>
          <w:rFonts w:hint="default" w:ascii="Times New Roman" w:hAnsi="Times New Roman" w:cs="Times New Roman"/>
          <w:b/>
          <w:bCs/>
          <w:sz w:val="28"/>
          <w:szCs w:val="36"/>
          <w:lang w:val="en-US" w:eastAsia="zh-CN"/>
        </w:rPr>
        <w:t>Supplementary Table 4</w:t>
      </w:r>
      <w:r>
        <w:rPr>
          <w:rFonts w:hint="default" w:ascii="Times New Roman" w:hAnsi="Times New Roman" w:eastAsia="宋体" w:cs="Times New Roman"/>
          <w:b/>
          <w:bCs/>
          <w:i w:val="0"/>
          <w:iCs w:val="0"/>
          <w:caps w:val="0"/>
          <w:color w:val="000000"/>
          <w:spacing w:val="10"/>
          <w:sz w:val="28"/>
          <w:szCs w:val="28"/>
        </w:rPr>
        <w:t xml:space="preserve">. Excluded </w:t>
      </w:r>
      <w:r>
        <w:rPr>
          <w:rFonts w:hint="default" w:ascii="Times New Roman" w:hAnsi="Times New Roman" w:eastAsia="宋体" w:cs="Times New Roman"/>
          <w:b/>
          <w:bCs/>
          <w:i w:val="0"/>
          <w:iCs w:val="0"/>
          <w:caps w:val="0"/>
          <w:color w:val="000000"/>
          <w:spacing w:val="10"/>
          <w:sz w:val="28"/>
          <w:szCs w:val="28"/>
          <w:lang w:val="en-US" w:eastAsia="zh-CN"/>
        </w:rPr>
        <w:t>full-text with reasons</w:t>
      </w:r>
    </w:p>
    <w:tbl>
      <w:tblPr>
        <w:tblStyle w:val="7"/>
        <w:tblW w:w="8625" w:type="dxa"/>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3314"/>
        <w:gridCol w:w="4752"/>
      </w:tblGrid>
      <w:tr w14:paraId="2F021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top"/>
          </w:tcPr>
          <w:p w14:paraId="2CD1573D">
            <w:pPr>
              <w:jc w:val="center"/>
              <w:rPr>
                <w:rFonts w:hint="default" w:ascii="Times New Roman" w:hAnsi="Times New Roman" w:eastAsia="宋体" w:cs="Times New Roman"/>
                <w:i w:val="0"/>
                <w:iCs w:val="0"/>
                <w:caps w:val="0"/>
                <w:color w:val="000000"/>
                <w:spacing w:val="10"/>
                <w:sz w:val="24"/>
                <w:szCs w:val="24"/>
                <w:vertAlign w:val="baseline"/>
                <w:lang w:val="en-US" w:eastAsia="zh-CN"/>
              </w:rPr>
            </w:pPr>
            <w:r>
              <w:rPr>
                <w:rFonts w:hint="default" w:ascii="Times New Roman" w:hAnsi="Times New Roman" w:eastAsia="宋体" w:cs="Times New Roman"/>
                <w:i w:val="0"/>
                <w:iCs w:val="0"/>
                <w:caps w:val="0"/>
                <w:color w:val="000000"/>
                <w:spacing w:val="10"/>
                <w:sz w:val="24"/>
                <w:szCs w:val="24"/>
                <w:vertAlign w:val="baseline"/>
                <w:lang w:val="en-US" w:eastAsia="zh-CN"/>
              </w:rPr>
              <w:t>No.</w:t>
            </w:r>
          </w:p>
        </w:tc>
        <w:tc>
          <w:tcPr>
            <w:tcW w:w="3314" w:type="dxa"/>
            <w:vAlign w:val="top"/>
          </w:tcPr>
          <w:p w14:paraId="4BEC5304">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eastAsia="宋体" w:cs="Times New Roman"/>
                <w:i w:val="0"/>
                <w:iCs w:val="0"/>
                <w:caps w:val="0"/>
                <w:color w:val="000000"/>
                <w:spacing w:val="10"/>
                <w:sz w:val="24"/>
                <w:szCs w:val="24"/>
                <w:vertAlign w:val="baseline"/>
                <w:lang w:val="en-US" w:eastAsia="zh-CN"/>
              </w:rPr>
              <w:t>References</w:t>
            </w:r>
          </w:p>
        </w:tc>
        <w:tc>
          <w:tcPr>
            <w:tcW w:w="4752" w:type="dxa"/>
            <w:vAlign w:val="top"/>
          </w:tcPr>
          <w:p w14:paraId="1BF9559D">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eastAsia="宋体" w:cs="Times New Roman"/>
                <w:i w:val="0"/>
                <w:iCs w:val="0"/>
                <w:caps w:val="0"/>
                <w:color w:val="000000"/>
                <w:spacing w:val="10"/>
                <w:sz w:val="24"/>
                <w:szCs w:val="24"/>
                <w:vertAlign w:val="baseline"/>
              </w:rPr>
              <w:t>Reason for exclusion</w:t>
            </w:r>
          </w:p>
        </w:tc>
      </w:tr>
      <w:tr w14:paraId="7768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9" w:type="dxa"/>
            <w:vAlign w:val="center"/>
          </w:tcPr>
          <w:p w14:paraId="45A2EF01">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3314" w:type="dxa"/>
          </w:tcPr>
          <w:p w14:paraId="33082928">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aps w:val="0"/>
                <w:color w:val="000000"/>
                <w:spacing w:val="10"/>
                <w:sz w:val="24"/>
                <w:szCs w:val="24"/>
                <w:vertAlign w:val="baseline"/>
                <w:lang w:eastAsia="zh-CN"/>
              </w:rPr>
              <w:t>V Bond</w:t>
            </w:r>
            <w:r>
              <w:rPr>
                <w:rFonts w:hint="default" w:ascii="Times New Roman" w:hAnsi="Times New Roman" w:eastAsia="宋体" w:cs="Times New Roman"/>
                <w:i w:val="0"/>
                <w:iCs w:val="0"/>
                <w:caps w:val="0"/>
                <w:color w:val="000000"/>
                <w:spacing w:val="10"/>
                <w:sz w:val="24"/>
                <w:szCs w:val="24"/>
                <w:vertAlign w:val="baseline"/>
                <w:lang w:val="en-US" w:eastAsia="zh-CN"/>
              </w:rPr>
              <w:t xml:space="preserve"> 2016</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NE.Ref.{7324DFEC-BD04-49D9-A55E-0D7484DB03BC}</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1</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4763742C">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cs="Times New Roman"/>
                <w:sz w:val="24"/>
                <w:szCs w:val="24"/>
              </w:rPr>
              <w:t>Not RCTs</w:t>
            </w:r>
          </w:p>
        </w:tc>
      </w:tr>
      <w:tr w14:paraId="5981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33343C2E">
            <w:pPr>
              <w:keepNext w:val="0"/>
              <w:keepLines w:val="0"/>
              <w:widowControl/>
              <w:suppressLineNumbers w:val="0"/>
              <w:jc w:val="center"/>
              <w:textAlignment w:val="center"/>
              <w:rPr>
                <w:rFonts w:hint="default" w:ascii="Times New Roman" w:hAnsi="Times New Roman" w:eastAsia="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3314" w:type="dxa"/>
          </w:tcPr>
          <w:p w14:paraId="1CE41A72">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J Glodzik</w:t>
            </w:r>
            <w:r>
              <w:rPr>
                <w:rFonts w:hint="default" w:ascii="Times New Roman" w:hAnsi="Times New Roman" w:eastAsia="宋体" w:cs="Times New Roman"/>
                <w:color w:val="000000"/>
                <w:sz w:val="24"/>
                <w:szCs w:val="24"/>
                <w:lang w:val="en-US" w:eastAsia="zh-CN"/>
              </w:rPr>
              <w:t xml:space="preserve"> 2018</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NE.Ref.{E793A08B-6459-4085-ADA1-C78239B737CE}</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2</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3D920059">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cs="Times New Roman"/>
                <w:sz w:val="24"/>
                <w:szCs w:val="24"/>
              </w:rPr>
              <w:t>Not RCTs</w:t>
            </w:r>
          </w:p>
        </w:tc>
      </w:tr>
      <w:tr w14:paraId="71985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36F363B8">
            <w:pPr>
              <w:keepNext w:val="0"/>
              <w:keepLines w:val="0"/>
              <w:widowControl/>
              <w:suppressLineNumbers w:val="0"/>
              <w:jc w:val="center"/>
              <w:textAlignment w:val="center"/>
              <w:rPr>
                <w:rFonts w:hint="default" w:ascii="Times New Roman" w:hAnsi="Times New Roman" w:eastAsia="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3314" w:type="dxa"/>
          </w:tcPr>
          <w:p w14:paraId="1371A589">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K Kukkonen</w:t>
            </w:r>
            <w:r>
              <w:rPr>
                <w:rFonts w:hint="default" w:ascii="Times New Roman" w:hAnsi="Times New Roman" w:eastAsia="宋体" w:cs="Times New Roman"/>
                <w:color w:val="000000"/>
                <w:sz w:val="24"/>
                <w:szCs w:val="24"/>
                <w:lang w:val="en-US" w:eastAsia="zh-CN"/>
              </w:rPr>
              <w:t xml:space="preserve"> 1982</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NE.Ref.{DD40F032-6CD7-4BDB-BD32-C8CDB6C072EA}</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3</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1AB634BB">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cs="Times New Roman"/>
                <w:sz w:val="24"/>
                <w:szCs w:val="24"/>
              </w:rPr>
              <w:t>Not RCTs</w:t>
            </w:r>
          </w:p>
        </w:tc>
      </w:tr>
      <w:tr w14:paraId="2C61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508A6115">
            <w:pPr>
              <w:keepNext w:val="0"/>
              <w:keepLines w:val="0"/>
              <w:widowControl/>
              <w:suppressLineNumbers w:val="0"/>
              <w:jc w:val="center"/>
              <w:textAlignment w:val="center"/>
              <w:rPr>
                <w:rFonts w:hint="default" w:ascii="Times New Roman" w:hAnsi="Times New Roman" w:eastAsia="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3314" w:type="dxa"/>
          </w:tcPr>
          <w:p w14:paraId="79A2FE3A">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DT Beck</w:t>
            </w:r>
            <w:r>
              <w:rPr>
                <w:rFonts w:hint="default" w:ascii="Times New Roman" w:hAnsi="Times New Roman" w:eastAsia="宋体" w:cs="Times New Roman"/>
                <w:color w:val="000000"/>
                <w:sz w:val="24"/>
                <w:szCs w:val="24"/>
                <w:lang w:val="en-US" w:eastAsia="zh-CN"/>
              </w:rPr>
              <w:t xml:space="preserve"> 2014</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NE.Ref.{27418FF1-FF03-47D6-B327-CC3CAA014780}</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4</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60105100">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Unrelated outcome</w:t>
            </w:r>
          </w:p>
        </w:tc>
      </w:tr>
      <w:tr w14:paraId="536C5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6DFE5258">
            <w:pPr>
              <w:keepNext w:val="0"/>
              <w:keepLines w:val="0"/>
              <w:widowControl/>
              <w:suppressLineNumbers w:val="0"/>
              <w:jc w:val="center"/>
              <w:textAlignment w:val="center"/>
              <w:rPr>
                <w:rFonts w:hint="default" w:ascii="Times New Roman" w:hAnsi="Times New Roman" w:eastAsia="Times New Roman" w:cs="Times New Roman"/>
                <w:color w:val="000000"/>
                <w:sz w:val="24"/>
                <w:szCs w:val="24"/>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3314" w:type="dxa"/>
          </w:tcPr>
          <w:p w14:paraId="1320D9B8">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UG Ogbutor</w:t>
            </w:r>
            <w:r>
              <w:rPr>
                <w:rFonts w:hint="default" w:ascii="Times New Roman" w:hAnsi="Times New Roman" w:eastAsia="宋体" w:cs="Times New Roman"/>
                <w:color w:val="000000"/>
                <w:sz w:val="24"/>
                <w:szCs w:val="24"/>
                <w:lang w:val="en-US" w:eastAsia="zh-CN"/>
              </w:rPr>
              <w:t xml:space="preserve"> 2022</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NE.Ref.{D6DF00C0-38AC-4506-AC36-64A47EC4F6EE}</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5</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6F9E55AE">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Unrelated outcome</w:t>
            </w:r>
          </w:p>
        </w:tc>
      </w:tr>
      <w:tr w14:paraId="4138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5F1DD9AD">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3314" w:type="dxa"/>
          </w:tcPr>
          <w:p w14:paraId="5268E64F">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aps w:val="0"/>
                <w:color w:val="000000"/>
                <w:spacing w:val="10"/>
                <w:sz w:val="24"/>
                <w:szCs w:val="24"/>
                <w:vertAlign w:val="baseline"/>
                <w:lang w:eastAsia="zh-CN"/>
              </w:rPr>
              <w:t>T Thida</w:t>
            </w:r>
            <w:r>
              <w:rPr>
                <w:rFonts w:hint="default" w:ascii="Times New Roman" w:hAnsi="Times New Roman" w:eastAsia="宋体" w:cs="Times New Roman"/>
                <w:i w:val="0"/>
                <w:iCs w:val="0"/>
                <w:caps w:val="0"/>
                <w:color w:val="000000"/>
                <w:spacing w:val="10"/>
                <w:sz w:val="24"/>
                <w:szCs w:val="24"/>
                <w:vertAlign w:val="baseline"/>
                <w:lang w:val="en-US" w:eastAsia="zh-CN"/>
              </w:rPr>
              <w:t>2019</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NE.Ref.{AEAE0E2B-0B8F-4124-A454-1C422C3385BA}</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6</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4414E782">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Unrelated outcome</w:t>
            </w:r>
          </w:p>
        </w:tc>
      </w:tr>
      <w:tr w14:paraId="22274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2AD91AF5">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3314" w:type="dxa"/>
          </w:tcPr>
          <w:p w14:paraId="7FBCE9D6">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DT Beck</w:t>
            </w:r>
            <w:r>
              <w:rPr>
                <w:rFonts w:hint="default" w:ascii="Times New Roman" w:hAnsi="Times New Roman" w:eastAsia="宋体" w:cs="Times New Roman"/>
                <w:color w:val="000000"/>
                <w:sz w:val="24"/>
                <w:szCs w:val="24"/>
                <w:lang w:val="en-US" w:eastAsia="zh-CN"/>
              </w:rPr>
              <w:t xml:space="preserve"> 2013</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NE.Ref.{F526AF37-9416-439A-9949-B7371CFD2EA6}</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7</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611A4998">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Repeated publications</w:t>
            </w:r>
          </w:p>
        </w:tc>
      </w:tr>
      <w:tr w14:paraId="19816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7C5DDC31">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3314" w:type="dxa"/>
          </w:tcPr>
          <w:p w14:paraId="0D9B5063">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SR Collier</w:t>
            </w:r>
            <w:r>
              <w:rPr>
                <w:rFonts w:hint="default" w:ascii="Times New Roman" w:hAnsi="Times New Roman" w:eastAsia="宋体" w:cs="Times New Roman"/>
                <w:color w:val="000000"/>
                <w:sz w:val="24"/>
                <w:szCs w:val="24"/>
                <w:lang w:val="en-US" w:eastAsia="zh-CN"/>
              </w:rPr>
              <w:t xml:space="preserve"> 2008</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NE.Ref.{2EFA18A5-9AA1-40F6-A882-32D390B38493}</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8</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49E0604A">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Repeated publications</w:t>
            </w:r>
          </w:p>
        </w:tc>
      </w:tr>
      <w:tr w14:paraId="28740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43151EA2">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3314" w:type="dxa"/>
          </w:tcPr>
          <w:p w14:paraId="676DE2B6">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C Koppelstätter</w:t>
            </w:r>
            <w:r>
              <w:rPr>
                <w:rFonts w:hint="default" w:ascii="Times New Roman" w:hAnsi="Times New Roman" w:eastAsia="宋体" w:cs="Times New Roman"/>
                <w:color w:val="000000"/>
                <w:sz w:val="24"/>
                <w:szCs w:val="24"/>
                <w:lang w:val="en-US" w:eastAsia="zh-CN"/>
              </w:rPr>
              <w:t xml:space="preserve"> 2024</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NE.Ref.{8AFCE4CB-5BAA-4AFC-AAA3-8B21C472C202}</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9</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33E5E9D7">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Repeated publications</w:t>
            </w:r>
          </w:p>
        </w:tc>
      </w:tr>
      <w:tr w14:paraId="7B26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3A72DAEE">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3314" w:type="dxa"/>
          </w:tcPr>
          <w:p w14:paraId="058ED57F">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P Prasertsri</w:t>
            </w:r>
            <w:r>
              <w:rPr>
                <w:rFonts w:hint="default" w:ascii="Times New Roman" w:hAnsi="Times New Roman" w:eastAsia="宋体" w:cs="Times New Roman"/>
                <w:color w:val="000000"/>
                <w:sz w:val="24"/>
                <w:szCs w:val="24"/>
                <w:lang w:val="en-US" w:eastAsia="zh-CN"/>
              </w:rPr>
              <w:t xml:space="preserve"> 2010</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NE.Ref.{84A742E5-EC60-4BF8-974B-29CF38B72C3A}</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10</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50C2D503">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Repeated publications</w:t>
            </w:r>
          </w:p>
        </w:tc>
      </w:tr>
      <w:tr w14:paraId="1140E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608EA2C7">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3314" w:type="dxa"/>
          </w:tcPr>
          <w:p w14:paraId="7B0FE6F9">
            <w:pPr>
              <w:jc w:val="left"/>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FG Márquez-Celedonio</w:t>
            </w:r>
            <w:r>
              <w:rPr>
                <w:rFonts w:hint="default" w:ascii="Times New Roman" w:hAnsi="Times New Roman" w:eastAsia="宋体" w:cs="Times New Roman"/>
                <w:color w:val="000000"/>
                <w:sz w:val="24"/>
                <w:szCs w:val="24"/>
                <w:lang w:val="en-US" w:eastAsia="zh-CN"/>
              </w:rPr>
              <w:t xml:space="preserve"> 2009</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NE.Ref.{8FE00370-3EF6-46CE-8ABF-78FD00B243F3}</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11</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74DD611E">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foreign language</w:t>
            </w:r>
          </w:p>
        </w:tc>
      </w:tr>
      <w:tr w14:paraId="271D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27D9A97E">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3314" w:type="dxa"/>
          </w:tcPr>
          <w:p w14:paraId="1E02D6C5">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K Chan</w:t>
            </w:r>
            <w:r>
              <w:rPr>
                <w:rFonts w:hint="default" w:ascii="Times New Roman" w:hAnsi="Times New Roman" w:eastAsia="宋体" w:cs="Times New Roman"/>
                <w:color w:val="000000"/>
                <w:sz w:val="24"/>
                <w:szCs w:val="24"/>
                <w:lang w:val="en-US" w:eastAsia="zh-CN"/>
              </w:rPr>
              <w:t xml:space="preserve"> 2020</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NE.Ref.{4E71F23B-53A8-4116-9F08-74AC7E23A561}</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12</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718CD5F4">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conference abstracts</w:t>
            </w:r>
          </w:p>
        </w:tc>
      </w:tr>
      <w:tr w14:paraId="0B873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2C7E9444">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3314" w:type="dxa"/>
          </w:tcPr>
          <w:p w14:paraId="32356376">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S Hunter</w:t>
            </w:r>
            <w:r>
              <w:rPr>
                <w:rFonts w:hint="default" w:ascii="Times New Roman" w:hAnsi="Times New Roman" w:eastAsia="宋体" w:cs="Times New Roman"/>
                <w:color w:val="000000"/>
                <w:sz w:val="24"/>
                <w:szCs w:val="24"/>
                <w:lang w:val="en-US" w:eastAsia="zh-CN"/>
              </w:rPr>
              <w:t xml:space="preserve"> 2019</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NE.Ref.{244C7FE3-0FF9-46F4-A62C-4DF49A5B8579}</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13</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39DD8F04">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conference abstracts</w:t>
            </w:r>
          </w:p>
        </w:tc>
      </w:tr>
      <w:tr w14:paraId="6AA61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2AED76A8">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3314" w:type="dxa"/>
          </w:tcPr>
          <w:p w14:paraId="25BF382A">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X Li</w:t>
            </w:r>
            <w:r>
              <w:rPr>
                <w:rFonts w:hint="default" w:ascii="Times New Roman" w:hAnsi="Times New Roman" w:eastAsia="宋体" w:cs="Times New Roman"/>
                <w:color w:val="000000"/>
                <w:sz w:val="24"/>
                <w:szCs w:val="24"/>
                <w:lang w:val="en-US" w:eastAsia="zh-CN"/>
              </w:rPr>
              <w:t xml:space="preserve"> 2020</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NE.Ref.{1972A613-E5BE-4258-B7F2-3DFAECD8FC32}</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14</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69118FAA">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conference abstracts</w:t>
            </w:r>
          </w:p>
        </w:tc>
      </w:tr>
      <w:tr w14:paraId="78920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2109A676">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3314" w:type="dxa"/>
          </w:tcPr>
          <w:p w14:paraId="4C9564B5">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Q Peng</w:t>
            </w:r>
            <w:r>
              <w:rPr>
                <w:rFonts w:hint="default" w:ascii="Times New Roman" w:hAnsi="Times New Roman" w:eastAsia="宋体" w:cs="Times New Roman"/>
                <w:color w:val="000000"/>
                <w:sz w:val="24"/>
                <w:szCs w:val="24"/>
                <w:lang w:val="en-US" w:eastAsia="zh-CN"/>
              </w:rPr>
              <w:t xml:space="preserve"> 2020</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NE.Ref.{65DE786C-4D21-4BBE-A147-929D66C5E178}</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15</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6B4A50EA">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conference abstracts</w:t>
            </w:r>
          </w:p>
        </w:tc>
      </w:tr>
      <w:tr w14:paraId="188CA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05123AE6">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3314" w:type="dxa"/>
          </w:tcPr>
          <w:p w14:paraId="02BD3120">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T Ramkumar</w:t>
            </w:r>
            <w:r>
              <w:rPr>
                <w:rFonts w:hint="default" w:ascii="Times New Roman" w:hAnsi="Times New Roman" w:eastAsia="宋体" w:cs="Times New Roman"/>
                <w:color w:val="000000"/>
                <w:sz w:val="24"/>
                <w:szCs w:val="24"/>
                <w:lang w:val="en-US" w:eastAsia="zh-CN"/>
              </w:rPr>
              <w:t xml:space="preserve"> 2014</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NE.Ref.{DE39D6B1-9FEE-4029-8E2A-6749FF01A826}</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16</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4A041887">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conference abstracts</w:t>
            </w:r>
          </w:p>
        </w:tc>
      </w:tr>
      <w:tr w14:paraId="798F4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67968D51">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17</w:t>
            </w:r>
          </w:p>
        </w:tc>
        <w:tc>
          <w:tcPr>
            <w:tcW w:w="3314" w:type="dxa"/>
          </w:tcPr>
          <w:p w14:paraId="2CA8E901">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J Wiles</w:t>
            </w:r>
            <w:r>
              <w:rPr>
                <w:rFonts w:hint="default" w:ascii="Times New Roman" w:hAnsi="Times New Roman" w:eastAsia="宋体" w:cs="Times New Roman"/>
                <w:color w:val="000000"/>
                <w:sz w:val="24"/>
                <w:szCs w:val="24"/>
                <w:lang w:val="en-US" w:eastAsia="zh-CN"/>
              </w:rPr>
              <w:t xml:space="preserve"> 2022</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NE.Ref.{C306459C-563F-4400-BD40-D545AE30B988}</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17</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08047B2D">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conference abstracts</w:t>
            </w:r>
          </w:p>
        </w:tc>
      </w:tr>
      <w:tr w14:paraId="4B6FE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4BCF0C8D">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3314" w:type="dxa"/>
          </w:tcPr>
          <w:p w14:paraId="18CDCB06">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M Filip</w:t>
            </w:r>
            <w:r>
              <w:rPr>
                <w:rFonts w:hint="default" w:ascii="Times New Roman" w:hAnsi="Times New Roman" w:eastAsia="宋体" w:cs="Times New Roman"/>
                <w:color w:val="000000"/>
                <w:sz w:val="24"/>
                <w:szCs w:val="24"/>
                <w:lang w:val="en-US" w:eastAsia="zh-CN"/>
              </w:rPr>
              <w:t xml:space="preserve"> 2015</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NE.Ref.{3872208E-A2C6-4EF2-BC0C-17DE07530DB4}</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18</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31748A16">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conference abstracts</w:t>
            </w:r>
          </w:p>
        </w:tc>
      </w:tr>
      <w:tr w14:paraId="531E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18684D64">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19</w:t>
            </w:r>
          </w:p>
        </w:tc>
        <w:tc>
          <w:tcPr>
            <w:tcW w:w="3314" w:type="dxa"/>
          </w:tcPr>
          <w:p w14:paraId="79C78C1E">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S Tantiprasoplap</w:t>
            </w:r>
            <w:r>
              <w:rPr>
                <w:rFonts w:hint="default" w:ascii="Times New Roman" w:hAnsi="Times New Roman" w:eastAsia="宋体" w:cs="Times New Roman"/>
                <w:color w:val="000000"/>
                <w:sz w:val="24"/>
                <w:szCs w:val="24"/>
                <w:lang w:val="en-US" w:eastAsia="zh-CN"/>
              </w:rPr>
              <w:t xml:space="preserve"> 2020</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NE.Ref.{95225B7E-05AD-45DA-B172-A9E6DF63500A}</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19</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2D5B8843">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academic thesis</w:t>
            </w:r>
          </w:p>
        </w:tc>
      </w:tr>
      <w:tr w14:paraId="6C1AC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7ABC9D3F">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3314" w:type="dxa"/>
          </w:tcPr>
          <w:p w14:paraId="429073C1">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AM Afify</w:t>
            </w:r>
            <w:r>
              <w:rPr>
                <w:rFonts w:hint="default" w:ascii="Times New Roman" w:hAnsi="Times New Roman" w:eastAsia="宋体" w:cs="Times New Roman"/>
                <w:color w:val="000000"/>
                <w:sz w:val="24"/>
                <w:szCs w:val="24"/>
                <w:lang w:val="en-US" w:eastAsia="zh-CN"/>
              </w:rPr>
              <w:t xml:space="preserve"> 2023</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NE.Ref.{3D86940B-710A-4681-BA03-94B0468C15C4}</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20</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0A94415B">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Study on acute blood pressure assessment</w:t>
            </w:r>
          </w:p>
        </w:tc>
      </w:tr>
      <w:tr w14:paraId="41C30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6F34DE25">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21</w:t>
            </w:r>
          </w:p>
        </w:tc>
        <w:tc>
          <w:tcPr>
            <w:tcW w:w="3314" w:type="dxa"/>
          </w:tcPr>
          <w:p w14:paraId="59D5EC27">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DMP Karoline</w:t>
            </w:r>
            <w:r>
              <w:rPr>
                <w:rFonts w:hint="default" w:ascii="Times New Roman" w:hAnsi="Times New Roman" w:eastAsia="宋体" w:cs="Times New Roman"/>
                <w:color w:val="000000"/>
                <w:sz w:val="24"/>
                <w:szCs w:val="24"/>
                <w:lang w:val="en-US" w:eastAsia="zh-CN"/>
              </w:rPr>
              <w:t xml:space="preserve"> 2015</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NE.Ref.{A9C5802A-3355-4ECA-86F2-557A6435A4FE}</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21</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44BC2154">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Study on acute blood pressure assessment</w:t>
            </w:r>
          </w:p>
        </w:tc>
      </w:tr>
      <w:tr w14:paraId="4C6DB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36D84AC6">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22</w:t>
            </w:r>
          </w:p>
        </w:tc>
        <w:tc>
          <w:tcPr>
            <w:tcW w:w="3314" w:type="dxa"/>
          </w:tcPr>
          <w:p w14:paraId="696D1080">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N Mevada</w:t>
            </w:r>
            <w:r>
              <w:rPr>
                <w:rFonts w:hint="default" w:ascii="Times New Roman" w:hAnsi="Times New Roman" w:eastAsia="宋体" w:cs="Times New Roman"/>
                <w:color w:val="000000"/>
                <w:sz w:val="24"/>
                <w:szCs w:val="24"/>
                <w:lang w:val="en-US" w:eastAsia="zh-CN"/>
              </w:rPr>
              <w:t xml:space="preserve"> 2024</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NE.Ref.{6BDD1F6A-19DF-403B-8651-6D11162774B0}</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22</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2C877F6B">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Study on acute blood pressure assessment</w:t>
            </w:r>
          </w:p>
        </w:tc>
      </w:tr>
      <w:tr w14:paraId="145DB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3BFDEDDD">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23</w:t>
            </w:r>
          </w:p>
        </w:tc>
        <w:tc>
          <w:tcPr>
            <w:tcW w:w="3314" w:type="dxa"/>
          </w:tcPr>
          <w:p w14:paraId="4FE3C4B8">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S Park</w:t>
            </w:r>
            <w:r>
              <w:rPr>
                <w:rFonts w:hint="default" w:ascii="Times New Roman" w:hAnsi="Times New Roman" w:eastAsia="宋体" w:cs="Times New Roman"/>
                <w:color w:val="000000"/>
                <w:sz w:val="24"/>
                <w:szCs w:val="24"/>
                <w:lang w:val="en-US" w:eastAsia="zh-CN"/>
              </w:rPr>
              <w:t xml:space="preserve"> 2006</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NE.Ref.{58272D0C-7D76-4778-AB7C-ABFF45EE438E}</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23</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4BF7DCA7">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Study on</w:t>
            </w:r>
            <w:r>
              <w:rPr>
                <w:rFonts w:hint="default" w:ascii="Times New Roman" w:hAnsi="Times New Roman" w:eastAsia="宋体" w:cs="Times New Roman"/>
                <w:i w:val="0"/>
                <w:iCs w:val="0"/>
                <w:caps w:val="0"/>
                <w:color w:val="000000"/>
                <w:spacing w:val="10"/>
                <w:sz w:val="24"/>
                <w:szCs w:val="24"/>
                <w:vertAlign w:val="baseline"/>
                <w:lang w:val="en-US" w:eastAsia="zh-CN"/>
              </w:rPr>
              <w:t xml:space="preserve"> </w:t>
            </w:r>
            <w:r>
              <w:rPr>
                <w:rFonts w:hint="default" w:ascii="Times New Roman" w:hAnsi="Times New Roman" w:eastAsia="宋体" w:cs="Times New Roman"/>
                <w:i w:val="0"/>
                <w:iCs w:val="0"/>
                <w:caps w:val="0"/>
                <w:color w:val="000000"/>
                <w:spacing w:val="10"/>
                <w:sz w:val="24"/>
                <w:szCs w:val="24"/>
                <w:vertAlign w:val="baseline"/>
              </w:rPr>
              <w:t>acute blood pressure assessment</w:t>
            </w:r>
          </w:p>
        </w:tc>
      </w:tr>
      <w:tr w14:paraId="0F14E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2C57D7A6">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24</w:t>
            </w:r>
          </w:p>
        </w:tc>
        <w:tc>
          <w:tcPr>
            <w:tcW w:w="3314" w:type="dxa"/>
          </w:tcPr>
          <w:p w14:paraId="3110C70D">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S Rodrigues</w:t>
            </w:r>
            <w:r>
              <w:rPr>
                <w:rFonts w:hint="default" w:ascii="Times New Roman" w:hAnsi="Times New Roman" w:eastAsia="宋体" w:cs="Times New Roman"/>
                <w:color w:val="000000"/>
                <w:sz w:val="24"/>
                <w:szCs w:val="24"/>
                <w:lang w:val="en-US" w:eastAsia="zh-CN"/>
              </w:rPr>
              <w:t xml:space="preserve"> 2021</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NE.Ref.{41667DC5-1B1F-4230-BFAB-462A36EDCF49}</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24</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47D7755E">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Study on acute blood pressure assessment</w:t>
            </w:r>
          </w:p>
        </w:tc>
      </w:tr>
      <w:tr w14:paraId="2AC83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3109F5C3">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25</w:t>
            </w:r>
          </w:p>
        </w:tc>
        <w:tc>
          <w:tcPr>
            <w:tcW w:w="3314" w:type="dxa"/>
          </w:tcPr>
          <w:p w14:paraId="0580DEB6">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Y Saxena</w:t>
            </w:r>
            <w:r>
              <w:rPr>
                <w:rFonts w:hint="default" w:ascii="Times New Roman" w:hAnsi="Times New Roman" w:eastAsia="宋体" w:cs="Times New Roman"/>
                <w:color w:val="000000"/>
                <w:sz w:val="24"/>
                <w:szCs w:val="24"/>
                <w:lang w:val="en-US" w:eastAsia="zh-CN"/>
              </w:rPr>
              <w:t xml:space="preserve"> 2016</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NE.Ref.{E122ED7D-12BF-4783-B430-72C6BE59E86B}</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25</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3633B29B">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Study on acute blood pressure assessment</w:t>
            </w:r>
          </w:p>
        </w:tc>
      </w:tr>
      <w:tr w14:paraId="78A1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69A42B99">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26</w:t>
            </w:r>
          </w:p>
        </w:tc>
        <w:tc>
          <w:tcPr>
            <w:tcW w:w="3314" w:type="dxa"/>
          </w:tcPr>
          <w:p w14:paraId="287CFB93">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ZS Zeigler</w:t>
            </w:r>
            <w:r>
              <w:rPr>
                <w:rFonts w:hint="default" w:ascii="Times New Roman" w:hAnsi="Times New Roman" w:eastAsia="宋体" w:cs="Times New Roman"/>
                <w:color w:val="000000"/>
                <w:sz w:val="24"/>
                <w:szCs w:val="24"/>
                <w:lang w:val="en-US" w:eastAsia="zh-CN"/>
              </w:rPr>
              <w:t xml:space="preserve"> 2016</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NE.Ref.{24CE921B-49A4-481C-BCB3-7E5816B80474}</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26</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48291C8A">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Study on acute blood pressure assessment</w:t>
            </w:r>
          </w:p>
        </w:tc>
      </w:tr>
      <w:tr w14:paraId="11BD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7106F842">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27</w:t>
            </w:r>
          </w:p>
        </w:tc>
        <w:tc>
          <w:tcPr>
            <w:tcW w:w="3314" w:type="dxa"/>
          </w:tcPr>
          <w:p w14:paraId="439F5236">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ZS Zeigler</w:t>
            </w:r>
            <w:r>
              <w:rPr>
                <w:rFonts w:hint="default" w:ascii="Times New Roman" w:hAnsi="Times New Roman" w:eastAsia="宋体" w:cs="Times New Roman"/>
                <w:color w:val="000000"/>
                <w:sz w:val="24"/>
                <w:szCs w:val="24"/>
                <w:lang w:val="en-US" w:eastAsia="zh-CN"/>
              </w:rPr>
              <w:t xml:space="preserve"> 2015</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NE.Ref.{F615D10A-FBDB-4BAA-AFF8-8D920743504E}</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27</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4791C7E3">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Study on acute blood pressure assessment</w:t>
            </w:r>
          </w:p>
        </w:tc>
      </w:tr>
      <w:tr w14:paraId="4CD16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3CEAB04A">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28</w:t>
            </w:r>
          </w:p>
        </w:tc>
        <w:tc>
          <w:tcPr>
            <w:tcW w:w="3314" w:type="dxa"/>
          </w:tcPr>
          <w:p w14:paraId="3AE6D407">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S Chen</w:t>
            </w:r>
            <w:r>
              <w:rPr>
                <w:rFonts w:hint="default" w:ascii="Times New Roman" w:hAnsi="Times New Roman" w:eastAsia="宋体" w:cs="Times New Roman"/>
                <w:color w:val="000000"/>
                <w:sz w:val="24"/>
                <w:szCs w:val="24"/>
                <w:lang w:val="en-US" w:eastAsia="zh-CN"/>
              </w:rPr>
              <w:t xml:space="preserve"> 2016</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NE.Ref.{B1EF4E90-0B24-4FF1-90C1-948FB2DEEFEB}</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28</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1F303277">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Ineligible interventions</w:t>
            </w:r>
          </w:p>
        </w:tc>
      </w:tr>
      <w:tr w14:paraId="2862A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72FAA478">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29</w:t>
            </w:r>
          </w:p>
        </w:tc>
        <w:tc>
          <w:tcPr>
            <w:tcW w:w="3314" w:type="dxa"/>
          </w:tcPr>
          <w:p w14:paraId="608FF20C">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JW Hughes</w:t>
            </w:r>
            <w:r>
              <w:rPr>
                <w:rFonts w:hint="default" w:ascii="Times New Roman" w:hAnsi="Times New Roman" w:eastAsia="宋体" w:cs="Times New Roman"/>
                <w:color w:val="000000"/>
                <w:sz w:val="24"/>
                <w:szCs w:val="24"/>
                <w:lang w:val="en-US" w:eastAsia="zh-CN"/>
              </w:rPr>
              <w:t xml:space="preserve"> 2013</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NE.Ref.{C2DBA438-D175-466C-AAA7-D4FAA398EDDC}</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29</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764716A8">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Ineligible interventions</w:t>
            </w:r>
          </w:p>
        </w:tc>
      </w:tr>
      <w:tr w14:paraId="10A5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156FB454">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3314" w:type="dxa"/>
          </w:tcPr>
          <w:p w14:paraId="2BE39CB4">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M Jalilian</w:t>
            </w:r>
            <w:r>
              <w:rPr>
                <w:rFonts w:hint="default" w:ascii="Times New Roman" w:hAnsi="Times New Roman" w:eastAsia="宋体" w:cs="Times New Roman"/>
                <w:color w:val="000000"/>
                <w:sz w:val="24"/>
                <w:szCs w:val="24"/>
                <w:lang w:val="en-US" w:eastAsia="zh-CN"/>
              </w:rPr>
              <w:t xml:space="preserve"> 2024</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NE.Ref.{F1F19A7D-2E0B-4B36-AC7E-188E21EF5055}</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30</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05AF35C4">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Ineligible interventions</w:t>
            </w:r>
          </w:p>
        </w:tc>
      </w:tr>
      <w:tr w14:paraId="23229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64BDFDE7">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31</w:t>
            </w:r>
          </w:p>
        </w:tc>
        <w:tc>
          <w:tcPr>
            <w:tcW w:w="3314" w:type="dxa"/>
          </w:tcPr>
          <w:p w14:paraId="51AAA591">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J Kalinowski</w:t>
            </w:r>
            <w:r>
              <w:rPr>
                <w:rFonts w:hint="default" w:ascii="Times New Roman" w:hAnsi="Times New Roman" w:eastAsia="宋体" w:cs="Times New Roman"/>
                <w:color w:val="000000"/>
                <w:sz w:val="24"/>
                <w:szCs w:val="24"/>
                <w:lang w:val="en-US" w:eastAsia="zh-CN"/>
              </w:rPr>
              <w:t xml:space="preserve"> 2021</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NE.Ref.{6852A267-8DC4-4202-9C27-DD4B06401ACA}</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31</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4075D8AD">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Ineligible interventions</w:t>
            </w:r>
          </w:p>
        </w:tc>
      </w:tr>
      <w:tr w14:paraId="2DEA5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652F1F90">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32</w:t>
            </w:r>
          </w:p>
        </w:tc>
        <w:tc>
          <w:tcPr>
            <w:tcW w:w="3314" w:type="dxa"/>
          </w:tcPr>
          <w:p w14:paraId="67E0D8A9">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PA Modesti</w:t>
            </w:r>
            <w:r>
              <w:rPr>
                <w:rFonts w:hint="default" w:ascii="Times New Roman" w:hAnsi="Times New Roman" w:eastAsia="宋体" w:cs="Times New Roman"/>
                <w:color w:val="000000"/>
                <w:sz w:val="24"/>
                <w:szCs w:val="24"/>
                <w:lang w:val="en-US" w:eastAsia="zh-CN"/>
              </w:rPr>
              <w:t xml:space="preserve"> 2015</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NE.Ref.{602D30D1-326A-45D8-9A6B-CBB642FADC7D}</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32</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09706C2D">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Ineligible interventions</w:t>
            </w:r>
          </w:p>
        </w:tc>
      </w:tr>
      <w:tr w14:paraId="4829D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4055A9F1">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33</w:t>
            </w:r>
          </w:p>
        </w:tc>
        <w:tc>
          <w:tcPr>
            <w:tcW w:w="3314" w:type="dxa"/>
          </w:tcPr>
          <w:p w14:paraId="50DB768C">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S Pengpid</w:t>
            </w:r>
            <w:r>
              <w:rPr>
                <w:rFonts w:hint="default" w:ascii="Times New Roman" w:hAnsi="Times New Roman" w:eastAsia="宋体" w:cs="Times New Roman"/>
                <w:color w:val="000000"/>
                <w:sz w:val="24"/>
                <w:szCs w:val="24"/>
                <w:lang w:val="en-US" w:eastAsia="zh-CN"/>
              </w:rPr>
              <w:t xml:space="preserve"> 2019</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NE.Ref.{4C0089DC-F689-4661-A5D7-4ECC576A579F}</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33</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4D2CD809">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Ineligible interventions</w:t>
            </w:r>
          </w:p>
        </w:tc>
      </w:tr>
      <w:tr w14:paraId="38E90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41A40B40">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34</w:t>
            </w:r>
          </w:p>
        </w:tc>
        <w:tc>
          <w:tcPr>
            <w:tcW w:w="3314" w:type="dxa"/>
          </w:tcPr>
          <w:p w14:paraId="630E9C1F">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ER Serber</w:t>
            </w:r>
            <w:r>
              <w:rPr>
                <w:rFonts w:hint="default" w:ascii="Times New Roman" w:hAnsi="Times New Roman" w:eastAsia="宋体" w:cs="Times New Roman"/>
                <w:color w:val="000000"/>
                <w:sz w:val="24"/>
                <w:szCs w:val="24"/>
                <w:lang w:val="en-US" w:eastAsia="zh-CN"/>
              </w:rPr>
              <w:t xml:space="preserve"> 2016</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NE.Ref.{5F1B8BF8-8ACA-456A-BD74-AF3A5CEFB59E}</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34</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09F21B84">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Ineligible interventions</w:t>
            </w:r>
          </w:p>
        </w:tc>
      </w:tr>
      <w:tr w14:paraId="17628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1E1F4253">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35</w:t>
            </w:r>
          </w:p>
        </w:tc>
        <w:tc>
          <w:tcPr>
            <w:tcW w:w="3314" w:type="dxa"/>
          </w:tcPr>
          <w:p w14:paraId="27DCC130">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SZ Wang</w:t>
            </w:r>
            <w:r>
              <w:rPr>
                <w:rFonts w:hint="default" w:ascii="Times New Roman" w:hAnsi="Times New Roman" w:eastAsia="宋体" w:cs="Times New Roman"/>
                <w:color w:val="000000"/>
                <w:sz w:val="24"/>
                <w:szCs w:val="24"/>
                <w:lang w:val="en-US" w:eastAsia="zh-CN"/>
              </w:rPr>
              <w:t xml:space="preserve"> 2010</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NE.Ref.{614C639C-F7B9-44C4-BFBA-D986C15AB2F4}</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35</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1EE9BDA5">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Ineligible interventions</w:t>
            </w:r>
          </w:p>
        </w:tc>
      </w:tr>
      <w:tr w14:paraId="2F4B1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7E6C5F3F">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36</w:t>
            </w:r>
          </w:p>
        </w:tc>
        <w:tc>
          <w:tcPr>
            <w:tcW w:w="3314" w:type="dxa"/>
          </w:tcPr>
          <w:p w14:paraId="730F4DF4">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RBR- Fdkw</w:t>
            </w:r>
            <w:r>
              <w:rPr>
                <w:rFonts w:hint="default" w:ascii="Times New Roman" w:hAnsi="Times New Roman" w:eastAsia="宋体" w:cs="Times New Roman"/>
                <w:color w:val="000000"/>
                <w:sz w:val="24"/>
                <w:szCs w:val="24"/>
                <w:lang w:val="en-US" w:eastAsia="zh-CN"/>
              </w:rPr>
              <w:t xml:space="preserve"> 2018</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NE.Ref.{60AB9768-71D3-44EB-ACBB-A01E3EFCA13C}</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36</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11B73B5A">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cs="Times New Roman"/>
                <w:sz w:val="24"/>
                <w:szCs w:val="24"/>
              </w:rPr>
              <w:t>Type of disease not met</w:t>
            </w:r>
          </w:p>
        </w:tc>
      </w:tr>
      <w:tr w14:paraId="4D28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02A813A4">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37</w:t>
            </w:r>
          </w:p>
        </w:tc>
        <w:tc>
          <w:tcPr>
            <w:tcW w:w="3314" w:type="dxa"/>
          </w:tcPr>
          <w:p w14:paraId="4D8A3993">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A Aminuddin</w:t>
            </w:r>
            <w:r>
              <w:rPr>
                <w:rFonts w:hint="default" w:ascii="Times New Roman" w:hAnsi="Times New Roman" w:eastAsia="宋体" w:cs="Times New Roman"/>
                <w:color w:val="000000"/>
                <w:sz w:val="24"/>
                <w:szCs w:val="24"/>
                <w:lang w:val="en-US" w:eastAsia="zh-CN"/>
              </w:rPr>
              <w:t xml:space="preserve"> 2011</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NE.Ref.{1B73305A-6246-4F49-A60C-B3FE45D89BF0}</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37</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008486A0">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cs="Times New Roman"/>
                <w:sz w:val="24"/>
                <w:szCs w:val="24"/>
              </w:rPr>
              <w:t>Type of disease not met</w:t>
            </w:r>
          </w:p>
        </w:tc>
      </w:tr>
      <w:tr w14:paraId="1EEFF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537A12D8">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38</w:t>
            </w:r>
          </w:p>
        </w:tc>
        <w:tc>
          <w:tcPr>
            <w:tcW w:w="3314" w:type="dxa"/>
          </w:tcPr>
          <w:p w14:paraId="3F9427BF">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E An</w:t>
            </w:r>
            <w:r>
              <w:rPr>
                <w:rFonts w:hint="default" w:ascii="Times New Roman" w:hAnsi="Times New Roman" w:eastAsia="宋体" w:cs="Times New Roman"/>
                <w:color w:val="000000"/>
                <w:sz w:val="24"/>
                <w:szCs w:val="24"/>
                <w:lang w:val="en-US" w:eastAsia="zh-CN"/>
              </w:rPr>
              <w:t xml:space="preserve"> 2019</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NE.Ref.{B0185F9E-CC40-419A-B1C0-FC9CC60FCB27}</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38</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495C954C">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cs="Times New Roman"/>
                <w:sz w:val="24"/>
                <w:szCs w:val="24"/>
              </w:rPr>
              <w:t>Type of disease not met</w:t>
            </w:r>
          </w:p>
        </w:tc>
      </w:tr>
      <w:tr w14:paraId="283A9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77A1AD2F">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39</w:t>
            </w:r>
          </w:p>
        </w:tc>
        <w:tc>
          <w:tcPr>
            <w:tcW w:w="3314" w:type="dxa"/>
          </w:tcPr>
          <w:p w14:paraId="0D98E9EB">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K Anjana</w:t>
            </w:r>
            <w:r>
              <w:rPr>
                <w:rFonts w:hint="default" w:ascii="Times New Roman" w:hAnsi="Times New Roman" w:eastAsia="宋体" w:cs="Times New Roman"/>
                <w:color w:val="000000"/>
                <w:sz w:val="24"/>
                <w:szCs w:val="24"/>
                <w:lang w:val="en-US" w:eastAsia="zh-CN"/>
              </w:rPr>
              <w:t xml:space="preserve"> 2022</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NE.Ref.{97C81085-866B-4A07-A438-5F3CC4511062}</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39</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030CE079">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cs="Times New Roman"/>
                <w:sz w:val="24"/>
                <w:szCs w:val="24"/>
              </w:rPr>
              <w:t>Type of disease not met</w:t>
            </w:r>
          </w:p>
        </w:tc>
      </w:tr>
      <w:tr w14:paraId="62D97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34DDE11D">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40</w:t>
            </w:r>
          </w:p>
        </w:tc>
        <w:tc>
          <w:tcPr>
            <w:tcW w:w="3314" w:type="dxa"/>
          </w:tcPr>
          <w:p w14:paraId="170B45B9">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BJ Arsenault</w:t>
            </w:r>
            <w:r>
              <w:rPr>
                <w:rFonts w:hint="default" w:ascii="Times New Roman" w:hAnsi="Times New Roman" w:eastAsia="宋体" w:cs="Times New Roman"/>
                <w:color w:val="000000"/>
                <w:sz w:val="24"/>
                <w:szCs w:val="24"/>
                <w:lang w:val="en-US" w:eastAsia="zh-CN"/>
              </w:rPr>
              <w:t xml:space="preserve"> 2009</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NE.Ref.{B287344D-0F2C-4E68-8E78-FFF54C5E7379}</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40</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3B317517">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cs="Times New Roman"/>
                <w:sz w:val="24"/>
                <w:szCs w:val="24"/>
              </w:rPr>
              <w:t>Type of disease not met</w:t>
            </w:r>
          </w:p>
        </w:tc>
      </w:tr>
      <w:tr w14:paraId="25B12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3C2C3D74">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41</w:t>
            </w:r>
          </w:p>
        </w:tc>
        <w:tc>
          <w:tcPr>
            <w:tcW w:w="3314" w:type="dxa"/>
          </w:tcPr>
          <w:p w14:paraId="77E4652E">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GI Ash</w:t>
            </w:r>
            <w:r>
              <w:rPr>
                <w:rFonts w:hint="default" w:ascii="Times New Roman" w:hAnsi="Times New Roman" w:eastAsia="宋体" w:cs="Times New Roman"/>
                <w:color w:val="000000"/>
                <w:sz w:val="24"/>
                <w:szCs w:val="24"/>
                <w:lang w:val="en-US" w:eastAsia="zh-CN"/>
              </w:rPr>
              <w:t xml:space="preserve"> 2017</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NE.Ref.{E89A5C68-0FE3-423E-8371-0E40C0BB45C0}</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41</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7661BBE8">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cs="Times New Roman"/>
                <w:sz w:val="24"/>
                <w:szCs w:val="24"/>
              </w:rPr>
              <w:t>Type of disease not met</w:t>
            </w:r>
          </w:p>
        </w:tc>
      </w:tr>
      <w:tr w14:paraId="0B70E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2BBFCF0E">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42</w:t>
            </w:r>
          </w:p>
        </w:tc>
        <w:tc>
          <w:tcPr>
            <w:tcW w:w="3314" w:type="dxa"/>
          </w:tcPr>
          <w:p w14:paraId="3B99A556">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Y Bai</w:t>
            </w:r>
            <w:r>
              <w:rPr>
                <w:rFonts w:hint="default" w:ascii="Times New Roman" w:hAnsi="Times New Roman" w:eastAsia="宋体" w:cs="Times New Roman"/>
                <w:color w:val="000000"/>
                <w:sz w:val="24"/>
                <w:szCs w:val="24"/>
                <w:lang w:val="en-US" w:eastAsia="zh-CN"/>
              </w:rPr>
              <w:t xml:space="preserve"> 2022</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NE.Ref.{561975B4-C15F-40B3-A380-DD5A950616C1}</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42</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6BD1950A">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cs="Times New Roman"/>
                <w:sz w:val="24"/>
                <w:szCs w:val="24"/>
              </w:rPr>
              <w:t>Type of disease not met</w:t>
            </w:r>
          </w:p>
        </w:tc>
      </w:tr>
      <w:tr w14:paraId="5B6EF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5C066765">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43</w:t>
            </w:r>
          </w:p>
        </w:tc>
        <w:tc>
          <w:tcPr>
            <w:tcW w:w="3314" w:type="dxa"/>
          </w:tcPr>
          <w:p w14:paraId="569AE497">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BB Barone</w:t>
            </w:r>
            <w:r>
              <w:rPr>
                <w:rFonts w:hint="default" w:ascii="Times New Roman" w:hAnsi="Times New Roman" w:eastAsia="宋体" w:cs="Times New Roman"/>
                <w:color w:val="000000"/>
                <w:sz w:val="24"/>
                <w:szCs w:val="24"/>
                <w:lang w:val="en-US" w:eastAsia="zh-CN"/>
              </w:rPr>
              <w:t xml:space="preserve"> 2009</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NE.Ref.{F3E63DCA-5ED1-4C3C-A121-7C0646C8F69F}</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43</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2C59772C">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cs="Times New Roman"/>
                <w:sz w:val="24"/>
                <w:szCs w:val="24"/>
              </w:rPr>
              <w:t>Type of disease not met</w:t>
            </w:r>
          </w:p>
        </w:tc>
      </w:tr>
      <w:tr w14:paraId="588DD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79C4B675">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44</w:t>
            </w:r>
          </w:p>
        </w:tc>
        <w:tc>
          <w:tcPr>
            <w:tcW w:w="3314" w:type="dxa"/>
          </w:tcPr>
          <w:p w14:paraId="4517C83B">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JA Blumenthal</w:t>
            </w:r>
            <w:r>
              <w:rPr>
                <w:rFonts w:hint="default" w:ascii="Times New Roman" w:hAnsi="Times New Roman" w:eastAsia="宋体" w:cs="Times New Roman"/>
                <w:color w:val="000000"/>
                <w:sz w:val="24"/>
                <w:szCs w:val="24"/>
                <w:lang w:val="en-US" w:eastAsia="zh-CN"/>
              </w:rPr>
              <w:t xml:space="preserve"> 2010</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NE.Ref.{80AB3856-3435-4A17-890E-997B079045F7}</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44</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0E32ED88">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cs="Times New Roman"/>
                <w:sz w:val="24"/>
                <w:szCs w:val="24"/>
              </w:rPr>
              <w:t>Type of disease not met</w:t>
            </w:r>
          </w:p>
        </w:tc>
      </w:tr>
      <w:tr w14:paraId="732D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27732AD5">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45</w:t>
            </w:r>
          </w:p>
        </w:tc>
        <w:tc>
          <w:tcPr>
            <w:tcW w:w="3314" w:type="dxa"/>
          </w:tcPr>
          <w:p w14:paraId="439850E0">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JA Blumenthal</w:t>
            </w:r>
            <w:r>
              <w:rPr>
                <w:rFonts w:hint="default" w:ascii="Times New Roman" w:hAnsi="Times New Roman" w:eastAsia="宋体" w:cs="Times New Roman"/>
                <w:color w:val="000000"/>
                <w:sz w:val="24"/>
                <w:szCs w:val="24"/>
                <w:lang w:val="en-US" w:eastAsia="zh-CN"/>
              </w:rPr>
              <w:t xml:space="preserve"> 2000</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NE.Ref.{EAAA0B33-8A99-4AA9-9A59-E8B1E4E98ECE}</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45</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6952C090">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cs="Times New Roman"/>
                <w:sz w:val="24"/>
                <w:szCs w:val="24"/>
              </w:rPr>
              <w:t>Type of disease not met</w:t>
            </w:r>
          </w:p>
        </w:tc>
      </w:tr>
      <w:tr w14:paraId="4EAD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5C9EF4D1">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46</w:t>
            </w:r>
          </w:p>
        </w:tc>
        <w:tc>
          <w:tcPr>
            <w:tcW w:w="3314" w:type="dxa"/>
          </w:tcPr>
          <w:p w14:paraId="2564E857">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FP Boeno</w:t>
            </w:r>
            <w:r>
              <w:rPr>
                <w:rFonts w:hint="default" w:ascii="Times New Roman" w:hAnsi="Times New Roman" w:eastAsia="宋体" w:cs="Times New Roman"/>
                <w:color w:val="000000"/>
                <w:sz w:val="24"/>
                <w:szCs w:val="24"/>
                <w:lang w:val="en-US" w:eastAsia="zh-CN"/>
              </w:rPr>
              <w:t xml:space="preserve"> 2020</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NE.Ref.{CA101D69-0B88-473C-BC14-9543BE9076C7}</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46</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shd w:val="clear" w:color="auto" w:fill="auto"/>
            <w:vAlign w:val="top"/>
          </w:tcPr>
          <w:p w14:paraId="3C18286C">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cs="Times New Roman"/>
                <w:sz w:val="24"/>
                <w:szCs w:val="24"/>
              </w:rPr>
              <w:t>Type of disease not met</w:t>
            </w:r>
          </w:p>
        </w:tc>
      </w:tr>
      <w:tr w14:paraId="45599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0B95D70F">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47</w:t>
            </w:r>
          </w:p>
        </w:tc>
        <w:tc>
          <w:tcPr>
            <w:tcW w:w="3314" w:type="dxa"/>
          </w:tcPr>
          <w:p w14:paraId="75E40359">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TS Church</w:t>
            </w:r>
            <w:r>
              <w:rPr>
                <w:rFonts w:hint="default" w:ascii="Times New Roman" w:hAnsi="Times New Roman" w:eastAsia="宋体" w:cs="Times New Roman"/>
                <w:color w:val="000000"/>
                <w:sz w:val="24"/>
                <w:szCs w:val="24"/>
                <w:lang w:val="en-US" w:eastAsia="zh-CN"/>
              </w:rPr>
              <w:t xml:space="preserve"> 2007</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NE.Ref.{5D8DF0C8-6840-4974-8174-1149EBF8901F}</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47</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shd w:val="clear" w:color="auto" w:fill="auto"/>
            <w:vAlign w:val="top"/>
          </w:tcPr>
          <w:p w14:paraId="18C653CD">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cs="Times New Roman"/>
                <w:sz w:val="24"/>
                <w:szCs w:val="24"/>
              </w:rPr>
              <w:t>Type of disease not met</w:t>
            </w:r>
          </w:p>
        </w:tc>
      </w:tr>
      <w:tr w14:paraId="54286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5898258F">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48</w:t>
            </w:r>
          </w:p>
        </w:tc>
        <w:tc>
          <w:tcPr>
            <w:tcW w:w="3314" w:type="dxa"/>
          </w:tcPr>
          <w:p w14:paraId="07707A53">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DL Cohen</w:t>
            </w:r>
            <w:r>
              <w:rPr>
                <w:rFonts w:hint="default" w:ascii="Times New Roman" w:hAnsi="Times New Roman" w:eastAsia="宋体" w:cs="Times New Roman"/>
                <w:color w:val="000000"/>
                <w:sz w:val="24"/>
                <w:szCs w:val="24"/>
                <w:lang w:val="en-US" w:eastAsia="zh-CN"/>
              </w:rPr>
              <w:t xml:space="preserve"> 2011</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NE.Ref.{535FAF49-2E3F-434A-87D9-ED4ABFC1E876}</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48</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shd w:val="clear" w:color="auto" w:fill="auto"/>
            <w:vAlign w:val="top"/>
          </w:tcPr>
          <w:p w14:paraId="783F0A83">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cs="Times New Roman"/>
                <w:sz w:val="24"/>
                <w:szCs w:val="24"/>
              </w:rPr>
              <w:t>Type of disease not met</w:t>
            </w:r>
          </w:p>
        </w:tc>
      </w:tr>
      <w:tr w14:paraId="721FF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7107CA62">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49</w:t>
            </w:r>
          </w:p>
        </w:tc>
        <w:tc>
          <w:tcPr>
            <w:tcW w:w="3314" w:type="dxa"/>
          </w:tcPr>
          <w:p w14:paraId="4C7352C5">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SR Collier</w:t>
            </w:r>
            <w:r>
              <w:rPr>
                <w:rFonts w:hint="default" w:ascii="Times New Roman" w:hAnsi="Times New Roman" w:eastAsia="宋体" w:cs="Times New Roman"/>
                <w:color w:val="000000"/>
                <w:sz w:val="24"/>
                <w:szCs w:val="24"/>
                <w:lang w:val="en-US" w:eastAsia="zh-CN"/>
              </w:rPr>
              <w:t xml:space="preserve"> 2011</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NE.Ref.{FBB92978-CF8D-4978-B600-F631DBD4B438}</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49</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shd w:val="clear" w:color="auto" w:fill="auto"/>
            <w:vAlign w:val="top"/>
          </w:tcPr>
          <w:p w14:paraId="16AF121F">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cs="Times New Roman"/>
                <w:sz w:val="24"/>
                <w:szCs w:val="24"/>
              </w:rPr>
              <w:t>Type of disease not met</w:t>
            </w:r>
          </w:p>
        </w:tc>
      </w:tr>
      <w:tr w14:paraId="64CC5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43CE2544">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50</w:t>
            </w:r>
          </w:p>
        </w:tc>
        <w:tc>
          <w:tcPr>
            <w:tcW w:w="3314" w:type="dxa"/>
          </w:tcPr>
          <w:p w14:paraId="1330B3D2">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SR Collier</w:t>
            </w:r>
            <w:r>
              <w:rPr>
                <w:rFonts w:hint="default" w:ascii="Times New Roman" w:hAnsi="Times New Roman" w:eastAsia="宋体" w:cs="Times New Roman"/>
                <w:color w:val="000000"/>
                <w:sz w:val="24"/>
                <w:szCs w:val="24"/>
                <w:lang w:val="en-US" w:eastAsia="zh-CN"/>
              </w:rPr>
              <w:t xml:space="preserve"> 2009</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NE.Ref.{471BA317-DEC8-41DC-80F7-53EF84748790}</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50</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shd w:val="clear" w:color="auto" w:fill="auto"/>
            <w:vAlign w:val="top"/>
          </w:tcPr>
          <w:p w14:paraId="56940701">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cs="Times New Roman"/>
                <w:sz w:val="24"/>
                <w:szCs w:val="24"/>
              </w:rPr>
              <w:t>Type of disease not met</w:t>
            </w:r>
          </w:p>
        </w:tc>
      </w:tr>
      <w:tr w14:paraId="4946B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65561B65">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51</w:t>
            </w:r>
          </w:p>
        </w:tc>
        <w:tc>
          <w:tcPr>
            <w:tcW w:w="3314" w:type="dxa"/>
          </w:tcPr>
          <w:p w14:paraId="2907ED88">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LA Crist</w:t>
            </w:r>
            <w:r>
              <w:rPr>
                <w:rFonts w:hint="default" w:ascii="Times New Roman" w:hAnsi="Times New Roman" w:eastAsia="宋体" w:cs="Times New Roman"/>
                <w:color w:val="000000"/>
                <w:sz w:val="24"/>
                <w:szCs w:val="24"/>
                <w:lang w:val="en-US" w:eastAsia="zh-CN"/>
              </w:rPr>
              <w:t xml:space="preserve"> 2012</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NE.Ref.{23C4DED0-5CB8-4FAD-8125-E054C1EFD5F9}</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51</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shd w:val="clear" w:color="auto" w:fill="auto"/>
            <w:vAlign w:val="top"/>
          </w:tcPr>
          <w:p w14:paraId="2FE2FBAB">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cs="Times New Roman"/>
                <w:sz w:val="24"/>
                <w:szCs w:val="24"/>
              </w:rPr>
              <w:t>Type of disease not met</w:t>
            </w:r>
          </w:p>
        </w:tc>
      </w:tr>
      <w:tr w14:paraId="165E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4D94643D">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52</w:t>
            </w:r>
          </w:p>
        </w:tc>
        <w:tc>
          <w:tcPr>
            <w:tcW w:w="3314" w:type="dxa"/>
          </w:tcPr>
          <w:p w14:paraId="3FD7267A">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P Delgado-Floody</w:t>
            </w:r>
            <w:r>
              <w:rPr>
                <w:rFonts w:hint="default" w:ascii="Times New Roman" w:hAnsi="Times New Roman" w:eastAsia="宋体" w:cs="Times New Roman"/>
                <w:color w:val="000000"/>
                <w:sz w:val="24"/>
                <w:szCs w:val="24"/>
                <w:lang w:val="en-US" w:eastAsia="zh-CN"/>
              </w:rPr>
              <w:t xml:space="preserve"> 2020</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NE.Ref.{F0D831FD-11D2-4D6A-899B-7D93EC7903E7}</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52</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shd w:val="clear" w:color="auto" w:fill="auto"/>
            <w:vAlign w:val="top"/>
          </w:tcPr>
          <w:p w14:paraId="3B25206A">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cs="Times New Roman"/>
                <w:sz w:val="24"/>
                <w:szCs w:val="24"/>
              </w:rPr>
              <w:t>Type of disease not met</w:t>
            </w:r>
          </w:p>
        </w:tc>
      </w:tr>
      <w:tr w14:paraId="4F1D6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053D35E8">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53</w:t>
            </w:r>
          </w:p>
        </w:tc>
        <w:tc>
          <w:tcPr>
            <w:tcW w:w="3314" w:type="dxa"/>
          </w:tcPr>
          <w:p w14:paraId="095A6137">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KM Edwards</w:t>
            </w:r>
            <w:r>
              <w:rPr>
                <w:rFonts w:hint="default" w:ascii="Times New Roman" w:hAnsi="Times New Roman" w:eastAsia="宋体" w:cs="Times New Roman"/>
                <w:color w:val="000000"/>
                <w:sz w:val="24"/>
                <w:szCs w:val="24"/>
                <w:lang w:val="en-US" w:eastAsia="zh-CN"/>
              </w:rPr>
              <w:t xml:space="preserve"> 2011</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NE.Ref.{2B0CCD6F-2F4B-46B6-B1A3-DF71F4E454C1}</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53</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shd w:val="clear" w:color="auto" w:fill="auto"/>
            <w:vAlign w:val="top"/>
          </w:tcPr>
          <w:p w14:paraId="1BA1FC96">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cs="Times New Roman"/>
                <w:sz w:val="24"/>
                <w:szCs w:val="24"/>
              </w:rPr>
              <w:t>Type of disease not met</w:t>
            </w:r>
          </w:p>
        </w:tc>
      </w:tr>
      <w:tr w14:paraId="6A89D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6A125FCC">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54</w:t>
            </w:r>
          </w:p>
        </w:tc>
        <w:tc>
          <w:tcPr>
            <w:tcW w:w="3314" w:type="dxa"/>
          </w:tcPr>
          <w:p w14:paraId="16196795">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A Figueroa</w:t>
            </w:r>
            <w:r>
              <w:rPr>
                <w:rFonts w:hint="default" w:ascii="Times New Roman" w:hAnsi="Times New Roman" w:eastAsia="宋体" w:cs="Times New Roman"/>
                <w:color w:val="000000"/>
                <w:sz w:val="24"/>
                <w:szCs w:val="24"/>
                <w:lang w:val="en-US" w:eastAsia="zh-CN"/>
              </w:rPr>
              <w:t xml:space="preserve"> 2014</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NE.Ref.{7484964D-8E46-41ED-AB87-87639DA01CBF}</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54</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shd w:val="clear" w:color="auto" w:fill="auto"/>
            <w:vAlign w:val="top"/>
          </w:tcPr>
          <w:p w14:paraId="7FF4BB09">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cs="Times New Roman"/>
                <w:sz w:val="24"/>
                <w:szCs w:val="24"/>
              </w:rPr>
              <w:t>Type of disease not met</w:t>
            </w:r>
          </w:p>
        </w:tc>
      </w:tr>
      <w:tr w14:paraId="3AFA1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1B8D0307">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55</w:t>
            </w:r>
          </w:p>
        </w:tc>
        <w:tc>
          <w:tcPr>
            <w:tcW w:w="3314" w:type="dxa"/>
          </w:tcPr>
          <w:p w14:paraId="00EAD7B6">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J Gabiola</w:t>
            </w:r>
            <w:r>
              <w:rPr>
                <w:rFonts w:hint="default" w:ascii="Times New Roman" w:hAnsi="Times New Roman" w:eastAsia="宋体" w:cs="Times New Roman"/>
                <w:color w:val="000000"/>
                <w:sz w:val="24"/>
                <w:szCs w:val="24"/>
                <w:lang w:val="en-US" w:eastAsia="zh-CN"/>
              </w:rPr>
              <w:t xml:space="preserve"> 2020</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NE.Ref.{CCD2D4F2-989B-4CA7-A2E5-2E79D2B8FA69}</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55</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shd w:val="clear" w:color="auto" w:fill="auto"/>
            <w:vAlign w:val="top"/>
          </w:tcPr>
          <w:p w14:paraId="7BF01FA2">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cs="Times New Roman"/>
                <w:sz w:val="24"/>
                <w:szCs w:val="24"/>
              </w:rPr>
              <w:t>Type of disease not met</w:t>
            </w:r>
          </w:p>
        </w:tc>
      </w:tr>
      <w:tr w14:paraId="45016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771FEB6B">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56</w:t>
            </w:r>
          </w:p>
        </w:tc>
        <w:tc>
          <w:tcPr>
            <w:tcW w:w="3314" w:type="dxa"/>
          </w:tcPr>
          <w:p w14:paraId="172AFCF6">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M Hagins</w:t>
            </w:r>
            <w:r>
              <w:rPr>
                <w:rFonts w:hint="default" w:ascii="Times New Roman" w:hAnsi="Times New Roman" w:eastAsia="宋体" w:cs="Times New Roman"/>
                <w:color w:val="000000"/>
                <w:sz w:val="24"/>
                <w:szCs w:val="24"/>
                <w:lang w:val="en-US" w:eastAsia="zh-CN"/>
              </w:rPr>
              <w:t xml:space="preserve"> 2014</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NE.Ref.{ECF82236-B8D5-4066-87DF-7860DD7F0A71}</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56</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shd w:val="clear" w:color="auto" w:fill="auto"/>
            <w:vAlign w:val="top"/>
          </w:tcPr>
          <w:p w14:paraId="2B9792C0">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cs="Times New Roman"/>
                <w:sz w:val="24"/>
                <w:szCs w:val="24"/>
              </w:rPr>
              <w:t>Type of disease not met</w:t>
            </w:r>
          </w:p>
        </w:tc>
      </w:tr>
      <w:tr w14:paraId="7C844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437C7253">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57</w:t>
            </w:r>
          </w:p>
        </w:tc>
        <w:tc>
          <w:tcPr>
            <w:tcW w:w="3314" w:type="dxa"/>
          </w:tcPr>
          <w:p w14:paraId="06F9F4EC">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KS Heffernan</w:t>
            </w:r>
            <w:r>
              <w:rPr>
                <w:rFonts w:hint="default" w:ascii="Times New Roman" w:hAnsi="Times New Roman" w:eastAsia="宋体" w:cs="Times New Roman"/>
                <w:color w:val="000000"/>
                <w:sz w:val="24"/>
                <w:szCs w:val="24"/>
                <w:lang w:val="en-US" w:eastAsia="zh-CN"/>
              </w:rPr>
              <w:t xml:space="preserve"> 2013</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NE.Ref.{5A5C715C-39B3-4517-B11D-5E90DCB3879F}</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57</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shd w:val="clear" w:color="auto" w:fill="auto"/>
            <w:vAlign w:val="top"/>
          </w:tcPr>
          <w:p w14:paraId="2DC66AA1">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cs="Times New Roman"/>
                <w:sz w:val="24"/>
                <w:szCs w:val="24"/>
              </w:rPr>
              <w:t>Type of disease not met</w:t>
            </w:r>
          </w:p>
        </w:tc>
      </w:tr>
      <w:tr w14:paraId="63C68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1A1A10E6">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58</w:t>
            </w:r>
          </w:p>
        </w:tc>
        <w:tc>
          <w:tcPr>
            <w:tcW w:w="3314" w:type="dxa"/>
          </w:tcPr>
          <w:p w14:paraId="1C2E63F0">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J Lea</w:t>
            </w:r>
            <w:r>
              <w:rPr>
                <w:rFonts w:hint="default" w:ascii="Times New Roman" w:hAnsi="Times New Roman" w:eastAsia="宋体" w:cs="Times New Roman"/>
                <w:color w:val="000000"/>
                <w:sz w:val="24"/>
                <w:szCs w:val="24"/>
                <w:lang w:val="en-US" w:eastAsia="zh-CN"/>
              </w:rPr>
              <w:t xml:space="preserve"> 2024</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NE.Ref.{040CD27A-9B9F-43EC-9601-49298F9F2D99}</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58</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shd w:val="clear" w:color="auto" w:fill="auto"/>
            <w:vAlign w:val="top"/>
          </w:tcPr>
          <w:p w14:paraId="5EA8F144">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cs="Times New Roman"/>
                <w:sz w:val="24"/>
                <w:szCs w:val="24"/>
              </w:rPr>
              <w:t>Type of disease not met</w:t>
            </w:r>
          </w:p>
        </w:tc>
      </w:tr>
      <w:tr w14:paraId="61DAA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6BF882FF">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59</w:t>
            </w:r>
          </w:p>
        </w:tc>
        <w:tc>
          <w:tcPr>
            <w:tcW w:w="3314" w:type="dxa"/>
          </w:tcPr>
          <w:p w14:paraId="02EDA210">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M Miyashita</w:t>
            </w:r>
            <w:r>
              <w:rPr>
                <w:rFonts w:hint="default" w:ascii="Times New Roman" w:hAnsi="Times New Roman" w:eastAsia="宋体" w:cs="Times New Roman"/>
                <w:color w:val="000000"/>
                <w:sz w:val="24"/>
                <w:szCs w:val="24"/>
                <w:lang w:val="en-US" w:eastAsia="zh-CN"/>
              </w:rPr>
              <w:t xml:space="preserve"> 2011</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NE.Ref.{B88948FC-1F8E-4E8A-856B-6DE7319F3F05}</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59</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shd w:val="clear" w:color="auto" w:fill="auto"/>
            <w:vAlign w:val="top"/>
          </w:tcPr>
          <w:p w14:paraId="4A3C405F">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cs="Times New Roman"/>
                <w:sz w:val="24"/>
                <w:szCs w:val="24"/>
              </w:rPr>
              <w:t>Type of disease not met</w:t>
            </w:r>
          </w:p>
        </w:tc>
      </w:tr>
      <w:tr w14:paraId="3D1E2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2EDF144E">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60</w:t>
            </w:r>
          </w:p>
        </w:tc>
        <w:tc>
          <w:tcPr>
            <w:tcW w:w="3314" w:type="dxa"/>
          </w:tcPr>
          <w:p w14:paraId="7FF10B2A">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GE Moore</w:t>
            </w:r>
            <w:r>
              <w:rPr>
                <w:rFonts w:hint="default" w:ascii="Times New Roman" w:hAnsi="Times New Roman" w:eastAsia="宋体" w:cs="Times New Roman"/>
                <w:color w:val="000000"/>
                <w:sz w:val="24"/>
                <w:szCs w:val="24"/>
                <w:lang w:val="en-US" w:eastAsia="zh-CN"/>
              </w:rPr>
              <w:t xml:space="preserve"> 2006</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NE.Ref.{249D34EF-FFEA-4858-9729-C136991EDA71}</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60</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shd w:val="clear" w:color="auto" w:fill="auto"/>
            <w:vAlign w:val="top"/>
          </w:tcPr>
          <w:p w14:paraId="614CBBED">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cs="Times New Roman"/>
                <w:sz w:val="24"/>
                <w:szCs w:val="24"/>
              </w:rPr>
              <w:t>Type of disease not met</w:t>
            </w:r>
          </w:p>
        </w:tc>
      </w:tr>
      <w:tr w14:paraId="4D7CF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22CC669F">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61</w:t>
            </w:r>
          </w:p>
        </w:tc>
        <w:tc>
          <w:tcPr>
            <w:tcW w:w="3314" w:type="dxa"/>
          </w:tcPr>
          <w:p w14:paraId="378A3948">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NCT</w:t>
            </w:r>
            <w:r>
              <w:rPr>
                <w:rFonts w:hint="default" w:ascii="Times New Roman" w:hAnsi="Times New Roman" w:eastAsia="宋体" w:cs="Times New Roman"/>
                <w:color w:val="000000"/>
                <w:sz w:val="24"/>
                <w:szCs w:val="24"/>
                <w:lang w:val="en-US" w:eastAsia="zh-CN"/>
              </w:rPr>
              <w:t xml:space="preserve"> 2009</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NE.Ref.{2AE198C0-F631-474B-8F69-F80D5CAE8B1F}</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61</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shd w:val="clear" w:color="auto" w:fill="auto"/>
            <w:vAlign w:val="top"/>
          </w:tcPr>
          <w:p w14:paraId="25298C28">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cs="Times New Roman"/>
                <w:sz w:val="24"/>
                <w:szCs w:val="24"/>
              </w:rPr>
              <w:t>Type of disease not met</w:t>
            </w:r>
          </w:p>
        </w:tc>
      </w:tr>
      <w:tr w14:paraId="349D4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10EC4842">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62</w:t>
            </w:r>
          </w:p>
        </w:tc>
        <w:tc>
          <w:tcPr>
            <w:tcW w:w="3314" w:type="dxa"/>
          </w:tcPr>
          <w:p w14:paraId="69CD492B">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JE Park</w:t>
            </w:r>
            <w:r>
              <w:rPr>
                <w:rFonts w:hint="default" w:ascii="Times New Roman" w:hAnsi="Times New Roman" w:eastAsia="宋体" w:cs="Times New Roman"/>
                <w:color w:val="000000"/>
                <w:sz w:val="24"/>
                <w:szCs w:val="24"/>
                <w:lang w:val="en-US" w:eastAsia="zh-CN"/>
              </w:rPr>
              <w:t xml:space="preserve"> 2011</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NE.Ref.{CF046F10-A410-4E3A-AE61-EE01B60EC01A}</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62</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shd w:val="clear" w:color="auto" w:fill="auto"/>
            <w:vAlign w:val="top"/>
          </w:tcPr>
          <w:p w14:paraId="1B70A461">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cs="Times New Roman"/>
                <w:sz w:val="24"/>
                <w:szCs w:val="24"/>
              </w:rPr>
              <w:t>Type of disease not met</w:t>
            </w:r>
          </w:p>
        </w:tc>
      </w:tr>
      <w:tr w14:paraId="56990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27BAFABB">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63</w:t>
            </w:r>
          </w:p>
        </w:tc>
        <w:tc>
          <w:tcPr>
            <w:tcW w:w="3314" w:type="dxa"/>
          </w:tcPr>
          <w:p w14:paraId="5195C68C">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JE Park</w:t>
            </w:r>
            <w:r>
              <w:rPr>
                <w:rFonts w:hint="default" w:ascii="Times New Roman" w:hAnsi="Times New Roman" w:eastAsia="宋体" w:cs="Times New Roman"/>
                <w:color w:val="000000"/>
                <w:sz w:val="24"/>
                <w:szCs w:val="24"/>
                <w:lang w:val="en-US" w:eastAsia="zh-CN"/>
              </w:rPr>
              <w:t xml:space="preserve"> 2017</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NE.Ref.{80FE10D3-C088-47A0-A80B-E01D27E68F5A}</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63</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shd w:val="clear" w:color="auto" w:fill="auto"/>
            <w:vAlign w:val="top"/>
          </w:tcPr>
          <w:p w14:paraId="6ABE65D4">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cs="Times New Roman"/>
                <w:sz w:val="24"/>
                <w:szCs w:val="24"/>
              </w:rPr>
              <w:t>Type of disease not met</w:t>
            </w:r>
          </w:p>
        </w:tc>
      </w:tr>
      <w:tr w14:paraId="45898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3DDB6B34">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64</w:t>
            </w:r>
          </w:p>
        </w:tc>
        <w:tc>
          <w:tcPr>
            <w:tcW w:w="3314" w:type="dxa"/>
          </w:tcPr>
          <w:p w14:paraId="60BE40E1">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J Park</w:t>
            </w:r>
            <w:r>
              <w:rPr>
                <w:rFonts w:hint="default" w:ascii="Times New Roman" w:hAnsi="Times New Roman" w:eastAsia="宋体" w:cs="Times New Roman"/>
                <w:color w:val="000000"/>
                <w:sz w:val="24"/>
                <w:szCs w:val="24"/>
                <w:lang w:val="en-US" w:eastAsia="zh-CN"/>
              </w:rPr>
              <w:t xml:space="preserve"> 2012</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NE.Ref.{330B9F3A-83B6-4742-997F-3BE445DEB22C}</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64</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shd w:val="clear" w:color="auto" w:fill="auto"/>
            <w:vAlign w:val="top"/>
          </w:tcPr>
          <w:p w14:paraId="236C811A">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cs="Times New Roman"/>
                <w:sz w:val="24"/>
                <w:szCs w:val="24"/>
              </w:rPr>
              <w:t>Type of disease not met</w:t>
            </w:r>
          </w:p>
        </w:tc>
      </w:tr>
      <w:tr w14:paraId="66556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07F9AD42">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65</w:t>
            </w:r>
          </w:p>
        </w:tc>
        <w:tc>
          <w:tcPr>
            <w:tcW w:w="3314" w:type="dxa"/>
          </w:tcPr>
          <w:p w14:paraId="525C3BE4">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D Pinto</w:t>
            </w:r>
            <w:r>
              <w:rPr>
                <w:rFonts w:hint="default" w:ascii="Times New Roman" w:hAnsi="Times New Roman" w:eastAsia="宋体" w:cs="Times New Roman"/>
                <w:color w:val="000000"/>
                <w:sz w:val="24"/>
                <w:szCs w:val="24"/>
                <w:lang w:val="en-US" w:eastAsia="zh-CN"/>
              </w:rPr>
              <w:t xml:space="preserve"> 2022</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NE.Ref.{15AA6F37-2448-43A4-BD6B-D849B2C19233}</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65</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shd w:val="clear" w:color="auto" w:fill="auto"/>
            <w:vAlign w:val="top"/>
          </w:tcPr>
          <w:p w14:paraId="18375D73">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cs="Times New Roman"/>
                <w:sz w:val="24"/>
                <w:szCs w:val="24"/>
              </w:rPr>
              <w:t>Type of disease not met</w:t>
            </w:r>
          </w:p>
        </w:tc>
      </w:tr>
      <w:tr w14:paraId="4741B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45F78B8A">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66</w:t>
            </w:r>
          </w:p>
        </w:tc>
        <w:tc>
          <w:tcPr>
            <w:tcW w:w="3314" w:type="dxa"/>
          </w:tcPr>
          <w:p w14:paraId="024FDDA8">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S Punia</w:t>
            </w:r>
            <w:r>
              <w:rPr>
                <w:rFonts w:hint="default" w:ascii="Times New Roman" w:hAnsi="Times New Roman" w:eastAsia="宋体" w:cs="Times New Roman"/>
                <w:color w:val="000000"/>
                <w:sz w:val="24"/>
                <w:szCs w:val="24"/>
                <w:lang w:val="en-US" w:eastAsia="zh-CN"/>
              </w:rPr>
              <w:t xml:space="preserve"> 2019</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NE.Ref.{339CD7FE-3E47-44E1-B9C5-AED13ED23456}</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66</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shd w:val="clear" w:color="auto" w:fill="auto"/>
            <w:vAlign w:val="top"/>
          </w:tcPr>
          <w:p w14:paraId="0711FE16">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cs="Times New Roman"/>
                <w:sz w:val="24"/>
                <w:szCs w:val="24"/>
              </w:rPr>
              <w:t>Type of disease not met</w:t>
            </w:r>
          </w:p>
        </w:tc>
      </w:tr>
      <w:tr w14:paraId="1237B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6797C659">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67</w:t>
            </w:r>
          </w:p>
        </w:tc>
        <w:tc>
          <w:tcPr>
            <w:tcW w:w="3314" w:type="dxa"/>
          </w:tcPr>
          <w:p w14:paraId="6F1C4ABF">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S Punia</w:t>
            </w:r>
            <w:r>
              <w:rPr>
                <w:rFonts w:hint="default" w:ascii="Times New Roman" w:hAnsi="Times New Roman" w:eastAsia="宋体" w:cs="Times New Roman"/>
                <w:color w:val="000000"/>
                <w:sz w:val="24"/>
                <w:szCs w:val="24"/>
                <w:lang w:val="en-US" w:eastAsia="zh-CN"/>
              </w:rPr>
              <w:t xml:space="preserve"> 2022</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NE.Ref.{293A8ACF-9C38-45C8-B488-6C57D633FB9D}</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67</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shd w:val="clear" w:color="auto" w:fill="auto"/>
            <w:vAlign w:val="top"/>
          </w:tcPr>
          <w:p w14:paraId="601E11E0">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cs="Times New Roman"/>
                <w:sz w:val="24"/>
                <w:szCs w:val="24"/>
              </w:rPr>
              <w:t>Type of disease not met</w:t>
            </w:r>
          </w:p>
        </w:tc>
      </w:tr>
      <w:tr w14:paraId="0E74D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1572E059">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68</w:t>
            </w:r>
          </w:p>
        </w:tc>
        <w:tc>
          <w:tcPr>
            <w:tcW w:w="3314" w:type="dxa"/>
          </w:tcPr>
          <w:p w14:paraId="152556E0">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BA Staffileno</w:t>
            </w:r>
            <w:r>
              <w:rPr>
                <w:rFonts w:hint="default" w:ascii="Times New Roman" w:hAnsi="Times New Roman" w:eastAsia="宋体" w:cs="Times New Roman"/>
                <w:color w:val="000000"/>
                <w:sz w:val="24"/>
                <w:szCs w:val="24"/>
                <w:lang w:val="en-US" w:eastAsia="zh-CN"/>
              </w:rPr>
              <w:t xml:space="preserve"> 2007</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NE.Ref.{79B870AF-ACE6-48DF-8312-F30BB3DAB01F}</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68</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shd w:val="clear" w:color="auto" w:fill="auto"/>
            <w:vAlign w:val="top"/>
          </w:tcPr>
          <w:p w14:paraId="0D59155D">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cs="Times New Roman"/>
                <w:sz w:val="24"/>
                <w:szCs w:val="24"/>
              </w:rPr>
              <w:t>Type of disease not met</w:t>
            </w:r>
          </w:p>
        </w:tc>
      </w:tr>
      <w:tr w14:paraId="26E81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60331D26">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69</w:t>
            </w:r>
          </w:p>
        </w:tc>
        <w:tc>
          <w:tcPr>
            <w:tcW w:w="3314" w:type="dxa"/>
          </w:tcPr>
          <w:p w14:paraId="0F38DD13">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R Supriya</w:t>
            </w:r>
            <w:r>
              <w:rPr>
                <w:rFonts w:hint="default" w:ascii="Times New Roman" w:hAnsi="Times New Roman" w:eastAsia="宋体" w:cs="Times New Roman"/>
                <w:color w:val="000000"/>
                <w:sz w:val="24"/>
                <w:szCs w:val="24"/>
                <w:lang w:val="en-US" w:eastAsia="zh-CN"/>
              </w:rPr>
              <w:t xml:space="preserve"> 2018</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NE.Ref.{2A932174-D182-43D4-A450-9FE4F209F07B}</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69</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shd w:val="clear" w:color="auto" w:fill="auto"/>
            <w:vAlign w:val="top"/>
          </w:tcPr>
          <w:p w14:paraId="20892097">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cs="Times New Roman"/>
                <w:sz w:val="24"/>
                <w:szCs w:val="24"/>
              </w:rPr>
              <w:t>Type of disease not met</w:t>
            </w:r>
          </w:p>
        </w:tc>
      </w:tr>
      <w:tr w14:paraId="7014A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0650942E">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70</w:t>
            </w:r>
          </w:p>
        </w:tc>
        <w:tc>
          <w:tcPr>
            <w:tcW w:w="3314" w:type="dxa"/>
          </w:tcPr>
          <w:p w14:paraId="3C686BF9">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E Tekn</w:t>
            </w:r>
            <w:r>
              <w:rPr>
                <w:rFonts w:hint="default" w:ascii="Times New Roman" w:hAnsi="Times New Roman" w:eastAsia="宋体" w:cs="Times New Roman"/>
                <w:color w:val="000000"/>
                <w:sz w:val="24"/>
                <w:szCs w:val="24"/>
                <w:lang w:val="en-US" w:eastAsia="zh-CN"/>
              </w:rPr>
              <w:t xml:space="preserve"> 2023</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NE.Ref.{FE0023FE-94E6-43D0-B196-2F18E61E189C}</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70</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shd w:val="clear" w:color="auto" w:fill="auto"/>
            <w:vAlign w:val="top"/>
          </w:tcPr>
          <w:p w14:paraId="38EA2C38">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cs="Times New Roman"/>
                <w:sz w:val="24"/>
                <w:szCs w:val="24"/>
              </w:rPr>
              <w:t>Type of disease not met</w:t>
            </w:r>
          </w:p>
        </w:tc>
      </w:tr>
      <w:tr w14:paraId="62CF1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12A3E8CC">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71</w:t>
            </w:r>
          </w:p>
        </w:tc>
        <w:tc>
          <w:tcPr>
            <w:tcW w:w="3314" w:type="dxa"/>
          </w:tcPr>
          <w:p w14:paraId="12343AA0">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JAG Wijnen</w:t>
            </w:r>
            <w:r>
              <w:rPr>
                <w:rFonts w:hint="default" w:ascii="Times New Roman" w:hAnsi="Times New Roman" w:eastAsia="宋体" w:cs="Times New Roman"/>
                <w:color w:val="000000"/>
                <w:sz w:val="24"/>
                <w:szCs w:val="24"/>
                <w:lang w:val="en-US" w:eastAsia="zh-CN"/>
              </w:rPr>
              <w:t xml:space="preserve"> 1994</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NE.Ref.{7958B660-8D73-499A-ABDA-AE898F6B41F3}</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71</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shd w:val="clear" w:color="auto" w:fill="auto"/>
            <w:vAlign w:val="top"/>
          </w:tcPr>
          <w:p w14:paraId="50FAB955">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cs="Times New Roman"/>
                <w:sz w:val="24"/>
                <w:szCs w:val="24"/>
              </w:rPr>
              <w:t>Type of disease not met</w:t>
            </w:r>
          </w:p>
        </w:tc>
      </w:tr>
      <w:tr w14:paraId="16329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2EAAD623">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72</w:t>
            </w:r>
          </w:p>
        </w:tc>
        <w:tc>
          <w:tcPr>
            <w:tcW w:w="3314" w:type="dxa"/>
          </w:tcPr>
          <w:p w14:paraId="79CBF310">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A Wong</w:t>
            </w:r>
            <w:r>
              <w:rPr>
                <w:rFonts w:hint="default" w:ascii="Times New Roman" w:hAnsi="Times New Roman" w:eastAsia="宋体" w:cs="Times New Roman"/>
                <w:color w:val="000000"/>
                <w:sz w:val="24"/>
                <w:szCs w:val="24"/>
                <w:lang w:val="en-US" w:eastAsia="zh-CN"/>
              </w:rPr>
              <w:t xml:space="preserve"> 2016</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NE.Ref.{DC56C715-C5F5-4B4C-BE51-F7CEAF423500}</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72</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shd w:val="clear" w:color="auto" w:fill="auto"/>
            <w:vAlign w:val="top"/>
          </w:tcPr>
          <w:p w14:paraId="4EB126E6">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cs="Times New Roman"/>
                <w:sz w:val="24"/>
                <w:szCs w:val="24"/>
              </w:rPr>
              <w:t>Type of disease not met</w:t>
            </w:r>
          </w:p>
        </w:tc>
      </w:tr>
      <w:tr w14:paraId="30A33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6E74CE4E">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73</w:t>
            </w:r>
          </w:p>
        </w:tc>
        <w:tc>
          <w:tcPr>
            <w:tcW w:w="3314" w:type="dxa"/>
          </w:tcPr>
          <w:p w14:paraId="38B37A7A">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SK Xu</w:t>
            </w:r>
            <w:r>
              <w:rPr>
                <w:rFonts w:hint="default" w:ascii="Times New Roman" w:hAnsi="Times New Roman" w:eastAsia="宋体" w:cs="Times New Roman"/>
                <w:color w:val="000000"/>
                <w:sz w:val="24"/>
                <w:szCs w:val="24"/>
                <w:lang w:val="en-US" w:eastAsia="zh-CN"/>
              </w:rPr>
              <w:t xml:space="preserve"> 2019</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NE.Ref.{1CD81687-5086-4F5F-83CE-2D5F57CC28EF}</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73</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shd w:val="clear" w:color="auto" w:fill="auto"/>
            <w:vAlign w:val="top"/>
          </w:tcPr>
          <w:p w14:paraId="23A0D3EC">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cs="Times New Roman"/>
                <w:sz w:val="24"/>
                <w:szCs w:val="24"/>
              </w:rPr>
              <w:t>Type of disease not met</w:t>
            </w:r>
          </w:p>
        </w:tc>
      </w:tr>
      <w:tr w14:paraId="35E13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5AA9840E">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74</w:t>
            </w:r>
          </w:p>
        </w:tc>
        <w:tc>
          <w:tcPr>
            <w:tcW w:w="3314" w:type="dxa"/>
          </w:tcPr>
          <w:p w14:paraId="624E5001">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K Yuenyongchaiwat</w:t>
            </w:r>
            <w:r>
              <w:rPr>
                <w:rFonts w:hint="default" w:ascii="Times New Roman" w:hAnsi="Times New Roman" w:eastAsia="宋体" w:cs="Times New Roman"/>
                <w:color w:val="000000"/>
                <w:sz w:val="24"/>
                <w:szCs w:val="24"/>
                <w:lang w:val="en-US" w:eastAsia="zh-CN"/>
              </w:rPr>
              <w:t xml:space="preserve"> 2024</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NE.Ref.{15ED8550-A20E-4BB7-96B6-5E2F8FA38D0E}</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74</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shd w:val="clear" w:color="auto" w:fill="auto"/>
            <w:vAlign w:val="top"/>
          </w:tcPr>
          <w:p w14:paraId="093D6813">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cs="Times New Roman"/>
                <w:sz w:val="24"/>
                <w:szCs w:val="24"/>
              </w:rPr>
              <w:t>Type of disease not met</w:t>
            </w:r>
          </w:p>
        </w:tc>
      </w:tr>
      <w:tr w14:paraId="27907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7E54BBF9">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75</w:t>
            </w:r>
          </w:p>
        </w:tc>
        <w:tc>
          <w:tcPr>
            <w:tcW w:w="3314" w:type="dxa"/>
          </w:tcPr>
          <w:p w14:paraId="4648C2B9">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RBR- Cgp H</w:t>
            </w:r>
            <w:r>
              <w:rPr>
                <w:rFonts w:hint="default" w:ascii="Times New Roman" w:hAnsi="Times New Roman" w:eastAsia="宋体" w:cs="Times New Roman"/>
                <w:color w:val="000000"/>
                <w:sz w:val="24"/>
                <w:szCs w:val="24"/>
                <w:lang w:val="en-US" w:eastAsia="zh-CN"/>
              </w:rPr>
              <w:t xml:space="preserve"> 2018</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NE.Ref.{78483EBE-1DD5-49F9-AA12-AF8580BCDBE5}</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75</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shd w:val="clear" w:color="auto" w:fill="auto"/>
            <w:vAlign w:val="top"/>
          </w:tcPr>
          <w:p w14:paraId="03CEC4BA">
            <w:pPr>
              <w:jc w:val="center"/>
              <w:rPr>
                <w:rFonts w:hint="default" w:ascii="Times New Roman" w:hAnsi="Times New Roman" w:eastAsia="宋体" w:cs="Times New Roman"/>
                <w:i w:val="0"/>
                <w:iCs w:val="0"/>
                <w:caps w:val="0"/>
                <w:color w:val="000000"/>
                <w:spacing w:val="10"/>
                <w:kern w:val="2"/>
                <w:sz w:val="24"/>
                <w:szCs w:val="24"/>
                <w:vertAlign w:val="baseline"/>
                <w:lang w:val="en-US" w:eastAsia="zh-CN" w:bidi="ar-SA"/>
              </w:rPr>
            </w:pPr>
            <w:r>
              <w:rPr>
                <w:rFonts w:hint="default" w:ascii="Times New Roman" w:hAnsi="Times New Roman" w:cs="Times New Roman"/>
                <w:sz w:val="24"/>
                <w:szCs w:val="24"/>
              </w:rPr>
              <w:t>Type of disease not met</w:t>
            </w:r>
          </w:p>
        </w:tc>
      </w:tr>
      <w:tr w14:paraId="30024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03CE67E9">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76</w:t>
            </w:r>
          </w:p>
        </w:tc>
        <w:tc>
          <w:tcPr>
            <w:tcW w:w="3314" w:type="dxa"/>
          </w:tcPr>
          <w:p w14:paraId="1038AAC2">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S Sehgal</w:t>
            </w:r>
            <w:r>
              <w:rPr>
                <w:rFonts w:hint="default" w:ascii="Times New Roman" w:hAnsi="Times New Roman" w:eastAsia="宋体" w:cs="Times New Roman"/>
                <w:color w:val="000000"/>
                <w:sz w:val="24"/>
                <w:szCs w:val="24"/>
                <w:lang w:val="en-US" w:eastAsia="zh-CN"/>
              </w:rPr>
              <w:t xml:space="preserve"> 2023</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NE.Ref.{A67DD627-D434-439F-A758-D1E2AD83004E}</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76</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049F66A3">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Incomplete data</w:t>
            </w:r>
          </w:p>
        </w:tc>
      </w:tr>
      <w:tr w14:paraId="6DB1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6A09625D">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77</w:t>
            </w:r>
          </w:p>
        </w:tc>
        <w:tc>
          <w:tcPr>
            <w:tcW w:w="3314" w:type="dxa"/>
          </w:tcPr>
          <w:p w14:paraId="2262DB8B">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CTRI</w:t>
            </w:r>
            <w:r>
              <w:rPr>
                <w:rFonts w:hint="default" w:ascii="Times New Roman" w:hAnsi="Times New Roman" w:eastAsia="宋体" w:cs="Times New Roman"/>
                <w:color w:val="000000"/>
                <w:sz w:val="24"/>
                <w:szCs w:val="24"/>
                <w:lang w:val="en-US" w:eastAsia="zh-CN"/>
              </w:rPr>
              <w:t xml:space="preserve"> 2024</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NE.Ref.{264EBADF-DCE0-4332-8A5D-29FFED3BA1E9}</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77</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55A49684">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Study protocol</w:t>
            </w:r>
          </w:p>
        </w:tc>
      </w:tr>
      <w:tr w14:paraId="54157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7A178BB9">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78</w:t>
            </w:r>
          </w:p>
        </w:tc>
        <w:tc>
          <w:tcPr>
            <w:tcW w:w="3314" w:type="dxa"/>
          </w:tcPr>
          <w:p w14:paraId="332912FE">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ChiCTR</w:t>
            </w:r>
            <w:r>
              <w:rPr>
                <w:rFonts w:hint="default" w:ascii="Times New Roman" w:hAnsi="Times New Roman" w:eastAsia="宋体" w:cs="Times New Roman"/>
                <w:color w:val="000000"/>
                <w:sz w:val="24"/>
                <w:szCs w:val="24"/>
                <w:lang w:val="en-US" w:eastAsia="zh-CN"/>
              </w:rPr>
              <w:t xml:space="preserve"> 2019</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NE.Ref.{728FEFAD-7B80-4F1C-9FD0-A2E50F8175F0}</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78</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236E23C8">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Study protocol</w:t>
            </w:r>
          </w:p>
        </w:tc>
      </w:tr>
      <w:tr w14:paraId="2DC11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1B57C797">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79</w:t>
            </w:r>
          </w:p>
        </w:tc>
        <w:tc>
          <w:tcPr>
            <w:tcW w:w="3314" w:type="dxa"/>
          </w:tcPr>
          <w:p w14:paraId="106EB2E9">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NCT</w:t>
            </w:r>
            <w:r>
              <w:rPr>
                <w:rFonts w:hint="default" w:ascii="Times New Roman" w:hAnsi="Times New Roman" w:eastAsia="宋体" w:cs="Times New Roman"/>
                <w:color w:val="000000"/>
                <w:sz w:val="24"/>
                <w:szCs w:val="24"/>
                <w:lang w:val="en-US" w:eastAsia="zh-CN"/>
              </w:rPr>
              <w:t xml:space="preserve"> 2022</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NE.Ref.{13A48994-3C22-482C-B5E0-D064CA6FF124}</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79</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6071D84D">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Study protocol</w:t>
            </w:r>
          </w:p>
        </w:tc>
      </w:tr>
      <w:tr w14:paraId="5DCF3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091161C6">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80</w:t>
            </w:r>
          </w:p>
        </w:tc>
        <w:tc>
          <w:tcPr>
            <w:tcW w:w="3314" w:type="dxa"/>
          </w:tcPr>
          <w:p w14:paraId="3501CB98">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NCT</w:t>
            </w:r>
            <w:r>
              <w:rPr>
                <w:rFonts w:hint="default" w:ascii="Times New Roman" w:hAnsi="Times New Roman" w:eastAsia="宋体" w:cs="Times New Roman"/>
                <w:color w:val="000000"/>
                <w:sz w:val="24"/>
                <w:szCs w:val="24"/>
                <w:lang w:val="en-US" w:eastAsia="zh-CN"/>
              </w:rPr>
              <w:t xml:space="preserve"> 2012</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NE.Ref.{48D03FBD-2BD6-4EAA-834A-6AEB35699723}</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80</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6FE42F9D">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Study protocol</w:t>
            </w:r>
          </w:p>
        </w:tc>
      </w:tr>
      <w:tr w14:paraId="248A0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47B8FBBA">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81</w:t>
            </w:r>
          </w:p>
        </w:tc>
        <w:tc>
          <w:tcPr>
            <w:tcW w:w="3314" w:type="dxa"/>
          </w:tcPr>
          <w:p w14:paraId="7C0D7D69">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NCT</w:t>
            </w:r>
            <w:r>
              <w:rPr>
                <w:rFonts w:hint="default" w:ascii="Times New Roman" w:hAnsi="Times New Roman" w:eastAsia="宋体" w:cs="Times New Roman"/>
                <w:color w:val="000000"/>
                <w:sz w:val="24"/>
                <w:szCs w:val="24"/>
                <w:lang w:val="en-US" w:eastAsia="zh-CN"/>
              </w:rPr>
              <w:t xml:space="preserve"> 2021</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NE.Ref.{1B94B1F7-FDFA-4E6D-AC7C-9DCE44F76949}</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81</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3002D0A8">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Study protocol</w:t>
            </w:r>
          </w:p>
        </w:tc>
      </w:tr>
      <w:tr w14:paraId="7FB55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6DB68BC8">
            <w:pPr>
              <w:keepNext w:val="0"/>
              <w:keepLines w:val="0"/>
              <w:widowControl/>
              <w:suppressLineNumbers w:val="0"/>
              <w:jc w:val="center"/>
              <w:textAlignment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宋体" w:cs="Times New Roman"/>
                <w:i w:val="0"/>
                <w:iCs w:val="0"/>
                <w:color w:val="000000"/>
                <w:kern w:val="0"/>
                <w:sz w:val="24"/>
                <w:szCs w:val="24"/>
                <w:u w:val="none"/>
                <w:lang w:val="en-US" w:eastAsia="zh-CN" w:bidi="ar"/>
              </w:rPr>
              <w:t>82</w:t>
            </w:r>
          </w:p>
        </w:tc>
        <w:tc>
          <w:tcPr>
            <w:tcW w:w="3314" w:type="dxa"/>
          </w:tcPr>
          <w:p w14:paraId="7BDC7068">
            <w:pPr>
              <w:jc w:val="center"/>
              <w:rPr>
                <w:rFonts w:hint="default" w:ascii="Times New Roman" w:hAnsi="Times New Roman" w:eastAsia="宋体" w:cs="Times New Roman"/>
                <w:i w:val="0"/>
                <w:iCs w:val="0"/>
                <w:caps w:val="0"/>
                <w:color w:val="000000"/>
                <w:spacing w:val="10"/>
                <w:sz w:val="24"/>
                <w:szCs w:val="24"/>
                <w:vertAlign w:val="baseline"/>
                <w:lang w:eastAsia="zh-CN"/>
              </w:rPr>
            </w:pPr>
            <w:r>
              <w:rPr>
                <w:rFonts w:hint="default" w:ascii="Times New Roman" w:hAnsi="Times New Roman" w:eastAsia="Times New Roman" w:cs="Times New Roman"/>
                <w:color w:val="000000"/>
                <w:sz w:val="24"/>
                <w:szCs w:val="24"/>
              </w:rPr>
              <w:t>TCTR</w:t>
            </w:r>
            <w:r>
              <w:rPr>
                <w:rFonts w:hint="default" w:ascii="Times New Roman" w:hAnsi="Times New Roman" w:eastAsia="宋体" w:cs="Times New Roman"/>
                <w:color w:val="000000"/>
                <w:sz w:val="24"/>
                <w:szCs w:val="24"/>
                <w:lang w:val="en-US" w:eastAsia="zh-CN"/>
              </w:rPr>
              <w:t xml:space="preserve"> 2017</w:t>
            </w:r>
            <w:r>
              <w:rPr>
                <w:rFonts w:hint="default" w:ascii="Times New Roman" w:hAnsi="Times New Roman" w:eastAsia="宋体" w:cs="Times New Roman"/>
                <w:i w:val="0"/>
                <w:iCs w:val="0"/>
                <w:caps w:val="0"/>
                <w:color w:val="000000"/>
                <w:spacing w:val="10"/>
                <w:sz w:val="24"/>
                <w:szCs w:val="24"/>
                <w:vertAlign w:val="baseline"/>
                <w:lang w:eastAsia="zh-CN"/>
              </w:rPr>
              <w:fldChar w:fldCharType="begin"/>
            </w:r>
            <w:r>
              <w:rPr>
                <w:rFonts w:hint="default" w:ascii="Times New Roman" w:hAnsi="Times New Roman" w:eastAsia="宋体" w:cs="Times New Roman"/>
                <w:i w:val="0"/>
                <w:iCs w:val="0"/>
                <w:caps w:val="0"/>
                <w:color w:val="000000"/>
                <w:spacing w:val="10"/>
                <w:sz w:val="24"/>
                <w:szCs w:val="24"/>
                <w:vertAlign w:val="baseline"/>
                <w:lang w:eastAsia="zh-CN"/>
              </w:rPr>
              <w:instrText xml:space="preserve"> ADDIN NE.Ref.{79C136C3-1622-4AC8-AC7E-8D89D8B1E4C8}</w:instrText>
            </w:r>
            <w:r>
              <w:rPr>
                <w:rFonts w:hint="default" w:ascii="Times New Roman" w:hAnsi="Times New Roman" w:eastAsia="宋体" w:cs="Times New Roman"/>
                <w:i w:val="0"/>
                <w:iCs w:val="0"/>
                <w:caps w:val="0"/>
                <w:color w:val="000000"/>
                <w:spacing w:val="10"/>
                <w:sz w:val="24"/>
                <w:szCs w:val="24"/>
                <w:vertAlign w:val="baseline"/>
                <w:lang w:eastAsia="zh-CN"/>
              </w:rPr>
              <w:fldChar w:fldCharType="separate"/>
            </w:r>
            <w:r>
              <w:rPr>
                <w:rFonts w:hint="default" w:ascii="Times New Roman" w:hAnsi="Times New Roman" w:eastAsia="Calibri" w:cs="Times New Roman"/>
                <w:color w:val="080000"/>
                <w:sz w:val="24"/>
                <w:szCs w:val="24"/>
                <w:vertAlign w:val="superscript"/>
              </w:rPr>
              <w:t>82</w:t>
            </w:r>
            <w:r>
              <w:rPr>
                <w:rFonts w:hint="default" w:ascii="Times New Roman" w:hAnsi="Times New Roman" w:eastAsia="宋体" w:cs="Times New Roman"/>
                <w:i w:val="0"/>
                <w:iCs w:val="0"/>
                <w:caps w:val="0"/>
                <w:color w:val="000000"/>
                <w:spacing w:val="10"/>
                <w:sz w:val="24"/>
                <w:szCs w:val="24"/>
                <w:vertAlign w:val="baseline"/>
                <w:lang w:eastAsia="zh-CN"/>
              </w:rPr>
              <w:fldChar w:fldCharType="end"/>
            </w:r>
          </w:p>
        </w:tc>
        <w:tc>
          <w:tcPr>
            <w:tcW w:w="4752" w:type="dxa"/>
          </w:tcPr>
          <w:p w14:paraId="2A7DF9C8">
            <w:pPr>
              <w:jc w:val="center"/>
              <w:rPr>
                <w:rFonts w:hint="default" w:ascii="Times New Roman" w:hAnsi="Times New Roman" w:eastAsia="宋体" w:cs="Times New Roman"/>
                <w:i w:val="0"/>
                <w:iCs w:val="0"/>
                <w:caps w:val="0"/>
                <w:color w:val="000000"/>
                <w:spacing w:val="10"/>
                <w:sz w:val="24"/>
                <w:szCs w:val="24"/>
                <w:vertAlign w:val="baseline"/>
              </w:rPr>
            </w:pPr>
            <w:r>
              <w:rPr>
                <w:rFonts w:hint="default" w:ascii="Times New Roman" w:hAnsi="Times New Roman" w:eastAsia="宋体" w:cs="Times New Roman"/>
                <w:i w:val="0"/>
                <w:iCs w:val="0"/>
                <w:caps w:val="0"/>
                <w:color w:val="000000"/>
                <w:spacing w:val="10"/>
                <w:sz w:val="24"/>
                <w:szCs w:val="24"/>
                <w:vertAlign w:val="baseline"/>
              </w:rPr>
              <w:t>Study protocol</w:t>
            </w:r>
          </w:p>
        </w:tc>
      </w:tr>
    </w:tbl>
    <w:p w14:paraId="735140D3">
      <w:pPr>
        <w:spacing w:beforeLines="0" w:afterLines="0"/>
        <w:jc w:val="left"/>
        <w:rPr>
          <w:rFonts w:hint="default" w:ascii="Times New Roman" w:hAnsi="Times New Roman" w:eastAsia="Times New Roman" w:cs="Times New Roman"/>
          <w:color w:val="000000"/>
          <w:sz w:val="20"/>
          <w:szCs w:val="24"/>
        </w:rPr>
      </w:pPr>
      <w:r>
        <w:rPr>
          <w:rFonts w:hint="default" w:ascii="Times New Roman" w:hAnsi="Times New Roman" w:eastAsia="Times New Roman" w:cs="Times New Roman"/>
          <w:b/>
          <w:color w:val="000000"/>
          <w:sz w:val="40"/>
          <w:szCs w:val="24"/>
        </w:rPr>
        <w:t>References</w:t>
      </w:r>
    </w:p>
    <w:p w14:paraId="10A72A73">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1 </w:t>
      </w:r>
      <w:bookmarkStart w:id="1" w:name="_nebBCA3ED1B_D557_4A68_840B_3334B7BD41A1"/>
      <w:r>
        <w:rPr>
          <w:rFonts w:hint="default" w:ascii="Times New Roman" w:hAnsi="Times New Roman" w:eastAsia="Times New Roman" w:cs="Times New Roman"/>
          <w:color w:val="000000"/>
          <w:sz w:val="20"/>
          <w:szCs w:val="24"/>
        </w:rPr>
        <w:t xml:space="preserve">V Bond, BH Curry, RG Adams, et al. Cardiovascular Responses to an Isometric Handgrip Exercise in Females with  Prehypertension. </w:t>
      </w:r>
      <w:r>
        <w:rPr>
          <w:rFonts w:hint="default" w:ascii="Times New Roman" w:hAnsi="Times New Roman" w:eastAsia="Times New Roman" w:cs="Times New Roman"/>
          <w:i/>
          <w:color w:val="000000"/>
          <w:sz w:val="20"/>
          <w:szCs w:val="24"/>
        </w:rPr>
        <w:t>N Am J Med Sci</w:t>
      </w:r>
      <w:r>
        <w:rPr>
          <w:rFonts w:hint="default" w:ascii="Times New Roman" w:hAnsi="Times New Roman" w:eastAsia="Times New Roman" w:cs="Times New Roman"/>
          <w:color w:val="000000"/>
          <w:sz w:val="20"/>
          <w:szCs w:val="24"/>
        </w:rPr>
        <w:t xml:space="preserve"> 2016;8(6):243-49.</w:t>
      </w:r>
      <w:bookmarkEnd w:id="1"/>
    </w:p>
    <w:p w14:paraId="6726E1DC">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 2 </w:t>
      </w:r>
      <w:bookmarkStart w:id="2" w:name="_nebA2A14BBB_E965_448A_A023_6CDF5EC3966D"/>
      <w:r>
        <w:rPr>
          <w:rFonts w:hint="default" w:ascii="Times New Roman" w:hAnsi="Times New Roman" w:eastAsia="Times New Roman" w:cs="Times New Roman"/>
          <w:color w:val="000000"/>
          <w:sz w:val="20"/>
          <w:szCs w:val="24"/>
        </w:rPr>
        <w:t xml:space="preserve">J Glodzik, K Rewiuk, J Adamiak, et al. Controlled aerobic training improves endothelial function and modifies vascular  remodeling in healthy adults with high normal blood pressure. </w:t>
      </w:r>
      <w:r>
        <w:rPr>
          <w:rFonts w:hint="default" w:ascii="Times New Roman" w:hAnsi="Times New Roman" w:eastAsia="Times New Roman" w:cs="Times New Roman"/>
          <w:i/>
          <w:color w:val="000000"/>
          <w:sz w:val="20"/>
          <w:szCs w:val="24"/>
        </w:rPr>
        <w:t>J Physiol Pharmacol</w:t>
      </w:r>
      <w:r>
        <w:rPr>
          <w:rFonts w:hint="default" w:ascii="Times New Roman" w:hAnsi="Times New Roman" w:eastAsia="Times New Roman" w:cs="Times New Roman"/>
          <w:color w:val="000000"/>
          <w:sz w:val="20"/>
          <w:szCs w:val="24"/>
        </w:rPr>
        <w:t xml:space="preserve"> 2018;69(5).</w:t>
      </w:r>
      <w:bookmarkEnd w:id="2"/>
    </w:p>
    <w:p w14:paraId="06A8D961">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 3 </w:t>
      </w:r>
      <w:bookmarkStart w:id="3" w:name="_neb177E1ECA_13AE_4A5B_B349_EB90E51EE016"/>
      <w:r>
        <w:rPr>
          <w:rFonts w:hint="default" w:ascii="Times New Roman" w:hAnsi="Times New Roman" w:eastAsia="Times New Roman" w:cs="Times New Roman"/>
          <w:color w:val="000000"/>
          <w:sz w:val="20"/>
          <w:szCs w:val="24"/>
        </w:rPr>
        <w:t xml:space="preserve">K Kukkonen, R Rauramaa, E Voutilainen, E Lansimies. Physical training of middle-aged men with borderline hypertension. </w:t>
      </w:r>
      <w:r>
        <w:rPr>
          <w:rFonts w:hint="default" w:ascii="Times New Roman" w:hAnsi="Times New Roman" w:eastAsia="Times New Roman" w:cs="Times New Roman"/>
          <w:i/>
          <w:color w:val="000000"/>
          <w:sz w:val="20"/>
          <w:szCs w:val="24"/>
        </w:rPr>
        <w:t>Annals of Clinical Research</w:t>
      </w:r>
      <w:r>
        <w:rPr>
          <w:rFonts w:hint="default" w:ascii="Times New Roman" w:hAnsi="Times New Roman" w:eastAsia="Times New Roman" w:cs="Times New Roman"/>
          <w:color w:val="000000"/>
          <w:sz w:val="20"/>
          <w:szCs w:val="24"/>
        </w:rPr>
        <w:t xml:space="preserve"> 1982;14(Suppl. 34):139-45.</w:t>
      </w:r>
      <w:bookmarkEnd w:id="3"/>
    </w:p>
    <w:p w14:paraId="36DF4769">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 4 </w:t>
      </w:r>
      <w:bookmarkStart w:id="4" w:name="_nebB4CC33A4_68BE_46BE_8292_0C9CF2B61E19"/>
      <w:r>
        <w:rPr>
          <w:rFonts w:hint="default" w:ascii="Times New Roman" w:hAnsi="Times New Roman" w:eastAsia="Times New Roman" w:cs="Times New Roman"/>
          <w:color w:val="000000"/>
          <w:sz w:val="20"/>
          <w:szCs w:val="24"/>
        </w:rPr>
        <w:t xml:space="preserve">DT Beck, JS Martin, DP Casey, RW Braith. Exercise training improves endothelial function in resistance arteries of young prehypertensives. </w:t>
      </w:r>
      <w:r>
        <w:rPr>
          <w:rFonts w:hint="default" w:ascii="Times New Roman" w:hAnsi="Times New Roman" w:eastAsia="Times New Roman" w:cs="Times New Roman"/>
          <w:i/>
          <w:color w:val="000000"/>
          <w:sz w:val="20"/>
          <w:szCs w:val="24"/>
        </w:rPr>
        <w:t>J Hum Hypertens</w:t>
      </w:r>
      <w:r>
        <w:rPr>
          <w:rFonts w:hint="default" w:ascii="Times New Roman" w:hAnsi="Times New Roman" w:eastAsia="Times New Roman" w:cs="Times New Roman"/>
          <w:color w:val="000000"/>
          <w:sz w:val="20"/>
          <w:szCs w:val="24"/>
        </w:rPr>
        <w:t xml:space="preserve"> 2014;28(5):303-09.</w:t>
      </w:r>
      <w:bookmarkEnd w:id="4"/>
    </w:p>
    <w:p w14:paraId="02841DB4">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 5 </w:t>
      </w:r>
      <w:bookmarkStart w:id="5" w:name="_nebEEC25BEA_3FB3_48B0_B581_ED118DCDEC07"/>
      <w:r>
        <w:rPr>
          <w:rFonts w:hint="default" w:ascii="Times New Roman" w:hAnsi="Times New Roman" w:eastAsia="Times New Roman" w:cs="Times New Roman"/>
          <w:color w:val="000000"/>
          <w:sz w:val="20"/>
          <w:szCs w:val="24"/>
        </w:rPr>
        <w:t xml:space="preserve">UG Ogbutor, EK Nwangwa, BC Nwogueze, et al. Proinflammatory and Anti-inflammatory Cytokine Response to Isometric Handgrip Exercise and the Effects of Duration and Intensity of the Isometric Efforts in Prehypertensive Participants. </w:t>
      </w:r>
      <w:r>
        <w:rPr>
          <w:rFonts w:hint="default" w:ascii="Times New Roman" w:hAnsi="Times New Roman" w:eastAsia="Times New Roman" w:cs="Times New Roman"/>
          <w:i/>
          <w:color w:val="000000"/>
          <w:sz w:val="20"/>
          <w:szCs w:val="24"/>
        </w:rPr>
        <w:t>J Chiropr Med</w:t>
      </w:r>
      <w:r>
        <w:rPr>
          <w:rFonts w:hint="default" w:ascii="Times New Roman" w:hAnsi="Times New Roman" w:eastAsia="Times New Roman" w:cs="Times New Roman"/>
          <w:color w:val="000000"/>
          <w:sz w:val="20"/>
          <w:szCs w:val="24"/>
        </w:rPr>
        <w:t xml:space="preserve"> 2022;21(3):177-86.</w:t>
      </w:r>
      <w:bookmarkEnd w:id="5"/>
    </w:p>
    <w:p w14:paraId="4FDAF242">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 6 </w:t>
      </w:r>
      <w:bookmarkStart w:id="6" w:name="_neb245CF2F6_F1CE_4039_98E6_82E5BB03BCD4"/>
      <w:r>
        <w:rPr>
          <w:rFonts w:hint="default" w:ascii="Times New Roman" w:hAnsi="Times New Roman" w:eastAsia="Times New Roman" w:cs="Times New Roman"/>
          <w:color w:val="000000"/>
          <w:sz w:val="20"/>
          <w:szCs w:val="24"/>
        </w:rPr>
        <w:t xml:space="preserve">T Thida, A Yupin, P Sunida. Effect of Self-Management Exercise Program on Physical Fitness among People with Prehypertension and Obesity: A Quasi Experiment Study. </w:t>
      </w:r>
      <w:r>
        <w:rPr>
          <w:rFonts w:hint="default" w:ascii="Times New Roman" w:hAnsi="Times New Roman" w:eastAsia="Times New Roman" w:cs="Times New Roman"/>
          <w:i/>
          <w:color w:val="000000"/>
          <w:sz w:val="20"/>
          <w:szCs w:val="24"/>
        </w:rPr>
        <w:t>Pac Rim Int J Nurs Res Thail</w:t>
      </w:r>
      <w:r>
        <w:rPr>
          <w:rFonts w:hint="default" w:ascii="Times New Roman" w:hAnsi="Times New Roman" w:eastAsia="Times New Roman" w:cs="Times New Roman"/>
          <w:color w:val="000000"/>
          <w:sz w:val="20"/>
          <w:szCs w:val="24"/>
        </w:rPr>
        <w:t xml:space="preserve"> 2019;23(1):6-17.</w:t>
      </w:r>
      <w:bookmarkEnd w:id="6"/>
    </w:p>
    <w:p w14:paraId="1CEF17AE">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 7 </w:t>
      </w:r>
      <w:bookmarkStart w:id="7" w:name="_neb8E67F2FB_BBE1_416C_AF74_0B0286130DF8"/>
      <w:r>
        <w:rPr>
          <w:rFonts w:hint="default" w:ascii="Times New Roman" w:hAnsi="Times New Roman" w:eastAsia="Times New Roman" w:cs="Times New Roman"/>
          <w:color w:val="000000"/>
          <w:sz w:val="20"/>
          <w:szCs w:val="24"/>
        </w:rPr>
        <w:t xml:space="preserve">DT Beck, JS Martin, DP Casey, RW Braith. Exercise training reduces peripheral arterial stiffness and myocardial oxygen demand in young prehypertensive subjects. </w:t>
      </w:r>
      <w:r>
        <w:rPr>
          <w:rFonts w:hint="default" w:ascii="Times New Roman" w:hAnsi="Times New Roman" w:eastAsia="Times New Roman" w:cs="Times New Roman"/>
          <w:i/>
          <w:color w:val="000000"/>
          <w:sz w:val="20"/>
          <w:szCs w:val="24"/>
        </w:rPr>
        <w:t>Am J Hypertens</w:t>
      </w:r>
      <w:r>
        <w:rPr>
          <w:rFonts w:hint="default" w:ascii="Times New Roman" w:hAnsi="Times New Roman" w:eastAsia="Times New Roman" w:cs="Times New Roman"/>
          <w:color w:val="000000"/>
          <w:sz w:val="20"/>
          <w:szCs w:val="24"/>
        </w:rPr>
        <w:t xml:space="preserve"> 2013;26(9):1093-102.</w:t>
      </w:r>
      <w:bookmarkEnd w:id="7"/>
    </w:p>
    <w:p w14:paraId="0230E179">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 8 </w:t>
      </w:r>
      <w:bookmarkStart w:id="8" w:name="_nebD1D94DCC_5154_462B_8B07_FCE006022514"/>
      <w:r>
        <w:rPr>
          <w:rFonts w:hint="default" w:ascii="Times New Roman" w:hAnsi="Times New Roman" w:eastAsia="Times New Roman" w:cs="Times New Roman"/>
          <w:color w:val="000000"/>
          <w:sz w:val="20"/>
          <w:szCs w:val="24"/>
        </w:rPr>
        <w:t>SR Collier, JA Kanaley, R Carhart, et al. Effect of 4 weeks of aerobic or resistance exercise training on arterial stiffness, blood flow and blood pressure in pre- and stage-1 hypertensives. 2008;22(10):678-86.</w:t>
      </w:r>
      <w:bookmarkEnd w:id="8"/>
    </w:p>
    <w:p w14:paraId="1C497782">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 9 </w:t>
      </w:r>
      <w:bookmarkStart w:id="9" w:name="_neb5BDDC819_EC4D_411B_A1C2_5CCABDF87FF8"/>
      <w:r>
        <w:rPr>
          <w:rFonts w:hint="default" w:ascii="Times New Roman" w:hAnsi="Times New Roman" w:eastAsia="Times New Roman" w:cs="Times New Roman"/>
          <w:color w:val="000000"/>
          <w:sz w:val="20"/>
          <w:szCs w:val="24"/>
        </w:rPr>
        <w:t xml:space="preserve">C Koppelstätter. Effect of Tai Chi vs aerobic exercise on blood pressure in patients with prehypertension. </w:t>
      </w:r>
      <w:r>
        <w:rPr>
          <w:rFonts w:hint="default" w:ascii="Times New Roman" w:hAnsi="Times New Roman" w:eastAsia="Times New Roman" w:cs="Times New Roman"/>
          <w:i/>
          <w:color w:val="000000"/>
          <w:sz w:val="20"/>
          <w:szCs w:val="24"/>
        </w:rPr>
        <w:t>J Hyperton</w:t>
      </w:r>
      <w:r>
        <w:rPr>
          <w:rFonts w:hint="default" w:ascii="Times New Roman" w:hAnsi="Times New Roman" w:eastAsia="Times New Roman" w:cs="Times New Roman"/>
          <w:color w:val="000000"/>
          <w:sz w:val="20"/>
          <w:szCs w:val="24"/>
        </w:rPr>
        <w:t xml:space="preserve"> 2024;28(1):28-29.</w:t>
      </w:r>
      <w:bookmarkEnd w:id="9"/>
    </w:p>
    <w:p w14:paraId="08041855">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10 </w:t>
      </w:r>
      <w:bookmarkStart w:id="10" w:name="_neb11FED45E_D0D6_4CB1_B162_BF47224F9F78"/>
      <w:r>
        <w:rPr>
          <w:rFonts w:hint="default" w:ascii="Times New Roman" w:hAnsi="Times New Roman" w:eastAsia="Times New Roman" w:cs="Times New Roman"/>
          <w:color w:val="000000"/>
          <w:sz w:val="20"/>
          <w:szCs w:val="24"/>
        </w:rPr>
        <w:t>P Prasertsri, S Singsanan, C Chonanant, O Boonla, P Trongtosak. Effects of arm swing exercise training on cardiac autonomic modulation, cardiovascular risk factors, and electrolytes in persons aged 60</w:t>
      </w:r>
      <w:r>
        <w:rPr>
          <w:rFonts w:hint="default" w:ascii="Times New Roman" w:hAnsi="Times New Roman" w:cs="Times New Roman"/>
          <w:color w:val="000000"/>
          <w:sz w:val="20"/>
          <w:szCs w:val="24"/>
        </w:rPr>
        <w:t>–</w:t>
      </w:r>
      <w:r>
        <w:rPr>
          <w:rFonts w:hint="default" w:ascii="Times New Roman" w:hAnsi="Times New Roman" w:eastAsia="Times New Roman" w:cs="Times New Roman"/>
          <w:color w:val="000000"/>
          <w:sz w:val="20"/>
          <w:szCs w:val="24"/>
        </w:rPr>
        <w:t xml:space="preserve">80 years with prehypertension: A randomized controlled trial. </w:t>
      </w:r>
      <w:r>
        <w:rPr>
          <w:rFonts w:hint="default" w:ascii="Times New Roman" w:hAnsi="Times New Roman" w:eastAsia="Times New Roman" w:cs="Times New Roman"/>
          <w:i/>
          <w:color w:val="000000"/>
          <w:sz w:val="20"/>
          <w:szCs w:val="24"/>
        </w:rPr>
        <w:t>J Exerc Sci Fit</w:t>
      </w:r>
      <w:r>
        <w:rPr>
          <w:rFonts w:hint="default" w:ascii="Times New Roman" w:hAnsi="Times New Roman" w:eastAsia="Times New Roman" w:cs="Times New Roman"/>
          <w:color w:val="000000"/>
          <w:sz w:val="20"/>
          <w:szCs w:val="24"/>
        </w:rPr>
        <w:t xml:space="preserve"> 2010;17(2):47-54.</w:t>
      </w:r>
      <w:bookmarkEnd w:id="10"/>
    </w:p>
    <w:p w14:paraId="2178724D">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11 </w:t>
      </w:r>
      <w:bookmarkStart w:id="11" w:name="_neb7E1341FF_4A8B_400C_A9B9_7D1F04BDF934"/>
      <w:r>
        <w:rPr>
          <w:rFonts w:hint="default" w:ascii="Times New Roman" w:hAnsi="Times New Roman" w:eastAsia="Times New Roman" w:cs="Times New Roman"/>
          <w:color w:val="000000"/>
          <w:sz w:val="20"/>
          <w:szCs w:val="24"/>
        </w:rPr>
        <w:t xml:space="preserve">FG Márquez-Celedonio, O Téxon-Fernández, A Chávez-Negrete, et al. Clinical Effect of Lifestyle Modification on Cardiovascular Risk in Prehypertensives: PREHIPER I Study. </w:t>
      </w:r>
      <w:r>
        <w:rPr>
          <w:rFonts w:hint="default" w:ascii="Times New Roman" w:hAnsi="Times New Roman" w:eastAsia="Times New Roman" w:cs="Times New Roman"/>
          <w:i/>
          <w:color w:val="000000"/>
          <w:sz w:val="20"/>
          <w:szCs w:val="24"/>
        </w:rPr>
        <w:t>Rev Esp Cardiol</w:t>
      </w:r>
      <w:r>
        <w:rPr>
          <w:rFonts w:hint="default" w:ascii="Times New Roman" w:hAnsi="Times New Roman" w:eastAsia="Times New Roman" w:cs="Times New Roman"/>
          <w:color w:val="000000"/>
          <w:sz w:val="20"/>
          <w:szCs w:val="24"/>
        </w:rPr>
        <w:t xml:space="preserve"> 2009;62(1):86-90.</w:t>
      </w:r>
      <w:bookmarkEnd w:id="11"/>
    </w:p>
    <w:p w14:paraId="2571E5D1">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12 </w:t>
      </w:r>
      <w:bookmarkStart w:id="12" w:name="_neb02F63C52_C550_472E_8B81_DBB3014CA5DF"/>
      <w:r>
        <w:rPr>
          <w:rFonts w:hint="default" w:ascii="Times New Roman" w:hAnsi="Times New Roman" w:eastAsia="Times New Roman" w:cs="Times New Roman"/>
          <w:color w:val="000000"/>
          <w:sz w:val="20"/>
          <w:szCs w:val="24"/>
        </w:rPr>
        <w:t>K Chan, E Wee, M Mok, H Ler. Effects of resistance band training and body weight training on selected health parameters of pre-hypertensive adults. 2020;21(SUPPL 1).</w:t>
      </w:r>
      <w:bookmarkEnd w:id="12"/>
    </w:p>
    <w:p w14:paraId="72C6A752">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13 </w:t>
      </w:r>
      <w:bookmarkStart w:id="13" w:name="_neb79C5A03F_EF0F_4900_9B3D_C7A361653F3B"/>
      <w:r>
        <w:rPr>
          <w:rFonts w:hint="default" w:ascii="Times New Roman" w:hAnsi="Times New Roman" w:eastAsia="Times New Roman" w:cs="Times New Roman"/>
          <w:color w:val="000000"/>
          <w:sz w:val="20"/>
          <w:szCs w:val="24"/>
        </w:rPr>
        <w:t xml:space="preserve">S Hunter, AT Fadeyi, J Shadiow. Hot yoga and hypertension: Exploration of a novel lifestyle intervention. </w:t>
      </w:r>
      <w:r>
        <w:rPr>
          <w:rFonts w:hint="default" w:ascii="Times New Roman" w:hAnsi="Times New Roman" w:eastAsia="Times New Roman" w:cs="Times New Roman"/>
          <w:i/>
          <w:color w:val="000000"/>
          <w:sz w:val="20"/>
          <w:szCs w:val="24"/>
        </w:rPr>
        <w:t>Hypertension</w:t>
      </w:r>
      <w:r>
        <w:rPr>
          <w:rFonts w:hint="default" w:ascii="Times New Roman" w:hAnsi="Times New Roman" w:eastAsia="Times New Roman" w:cs="Times New Roman"/>
          <w:color w:val="000000"/>
          <w:sz w:val="20"/>
          <w:szCs w:val="24"/>
        </w:rPr>
        <w:t xml:space="preserve"> 2019;74.</w:t>
      </w:r>
      <w:bookmarkEnd w:id="13"/>
    </w:p>
    <w:p w14:paraId="3A0F8B31">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14 </w:t>
      </w:r>
      <w:bookmarkStart w:id="14" w:name="_nebABDA532C_D662_4006_8E80_E6C9ADA6588A"/>
      <w:r>
        <w:rPr>
          <w:rFonts w:hint="default" w:ascii="Times New Roman" w:hAnsi="Times New Roman" w:eastAsia="Times New Roman" w:cs="Times New Roman"/>
          <w:color w:val="000000"/>
          <w:sz w:val="20"/>
          <w:szCs w:val="24"/>
        </w:rPr>
        <w:t>X Li, Q Peng, K Tan, G Li. Influence of Taiji exercise on blood pressure and mood state of people with borderline hypertension. 2020;126:81.</w:t>
      </w:r>
      <w:bookmarkEnd w:id="14"/>
    </w:p>
    <w:p w14:paraId="3E65A740">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15 </w:t>
      </w:r>
      <w:bookmarkStart w:id="15" w:name="_neb97798485_D769_4DD7_951A_C204CA2D89AB"/>
      <w:r>
        <w:rPr>
          <w:rFonts w:hint="default" w:ascii="Times New Roman" w:hAnsi="Times New Roman" w:eastAsia="Times New Roman" w:cs="Times New Roman"/>
          <w:color w:val="000000"/>
          <w:sz w:val="20"/>
          <w:szCs w:val="24"/>
        </w:rPr>
        <w:t>Q Peng, X Li, G Li. Influence of different intensity aerobic exercise on blood pressure and mental health of people with borderline hypertension. 2020;126:79-80.</w:t>
      </w:r>
      <w:bookmarkEnd w:id="15"/>
    </w:p>
    <w:p w14:paraId="31D247CD">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16 </w:t>
      </w:r>
      <w:bookmarkStart w:id="16" w:name="_nebDB1A0F72_84BF_41A4_9ACE_2F845D3888AA"/>
      <w:r>
        <w:rPr>
          <w:rFonts w:hint="default" w:ascii="Times New Roman" w:hAnsi="Times New Roman" w:eastAsia="Times New Roman" w:cs="Times New Roman"/>
          <w:color w:val="000000"/>
          <w:sz w:val="20"/>
          <w:szCs w:val="24"/>
        </w:rPr>
        <w:t xml:space="preserve">T Ramkumar, S Senthil Kumar, P Pravati, et al. Addition of yoga therapy to standard lifestyle modification improve cardiovascular autonomic function and metabolic derangement in prehypertensive subjects: A randomized controlled study. </w:t>
      </w:r>
      <w:r>
        <w:rPr>
          <w:rFonts w:hint="default" w:ascii="Times New Roman" w:hAnsi="Times New Roman" w:eastAsia="Times New Roman" w:cs="Times New Roman"/>
          <w:i/>
          <w:color w:val="000000"/>
          <w:sz w:val="20"/>
          <w:szCs w:val="24"/>
        </w:rPr>
        <w:t>Eur J Prev Cardiol</w:t>
      </w:r>
      <w:r>
        <w:rPr>
          <w:rFonts w:hint="default" w:ascii="Times New Roman" w:hAnsi="Times New Roman" w:eastAsia="Times New Roman" w:cs="Times New Roman"/>
          <w:color w:val="000000"/>
          <w:sz w:val="20"/>
          <w:szCs w:val="24"/>
        </w:rPr>
        <w:t xml:space="preserve"> 2014;21(1):S111.</w:t>
      </w:r>
      <w:bookmarkEnd w:id="16"/>
    </w:p>
    <w:p w14:paraId="0A38CB24">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17 </w:t>
      </w:r>
      <w:bookmarkStart w:id="17" w:name="_neb2E401077_876D_4A1A_AAD9_B1262FB46A67"/>
      <w:r>
        <w:rPr>
          <w:rFonts w:hint="default" w:ascii="Times New Roman" w:hAnsi="Times New Roman" w:eastAsia="Times New Roman" w:cs="Times New Roman"/>
          <w:color w:val="000000"/>
          <w:sz w:val="20"/>
          <w:szCs w:val="24"/>
        </w:rPr>
        <w:t xml:space="preserve">J Wiles, J Lea, J O'Driscoll. A feasibility study examining the prescription of isometric exercise training for blood pressure management using rating of perceived exertion. </w:t>
      </w:r>
      <w:r>
        <w:rPr>
          <w:rFonts w:hint="default" w:ascii="Times New Roman" w:hAnsi="Times New Roman" w:eastAsia="Times New Roman" w:cs="Times New Roman"/>
          <w:i/>
          <w:color w:val="000000"/>
          <w:sz w:val="20"/>
          <w:szCs w:val="24"/>
        </w:rPr>
        <w:t>J Hum Hypertens</w:t>
      </w:r>
      <w:r>
        <w:rPr>
          <w:rFonts w:hint="default" w:ascii="Times New Roman" w:hAnsi="Times New Roman" w:eastAsia="Times New Roman" w:cs="Times New Roman"/>
          <w:color w:val="000000"/>
          <w:sz w:val="20"/>
          <w:szCs w:val="24"/>
        </w:rPr>
        <w:t xml:space="preserve"> 2022;36:13.</w:t>
      </w:r>
      <w:bookmarkEnd w:id="17"/>
    </w:p>
    <w:p w14:paraId="715B0D95">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18 </w:t>
      </w:r>
      <w:bookmarkStart w:id="18" w:name="_neb3A787B36_74EC_4F9B_805E_291336A847C6"/>
      <w:r>
        <w:rPr>
          <w:rFonts w:hint="default" w:ascii="Times New Roman" w:hAnsi="Times New Roman" w:eastAsia="Times New Roman" w:cs="Times New Roman"/>
          <w:color w:val="000000"/>
          <w:sz w:val="20"/>
          <w:szCs w:val="24"/>
        </w:rPr>
        <w:t xml:space="preserve">M Filip, J Glodzik, T Mikolajczyk, et al. Modulatory effect of physical excercise on immune system in prehypertensive patients-a randomized cross-over study. </w:t>
      </w:r>
      <w:r>
        <w:rPr>
          <w:rFonts w:hint="default" w:ascii="Times New Roman" w:hAnsi="Times New Roman" w:eastAsia="Times New Roman" w:cs="Times New Roman"/>
          <w:i/>
          <w:color w:val="000000"/>
          <w:sz w:val="20"/>
          <w:szCs w:val="24"/>
        </w:rPr>
        <w:t>Atherosclerosis</w:t>
      </w:r>
      <w:r>
        <w:rPr>
          <w:rFonts w:hint="default" w:ascii="Times New Roman" w:hAnsi="Times New Roman" w:eastAsia="Times New Roman" w:cs="Times New Roman"/>
          <w:color w:val="000000"/>
          <w:sz w:val="20"/>
          <w:szCs w:val="24"/>
        </w:rPr>
        <w:t xml:space="preserve"> 2015;241(1):e187.</w:t>
      </w:r>
      <w:bookmarkEnd w:id="18"/>
    </w:p>
    <w:p w14:paraId="61635509">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19 </w:t>
      </w:r>
      <w:bookmarkStart w:id="19" w:name="_nebBD2E88C9_732E_4C55_8E95_5DAB7C9F3E84"/>
      <w:r>
        <w:rPr>
          <w:rFonts w:hint="default" w:ascii="Times New Roman" w:hAnsi="Times New Roman" w:eastAsia="Times New Roman" w:cs="Times New Roman"/>
          <w:color w:val="000000"/>
          <w:sz w:val="20"/>
          <w:szCs w:val="24"/>
        </w:rPr>
        <w:t>S Tantiprasoplap, N Piaseu, V Kanungsukkasem, S Taneepanichskul. A randomized controlled trial comparing the effects of an arm swing exercise and low sodium intake education program with low sodium intake education alone on cardiovascular outcomes in postmenopausal women with prehypertension. 2020;103(1):22-31.</w:t>
      </w:r>
      <w:bookmarkEnd w:id="19"/>
    </w:p>
    <w:p w14:paraId="6A5FEDE5">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20 </w:t>
      </w:r>
      <w:bookmarkStart w:id="20" w:name="_neb13756EE7_C881_47A9_997D_9C62DD108FCC"/>
      <w:r>
        <w:rPr>
          <w:rFonts w:hint="default" w:ascii="Times New Roman" w:hAnsi="Times New Roman" w:eastAsia="Times New Roman" w:cs="Times New Roman"/>
          <w:color w:val="000000"/>
          <w:sz w:val="20"/>
          <w:szCs w:val="24"/>
        </w:rPr>
        <w:t>AM Afify. Effect of Diaphragmatic Breathing Exercise on Cardiovascular Parameters Following Noise Exposure in Pre Hypertensive Adults. 2023;30(7):e79-86.</w:t>
      </w:r>
      <w:bookmarkEnd w:id="20"/>
    </w:p>
    <w:p w14:paraId="2D4235D6">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21 </w:t>
      </w:r>
      <w:bookmarkStart w:id="21" w:name="_neb43D48E9F_EBB8_4A4C_9191_A771495C0887"/>
      <w:r>
        <w:rPr>
          <w:rFonts w:hint="default" w:ascii="Times New Roman" w:hAnsi="Times New Roman" w:eastAsia="Times New Roman" w:cs="Times New Roman"/>
          <w:color w:val="000000"/>
          <w:sz w:val="20"/>
          <w:szCs w:val="24"/>
        </w:rPr>
        <w:t xml:space="preserve">DMP Karoline, MM Sales, DAJ Alves, et al. Effects of aerobic exercise intensity on 24-h ambulatory blood pressure in  individuals with type 2 diabetes and prehypertension. </w:t>
      </w:r>
      <w:r>
        <w:rPr>
          <w:rFonts w:hint="default" w:ascii="Times New Roman" w:hAnsi="Times New Roman" w:eastAsia="Times New Roman" w:cs="Times New Roman"/>
          <w:i/>
          <w:color w:val="000000"/>
          <w:sz w:val="20"/>
          <w:szCs w:val="24"/>
        </w:rPr>
        <w:t>J Phys Ther Sci</w:t>
      </w:r>
      <w:r>
        <w:rPr>
          <w:rFonts w:hint="default" w:ascii="Times New Roman" w:hAnsi="Times New Roman" w:eastAsia="Times New Roman" w:cs="Times New Roman"/>
          <w:color w:val="000000"/>
          <w:sz w:val="20"/>
          <w:szCs w:val="24"/>
        </w:rPr>
        <w:t xml:space="preserve"> 2015;27(1):51-56.</w:t>
      </w:r>
      <w:bookmarkEnd w:id="21"/>
    </w:p>
    <w:p w14:paraId="494BBA3C">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22 </w:t>
      </w:r>
      <w:bookmarkStart w:id="22" w:name="_nebF00F85BD_8A9D_44A4_B621_2641BE9B6F8C"/>
      <w:r>
        <w:rPr>
          <w:rFonts w:hint="default" w:ascii="Times New Roman" w:hAnsi="Times New Roman" w:eastAsia="Times New Roman" w:cs="Times New Roman"/>
          <w:color w:val="000000"/>
          <w:sz w:val="20"/>
          <w:szCs w:val="24"/>
        </w:rPr>
        <w:t xml:space="preserve">N Mevada, M Mehta, F Oza, J Chokshi. Immediate Effects of Calf Muscle Release via Foam Rolling and Active Stretching on Blood Pressure, Heart Rate and the Rate Pressure Product in People with High-Normal Blood Pressure </w:t>
      </w:r>
      <w:r>
        <w:rPr>
          <w:rFonts w:hint="default" w:ascii="Times New Roman" w:hAnsi="Times New Roman" w:cs="Times New Roman"/>
          <w:color w:val="000000"/>
          <w:sz w:val="20"/>
          <w:szCs w:val="24"/>
        </w:rPr>
        <w:t>–</w:t>
      </w:r>
      <w:r>
        <w:rPr>
          <w:rFonts w:hint="default" w:ascii="Times New Roman" w:hAnsi="Times New Roman" w:eastAsia="Times New Roman" w:cs="Times New Roman"/>
          <w:color w:val="000000"/>
          <w:sz w:val="20"/>
          <w:szCs w:val="24"/>
        </w:rPr>
        <w:t xml:space="preserve"> A Comparative Study. </w:t>
      </w:r>
      <w:r>
        <w:rPr>
          <w:rFonts w:hint="default" w:ascii="Times New Roman" w:hAnsi="Times New Roman" w:eastAsia="Times New Roman" w:cs="Times New Roman"/>
          <w:i/>
          <w:color w:val="000000"/>
          <w:sz w:val="20"/>
          <w:szCs w:val="24"/>
        </w:rPr>
        <w:t>Cardiovasc Innov Appl</w:t>
      </w:r>
      <w:r>
        <w:rPr>
          <w:rFonts w:hint="default" w:ascii="Times New Roman" w:hAnsi="Times New Roman" w:eastAsia="Times New Roman" w:cs="Times New Roman"/>
          <w:color w:val="000000"/>
          <w:sz w:val="20"/>
          <w:szCs w:val="24"/>
        </w:rPr>
        <w:t xml:space="preserve"> 2024;9.</w:t>
      </w:r>
      <w:bookmarkEnd w:id="22"/>
    </w:p>
    <w:p w14:paraId="15906485">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23 </w:t>
      </w:r>
      <w:bookmarkStart w:id="23" w:name="_neb8F2AA03F_95AF_46C5_8974_CA6AF05F7F4E"/>
      <w:r>
        <w:rPr>
          <w:rFonts w:hint="default" w:ascii="Times New Roman" w:hAnsi="Times New Roman" w:eastAsia="Times New Roman" w:cs="Times New Roman"/>
          <w:color w:val="000000"/>
          <w:sz w:val="20"/>
          <w:szCs w:val="24"/>
        </w:rPr>
        <w:t xml:space="preserve">S Park, LD Rink, JP Wallace. Accumulation of physical activity leads to a greater blood pressure reduction than a single continuous session, in prehypertension. </w:t>
      </w:r>
      <w:r>
        <w:rPr>
          <w:rFonts w:hint="default" w:ascii="Times New Roman" w:hAnsi="Times New Roman" w:eastAsia="Times New Roman" w:cs="Times New Roman"/>
          <w:i/>
          <w:color w:val="000000"/>
          <w:sz w:val="20"/>
          <w:szCs w:val="24"/>
        </w:rPr>
        <w:t>J Hypertens</w:t>
      </w:r>
      <w:r>
        <w:rPr>
          <w:rFonts w:hint="default" w:ascii="Times New Roman" w:hAnsi="Times New Roman" w:eastAsia="Times New Roman" w:cs="Times New Roman"/>
          <w:color w:val="000000"/>
          <w:sz w:val="20"/>
          <w:szCs w:val="24"/>
        </w:rPr>
        <w:t xml:space="preserve"> 2006;24(9):1761-70.</w:t>
      </w:r>
      <w:bookmarkEnd w:id="23"/>
    </w:p>
    <w:p w14:paraId="0CE15A05">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24 </w:t>
      </w:r>
      <w:bookmarkStart w:id="24" w:name="_nebC6E9DF18_CAE5_42DE_9301_D6A386CDA455"/>
      <w:r>
        <w:rPr>
          <w:rFonts w:hint="default" w:ascii="Times New Roman" w:hAnsi="Times New Roman" w:eastAsia="Times New Roman" w:cs="Times New Roman"/>
          <w:color w:val="000000"/>
          <w:sz w:val="20"/>
          <w:szCs w:val="24"/>
        </w:rPr>
        <w:t xml:space="preserve">S Rodrigues, R Verardino, M Costa, et al. Evaluation of hemodynamic and vascular responses after a continuous exercise session of moderate intensity and high intensity intervals in individuals with normal and high normal blood pressure. </w:t>
      </w:r>
      <w:r>
        <w:rPr>
          <w:rFonts w:hint="default" w:ascii="Times New Roman" w:hAnsi="Times New Roman" w:eastAsia="Times New Roman" w:cs="Times New Roman"/>
          <w:i/>
          <w:color w:val="000000"/>
          <w:sz w:val="20"/>
          <w:szCs w:val="24"/>
        </w:rPr>
        <w:t>Artery Res</w:t>
      </w:r>
      <w:r>
        <w:rPr>
          <w:rFonts w:hint="default" w:ascii="Times New Roman" w:hAnsi="Times New Roman" w:eastAsia="Times New Roman" w:cs="Times New Roman"/>
          <w:color w:val="000000"/>
          <w:sz w:val="20"/>
          <w:szCs w:val="24"/>
        </w:rPr>
        <w:t xml:space="preserve"> 2021;27:S8.</w:t>
      </w:r>
      <w:bookmarkEnd w:id="24"/>
    </w:p>
    <w:p w14:paraId="1529354B">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25 </w:t>
      </w:r>
      <w:bookmarkStart w:id="25" w:name="_neb5CFD96DB_FE6F_4782_B703_FC1DB2DCDBCC"/>
      <w:r>
        <w:rPr>
          <w:rFonts w:hint="default" w:ascii="Times New Roman" w:hAnsi="Times New Roman" w:eastAsia="Times New Roman" w:cs="Times New Roman"/>
          <w:color w:val="000000"/>
          <w:sz w:val="20"/>
          <w:szCs w:val="24"/>
        </w:rPr>
        <w:t xml:space="preserve">Y Saxena, R Gupta, A Moinuddin, R Narwal. Blood pressure reduction following accumulated physical activity in  prehypertensive. </w:t>
      </w:r>
      <w:r>
        <w:rPr>
          <w:rFonts w:hint="default" w:ascii="Times New Roman" w:hAnsi="Times New Roman" w:eastAsia="Times New Roman" w:cs="Times New Roman"/>
          <w:i/>
          <w:color w:val="000000"/>
          <w:sz w:val="20"/>
          <w:szCs w:val="24"/>
        </w:rPr>
        <w:t>J Family Med Prim Care</w:t>
      </w:r>
      <w:r>
        <w:rPr>
          <w:rFonts w:hint="default" w:ascii="Times New Roman" w:hAnsi="Times New Roman" w:eastAsia="Times New Roman" w:cs="Times New Roman"/>
          <w:color w:val="000000"/>
          <w:sz w:val="20"/>
          <w:szCs w:val="24"/>
        </w:rPr>
        <w:t xml:space="preserve"> 2016;5(2):349-56.</w:t>
      </w:r>
      <w:bookmarkEnd w:id="25"/>
    </w:p>
    <w:p w14:paraId="2B802CA9">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26 </w:t>
      </w:r>
      <w:bookmarkStart w:id="26" w:name="_neb83B99E99_B16A_45BD_8DBC_4DB8C8CCD7C3"/>
      <w:r>
        <w:rPr>
          <w:rFonts w:hint="default" w:ascii="Times New Roman" w:hAnsi="Times New Roman" w:eastAsia="Times New Roman" w:cs="Times New Roman"/>
          <w:color w:val="000000"/>
          <w:sz w:val="20"/>
          <w:szCs w:val="24"/>
        </w:rPr>
        <w:t xml:space="preserve">ZS Zeigler, PD Swan. Acute effects of whole-body vibration with resistance exercise on postexercise blood pressure and oxygen consumption in prehypertensive adults. </w:t>
      </w:r>
      <w:r>
        <w:rPr>
          <w:rFonts w:hint="default" w:ascii="Times New Roman" w:hAnsi="Times New Roman" w:eastAsia="Times New Roman" w:cs="Times New Roman"/>
          <w:i/>
          <w:color w:val="000000"/>
          <w:sz w:val="20"/>
          <w:szCs w:val="24"/>
        </w:rPr>
        <w:t>J Exerc Sci Fit</w:t>
      </w:r>
      <w:r>
        <w:rPr>
          <w:rFonts w:hint="default" w:ascii="Times New Roman" w:hAnsi="Times New Roman" w:eastAsia="Times New Roman" w:cs="Times New Roman"/>
          <w:color w:val="000000"/>
          <w:sz w:val="20"/>
          <w:szCs w:val="24"/>
        </w:rPr>
        <w:t xml:space="preserve"> 2016;14(1):14-23.</w:t>
      </w:r>
      <w:bookmarkEnd w:id="26"/>
    </w:p>
    <w:p w14:paraId="60FE71B3">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27 </w:t>
      </w:r>
      <w:bookmarkStart w:id="27" w:name="_neb1976F0F8_3054_43FC_9FB9_05250A6A3B8A"/>
      <w:r>
        <w:rPr>
          <w:rFonts w:hint="default" w:ascii="Times New Roman" w:hAnsi="Times New Roman" w:eastAsia="Times New Roman" w:cs="Times New Roman"/>
          <w:color w:val="000000"/>
          <w:sz w:val="20"/>
          <w:szCs w:val="24"/>
        </w:rPr>
        <w:t xml:space="preserve">ZS Zeigler, PD Swan, DM Bhammar, GA Gaesser. Walking Workstation Use Reduces Ambulatory Blood Pressure in Adults With Prehypertension. </w:t>
      </w:r>
      <w:r>
        <w:rPr>
          <w:rFonts w:hint="default" w:ascii="Times New Roman" w:hAnsi="Times New Roman" w:eastAsia="Times New Roman" w:cs="Times New Roman"/>
          <w:i/>
          <w:color w:val="000000"/>
          <w:sz w:val="20"/>
          <w:szCs w:val="24"/>
        </w:rPr>
        <w:t>J Phys Act Health</w:t>
      </w:r>
      <w:r>
        <w:rPr>
          <w:rFonts w:hint="default" w:ascii="Times New Roman" w:hAnsi="Times New Roman" w:eastAsia="Times New Roman" w:cs="Times New Roman"/>
          <w:color w:val="000000"/>
          <w:sz w:val="20"/>
          <w:szCs w:val="24"/>
        </w:rPr>
        <w:t xml:space="preserve"> 2015;12:S119-27.</w:t>
      </w:r>
      <w:bookmarkEnd w:id="27"/>
    </w:p>
    <w:p w14:paraId="5520F193">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28 </w:t>
      </w:r>
      <w:bookmarkStart w:id="28" w:name="_nebD6DD8627_8ABB_475C_86EE_962F70C9C232"/>
      <w:r>
        <w:rPr>
          <w:rFonts w:hint="default" w:ascii="Times New Roman" w:hAnsi="Times New Roman" w:eastAsia="Times New Roman" w:cs="Times New Roman"/>
          <w:color w:val="000000"/>
          <w:sz w:val="20"/>
          <w:szCs w:val="24"/>
        </w:rPr>
        <w:t xml:space="preserve">S Chen, P Sun, S Wang, G Lin, T Wang. Effects of heart rate variability biofeedback on cardiovascular responses and autonomic sympathovagal modulation following stressor tasks in prehypertensives. </w:t>
      </w:r>
      <w:r>
        <w:rPr>
          <w:rFonts w:hint="default" w:ascii="Times New Roman" w:hAnsi="Times New Roman" w:eastAsia="Times New Roman" w:cs="Times New Roman"/>
          <w:i/>
          <w:color w:val="000000"/>
          <w:sz w:val="20"/>
          <w:szCs w:val="24"/>
        </w:rPr>
        <w:t>J Hum Hypertens</w:t>
      </w:r>
      <w:r>
        <w:rPr>
          <w:rFonts w:hint="default" w:ascii="Times New Roman" w:hAnsi="Times New Roman" w:eastAsia="Times New Roman" w:cs="Times New Roman"/>
          <w:color w:val="000000"/>
          <w:sz w:val="20"/>
          <w:szCs w:val="24"/>
        </w:rPr>
        <w:t xml:space="preserve"> 2016;30(2):105-11.</w:t>
      </w:r>
      <w:bookmarkEnd w:id="28"/>
    </w:p>
    <w:p w14:paraId="4567DF8C">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29 </w:t>
      </w:r>
      <w:bookmarkStart w:id="29" w:name="_nebC5C8A5BA_9AC2_4D2A_A111_85F5977276BD"/>
      <w:r>
        <w:rPr>
          <w:rFonts w:hint="default" w:ascii="Times New Roman" w:hAnsi="Times New Roman" w:eastAsia="Times New Roman" w:cs="Times New Roman"/>
          <w:color w:val="000000"/>
          <w:sz w:val="20"/>
          <w:szCs w:val="24"/>
        </w:rPr>
        <w:t xml:space="preserve">JW Hughes, DM Fresco, R Myerscough, et al. Randomized controlled trial of mindfulness-based stress reduction for prehypertension. </w:t>
      </w:r>
      <w:r>
        <w:rPr>
          <w:rFonts w:hint="default" w:ascii="Times New Roman" w:hAnsi="Times New Roman" w:eastAsia="Times New Roman" w:cs="Times New Roman"/>
          <w:i/>
          <w:color w:val="000000"/>
          <w:sz w:val="20"/>
          <w:szCs w:val="24"/>
        </w:rPr>
        <w:t>Psychosom Med</w:t>
      </w:r>
      <w:r>
        <w:rPr>
          <w:rFonts w:hint="default" w:ascii="Times New Roman" w:hAnsi="Times New Roman" w:eastAsia="Times New Roman" w:cs="Times New Roman"/>
          <w:color w:val="000000"/>
          <w:sz w:val="20"/>
          <w:szCs w:val="24"/>
        </w:rPr>
        <w:t xml:space="preserve"> 2013;75(8):721-28.</w:t>
      </w:r>
      <w:bookmarkEnd w:id="29"/>
    </w:p>
    <w:p w14:paraId="6D969DD4">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30 </w:t>
      </w:r>
      <w:bookmarkStart w:id="30" w:name="_neb7BEA06C6_6B5E_4D88_B337_B71E780E4B9C"/>
      <w:r>
        <w:rPr>
          <w:rFonts w:hint="default" w:ascii="Times New Roman" w:hAnsi="Times New Roman" w:eastAsia="Times New Roman" w:cs="Times New Roman"/>
          <w:color w:val="000000"/>
          <w:sz w:val="20"/>
          <w:szCs w:val="24"/>
        </w:rPr>
        <w:t xml:space="preserve">M Jalilian, M Koushki, M Saeedfiroozabadi, et al. The effect of a theory-based health education program on physical activity and blood pressure in middle-aged women with pre-hypertension: A cluster randomized trial. </w:t>
      </w:r>
      <w:r>
        <w:rPr>
          <w:rFonts w:hint="default" w:ascii="Times New Roman" w:hAnsi="Times New Roman" w:eastAsia="Times New Roman" w:cs="Times New Roman"/>
          <w:i/>
          <w:color w:val="000000"/>
          <w:sz w:val="20"/>
          <w:szCs w:val="24"/>
        </w:rPr>
        <w:t>J Hum Behav Soc Environ</w:t>
      </w:r>
      <w:r>
        <w:rPr>
          <w:rFonts w:hint="default" w:ascii="Times New Roman" w:hAnsi="Times New Roman" w:eastAsia="Times New Roman" w:cs="Times New Roman"/>
          <w:color w:val="000000"/>
          <w:sz w:val="20"/>
          <w:szCs w:val="24"/>
        </w:rPr>
        <w:t xml:space="preserve"> 2024;34(7):1075-88.</w:t>
      </w:r>
      <w:bookmarkEnd w:id="30"/>
    </w:p>
    <w:p w14:paraId="4FA2C2B9">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31 </w:t>
      </w:r>
      <w:bookmarkStart w:id="31" w:name="_nebF05DA0BD_08CB_4968_806F_860A2DA785E0"/>
      <w:r>
        <w:rPr>
          <w:rFonts w:hint="default" w:ascii="Times New Roman" w:hAnsi="Times New Roman" w:eastAsia="Times New Roman" w:cs="Times New Roman"/>
          <w:color w:val="000000"/>
          <w:sz w:val="20"/>
          <w:szCs w:val="24"/>
        </w:rPr>
        <w:t xml:space="preserve">J Kalinowski, SF Castaneda, MA Allison, et al. Telephone-based mindfulness training in diverse prehypertensive women: Results of a pilot randomized controlled trial. </w:t>
      </w:r>
      <w:r>
        <w:rPr>
          <w:rFonts w:hint="default" w:ascii="Times New Roman" w:hAnsi="Times New Roman" w:eastAsia="Times New Roman" w:cs="Times New Roman"/>
          <w:i/>
          <w:color w:val="000000"/>
          <w:sz w:val="20"/>
          <w:szCs w:val="24"/>
        </w:rPr>
        <w:t>Circulation</w:t>
      </w:r>
      <w:r>
        <w:rPr>
          <w:rFonts w:hint="default" w:ascii="Times New Roman" w:hAnsi="Times New Roman" w:eastAsia="Times New Roman" w:cs="Times New Roman"/>
          <w:color w:val="000000"/>
          <w:sz w:val="20"/>
          <w:szCs w:val="24"/>
        </w:rPr>
        <w:t xml:space="preserve"> 2021;143(SUPPL 1).</w:t>
      </w:r>
      <w:bookmarkEnd w:id="31"/>
    </w:p>
    <w:p w14:paraId="4A74985E">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32 </w:t>
      </w:r>
      <w:bookmarkStart w:id="32" w:name="_neb8A912CDE_3C01_473D_8635_E0FFDEF942E6"/>
      <w:r>
        <w:rPr>
          <w:rFonts w:hint="default" w:ascii="Times New Roman" w:hAnsi="Times New Roman" w:eastAsia="Times New Roman" w:cs="Times New Roman"/>
          <w:color w:val="000000"/>
          <w:sz w:val="20"/>
          <w:szCs w:val="24"/>
        </w:rPr>
        <w:t xml:space="preserve">PA Modesti, A Ferrari, C Bazzini, M Boddi. Time sequence of autonomic changes induced by daily slow-breathing sessions. </w:t>
      </w:r>
      <w:r>
        <w:rPr>
          <w:rFonts w:hint="default" w:ascii="Times New Roman" w:hAnsi="Times New Roman" w:eastAsia="Times New Roman" w:cs="Times New Roman"/>
          <w:i/>
          <w:color w:val="000000"/>
          <w:sz w:val="20"/>
          <w:szCs w:val="24"/>
        </w:rPr>
        <w:t>Clin Auton Res</w:t>
      </w:r>
      <w:r>
        <w:rPr>
          <w:rFonts w:hint="default" w:ascii="Times New Roman" w:hAnsi="Times New Roman" w:eastAsia="Times New Roman" w:cs="Times New Roman"/>
          <w:color w:val="000000"/>
          <w:sz w:val="20"/>
          <w:szCs w:val="24"/>
        </w:rPr>
        <w:t xml:space="preserve"> 2015;25(2):95-104.</w:t>
      </w:r>
      <w:bookmarkEnd w:id="32"/>
    </w:p>
    <w:p w14:paraId="5C0C9F8A">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33 </w:t>
      </w:r>
      <w:bookmarkStart w:id="33" w:name="_nebD4DC76E2_3CDE_4773_800E_C98CAC1AE527"/>
      <w:r>
        <w:rPr>
          <w:rFonts w:hint="default" w:ascii="Times New Roman" w:hAnsi="Times New Roman" w:eastAsia="Times New Roman" w:cs="Times New Roman"/>
          <w:color w:val="000000"/>
          <w:sz w:val="20"/>
          <w:szCs w:val="24"/>
        </w:rPr>
        <w:t xml:space="preserve">S Pengpid, K Peltzer, I Jayasvasti, et al. Two-year results of a community-based randomized controlled lifestyle intervention trial to control prehypertension and/or prediabetes in Thailand: a brief report. </w:t>
      </w:r>
      <w:r>
        <w:rPr>
          <w:rFonts w:hint="default" w:ascii="Times New Roman" w:hAnsi="Times New Roman" w:eastAsia="Times New Roman" w:cs="Times New Roman"/>
          <w:i/>
          <w:color w:val="000000"/>
          <w:sz w:val="20"/>
          <w:szCs w:val="24"/>
        </w:rPr>
        <w:t>Int J Gen Med</w:t>
      </w:r>
      <w:r>
        <w:rPr>
          <w:rFonts w:hint="default" w:ascii="Times New Roman" w:hAnsi="Times New Roman" w:eastAsia="Times New Roman" w:cs="Times New Roman"/>
          <w:color w:val="000000"/>
          <w:sz w:val="20"/>
          <w:szCs w:val="24"/>
        </w:rPr>
        <w:t xml:space="preserve"> 2019;12:131-35.</w:t>
      </w:r>
      <w:bookmarkEnd w:id="33"/>
    </w:p>
    <w:p w14:paraId="4E98F11C">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34 </w:t>
      </w:r>
      <w:bookmarkStart w:id="34" w:name="_neb6E2F0D6B_8AD3_4BFF_A14C_11E3B7FD23EC"/>
      <w:r>
        <w:rPr>
          <w:rFonts w:hint="default" w:ascii="Times New Roman" w:hAnsi="Times New Roman" w:eastAsia="Times New Roman" w:cs="Times New Roman"/>
          <w:color w:val="000000"/>
          <w:sz w:val="20"/>
          <w:szCs w:val="24"/>
        </w:rPr>
        <w:t xml:space="preserve">ER Serber, J Ciccolo, K Palmer, et al. The feasibility of exercise videogames for cardiovascular risk reduction among adults: a pilot for "Wii heart fitness". </w:t>
      </w:r>
      <w:r>
        <w:rPr>
          <w:rFonts w:hint="default" w:ascii="Times New Roman" w:hAnsi="Times New Roman" w:eastAsia="Times New Roman" w:cs="Times New Roman"/>
          <w:i/>
          <w:color w:val="000000"/>
          <w:sz w:val="20"/>
          <w:szCs w:val="24"/>
        </w:rPr>
        <w:t>J Sports Med Phys Fitness</w:t>
      </w:r>
      <w:r>
        <w:rPr>
          <w:rFonts w:hint="default" w:ascii="Times New Roman" w:hAnsi="Times New Roman" w:eastAsia="Times New Roman" w:cs="Times New Roman"/>
          <w:color w:val="000000"/>
          <w:sz w:val="20"/>
          <w:szCs w:val="24"/>
        </w:rPr>
        <w:t xml:space="preserve"> 2016;56(3):319-27.</w:t>
      </w:r>
      <w:bookmarkEnd w:id="34"/>
    </w:p>
    <w:p w14:paraId="7B5B2B73">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35 </w:t>
      </w:r>
      <w:bookmarkStart w:id="35" w:name="_neb94A66E3C_5664_4D4C_A3BA_B87346F498DA"/>
      <w:r>
        <w:rPr>
          <w:rFonts w:hint="default" w:ascii="Times New Roman" w:hAnsi="Times New Roman" w:eastAsia="Times New Roman" w:cs="Times New Roman"/>
          <w:color w:val="000000"/>
          <w:sz w:val="20"/>
          <w:szCs w:val="24"/>
        </w:rPr>
        <w:t xml:space="preserve">SZ Wang, S Li, XY Xu, et al. Effect of slow abdominal breathing combined with biofeedback on blood pressure and heart rate variability in prehypertension. </w:t>
      </w:r>
      <w:r>
        <w:rPr>
          <w:rFonts w:hint="default" w:ascii="Times New Roman" w:hAnsi="Times New Roman" w:eastAsia="Times New Roman" w:cs="Times New Roman"/>
          <w:i/>
          <w:color w:val="000000"/>
          <w:sz w:val="20"/>
          <w:szCs w:val="24"/>
        </w:rPr>
        <w:t>J Altern Complement Med</w:t>
      </w:r>
      <w:r>
        <w:rPr>
          <w:rFonts w:hint="default" w:ascii="Times New Roman" w:hAnsi="Times New Roman" w:eastAsia="Times New Roman" w:cs="Times New Roman"/>
          <w:color w:val="000000"/>
          <w:sz w:val="20"/>
          <w:szCs w:val="24"/>
        </w:rPr>
        <w:t xml:space="preserve"> 2010;16(10):1039-45.</w:t>
      </w:r>
      <w:bookmarkEnd w:id="35"/>
    </w:p>
    <w:p w14:paraId="75F02DC2">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36 </w:t>
      </w:r>
      <w:bookmarkStart w:id="36" w:name="_nebDE17B6FB_56FF_401A_BA94_EF9AF687BC67"/>
      <w:r>
        <w:rPr>
          <w:rFonts w:hint="default" w:ascii="Times New Roman" w:hAnsi="Times New Roman" w:eastAsia="Times New Roman" w:cs="Times New Roman"/>
          <w:color w:val="000000"/>
          <w:sz w:val="20"/>
          <w:szCs w:val="24"/>
        </w:rPr>
        <w:t>RBR- Fdkw. Effect of high intensity interval training on physical capacity, body composition, quality of life and autonomic cardiac control of hypertensions. 2018.</w:t>
      </w:r>
      <w:bookmarkEnd w:id="36"/>
    </w:p>
    <w:p w14:paraId="3B6F77F1">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37 </w:t>
      </w:r>
      <w:bookmarkStart w:id="37" w:name="_neb18179D89_0D54_4047_90FD_47955677CB7E"/>
      <w:r>
        <w:rPr>
          <w:rFonts w:hint="default" w:ascii="Times New Roman" w:hAnsi="Times New Roman" w:eastAsia="Times New Roman" w:cs="Times New Roman"/>
          <w:color w:val="000000"/>
          <w:sz w:val="20"/>
          <w:szCs w:val="24"/>
        </w:rPr>
        <w:t xml:space="preserve">A Aminuddin, Z Zakaria, NAMM Nordin, et al. Effect of graded aerobic exercise training on blood pressure changes in women with elevated blood pressure. </w:t>
      </w:r>
      <w:r>
        <w:rPr>
          <w:rFonts w:hint="default" w:ascii="Times New Roman" w:hAnsi="Times New Roman" w:eastAsia="Times New Roman" w:cs="Times New Roman"/>
          <w:i/>
          <w:color w:val="000000"/>
          <w:sz w:val="20"/>
          <w:szCs w:val="24"/>
        </w:rPr>
        <w:t>International Medical Journal</w:t>
      </w:r>
      <w:r>
        <w:rPr>
          <w:rFonts w:hint="default" w:ascii="Times New Roman" w:hAnsi="Times New Roman" w:eastAsia="Times New Roman" w:cs="Times New Roman"/>
          <w:color w:val="000000"/>
          <w:sz w:val="20"/>
          <w:szCs w:val="24"/>
        </w:rPr>
        <w:t xml:space="preserve"> 2011;18(3):207-11.</w:t>
      </w:r>
      <w:bookmarkEnd w:id="37"/>
    </w:p>
    <w:p w14:paraId="611840DD">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38 </w:t>
      </w:r>
      <w:bookmarkStart w:id="38" w:name="_nebB326BF6B_022F_412C_9046_1506DA1BB505"/>
      <w:r>
        <w:rPr>
          <w:rFonts w:hint="default" w:ascii="Times New Roman" w:hAnsi="Times New Roman" w:eastAsia="Times New Roman" w:cs="Times New Roman"/>
          <w:color w:val="000000"/>
          <w:sz w:val="20"/>
          <w:szCs w:val="24"/>
        </w:rPr>
        <w:t xml:space="preserve">E An, ML Brecht, LV Doering, et al. Mindfulness and lifestyle medicine lowers blood pressure in hypertension. </w:t>
      </w:r>
      <w:r>
        <w:rPr>
          <w:rFonts w:hint="default" w:ascii="Times New Roman" w:hAnsi="Times New Roman" w:eastAsia="Times New Roman" w:cs="Times New Roman"/>
          <w:i/>
          <w:color w:val="000000"/>
          <w:sz w:val="20"/>
          <w:szCs w:val="24"/>
        </w:rPr>
        <w:t>Circulation</w:t>
      </w:r>
      <w:r>
        <w:rPr>
          <w:rFonts w:hint="default" w:ascii="Times New Roman" w:hAnsi="Times New Roman" w:eastAsia="Times New Roman" w:cs="Times New Roman"/>
          <w:color w:val="000000"/>
          <w:sz w:val="20"/>
          <w:szCs w:val="24"/>
        </w:rPr>
        <w:t xml:space="preserve"> 2019;140.</w:t>
      </w:r>
      <w:bookmarkEnd w:id="38"/>
    </w:p>
    <w:p w14:paraId="4FDA1961">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39 </w:t>
      </w:r>
      <w:bookmarkStart w:id="39" w:name="_neb3AF15EC4_01AE_4BC6_BB92_A56AC9B861DE"/>
      <w:r>
        <w:rPr>
          <w:rFonts w:hint="default" w:ascii="Times New Roman" w:hAnsi="Times New Roman" w:eastAsia="Times New Roman" w:cs="Times New Roman"/>
          <w:color w:val="000000"/>
          <w:sz w:val="20"/>
          <w:szCs w:val="24"/>
        </w:rPr>
        <w:t xml:space="preserve">K Anjana, R Archana, JK Mukkadan. Effect of om chanting and yoga nidra on blood pressure and lipid profile in  hypertension - A randomized controlled trial. </w:t>
      </w:r>
      <w:r>
        <w:rPr>
          <w:rFonts w:hint="default" w:ascii="Times New Roman" w:hAnsi="Times New Roman" w:eastAsia="Times New Roman" w:cs="Times New Roman"/>
          <w:i/>
          <w:color w:val="000000"/>
          <w:sz w:val="20"/>
          <w:szCs w:val="24"/>
        </w:rPr>
        <w:t>J Ayurveda Integr Med</w:t>
      </w:r>
      <w:r>
        <w:rPr>
          <w:rFonts w:hint="default" w:ascii="Times New Roman" w:hAnsi="Times New Roman" w:eastAsia="Times New Roman" w:cs="Times New Roman"/>
          <w:color w:val="000000"/>
          <w:sz w:val="20"/>
          <w:szCs w:val="24"/>
        </w:rPr>
        <w:t xml:space="preserve"> 2022;13(4):100657.</w:t>
      </w:r>
      <w:bookmarkEnd w:id="39"/>
    </w:p>
    <w:p w14:paraId="79A80317">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40 </w:t>
      </w:r>
      <w:bookmarkStart w:id="40" w:name="_nebA12E2D24_B0FE_4A4B_9C09_240AA3F2FF97"/>
      <w:r>
        <w:rPr>
          <w:rFonts w:hint="default" w:ascii="Times New Roman" w:hAnsi="Times New Roman" w:eastAsia="Times New Roman" w:cs="Times New Roman"/>
          <w:color w:val="000000"/>
          <w:sz w:val="20"/>
          <w:szCs w:val="24"/>
        </w:rPr>
        <w:t xml:space="preserve">BJ Arsenault, M Côté, A Cartier, et al. Effect of exercise training on cardiometabolic risk markers among sedentary, but metabolically healthy overweight or obese post-menopausal women with elevated blood pressure. </w:t>
      </w:r>
      <w:r>
        <w:rPr>
          <w:rFonts w:hint="default" w:ascii="Times New Roman" w:hAnsi="Times New Roman" w:eastAsia="Times New Roman" w:cs="Times New Roman"/>
          <w:i/>
          <w:color w:val="000000"/>
          <w:sz w:val="20"/>
          <w:szCs w:val="24"/>
        </w:rPr>
        <w:t>Atherosclerosis</w:t>
      </w:r>
      <w:r>
        <w:rPr>
          <w:rFonts w:hint="default" w:ascii="Times New Roman" w:hAnsi="Times New Roman" w:eastAsia="Times New Roman" w:cs="Times New Roman"/>
          <w:color w:val="000000"/>
          <w:sz w:val="20"/>
          <w:szCs w:val="24"/>
        </w:rPr>
        <w:t xml:space="preserve"> 2009;207(2):530-33.</w:t>
      </w:r>
      <w:bookmarkEnd w:id="40"/>
    </w:p>
    <w:p w14:paraId="64949FC8">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41 </w:t>
      </w:r>
      <w:bookmarkStart w:id="41" w:name="_nebA410A915_CE28_4F48_8331_FE8004B8F5C2"/>
      <w:r>
        <w:rPr>
          <w:rFonts w:hint="default" w:ascii="Times New Roman" w:hAnsi="Times New Roman" w:eastAsia="Times New Roman" w:cs="Times New Roman"/>
          <w:color w:val="000000"/>
          <w:sz w:val="20"/>
          <w:szCs w:val="24"/>
        </w:rPr>
        <w:t xml:space="preserve">GI Ash, BA Taylor, PD Thompson, et al. The antihypertensive effects of aerobic versus isometric handgrip resistance exercise. </w:t>
      </w:r>
      <w:r>
        <w:rPr>
          <w:rFonts w:hint="default" w:ascii="Times New Roman" w:hAnsi="Times New Roman" w:eastAsia="Times New Roman" w:cs="Times New Roman"/>
          <w:i/>
          <w:color w:val="000000"/>
          <w:sz w:val="20"/>
          <w:szCs w:val="24"/>
        </w:rPr>
        <w:t>J Hypertens</w:t>
      </w:r>
      <w:r>
        <w:rPr>
          <w:rFonts w:hint="default" w:ascii="Times New Roman" w:hAnsi="Times New Roman" w:eastAsia="Times New Roman" w:cs="Times New Roman"/>
          <w:color w:val="000000"/>
          <w:sz w:val="20"/>
          <w:szCs w:val="24"/>
        </w:rPr>
        <w:t xml:space="preserve"> 2017;35(2):291-99.</w:t>
      </w:r>
      <w:bookmarkEnd w:id="41"/>
    </w:p>
    <w:p w14:paraId="644BFAB2">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42 </w:t>
      </w:r>
      <w:bookmarkStart w:id="42" w:name="_neb060D2464_730C_4307_8388_BF2FB15F1736"/>
      <w:r>
        <w:rPr>
          <w:rFonts w:hint="default" w:ascii="Times New Roman" w:hAnsi="Times New Roman" w:eastAsia="Times New Roman" w:cs="Times New Roman"/>
          <w:color w:val="000000"/>
          <w:sz w:val="20"/>
          <w:szCs w:val="24"/>
        </w:rPr>
        <w:t xml:space="preserve">Y Bai, R Burns, N Gell, W Byun. A randomized trial to promote physical activity in adult pre-hypertensive and  hypertensive patients. </w:t>
      </w:r>
      <w:r>
        <w:rPr>
          <w:rFonts w:hint="default" w:ascii="Times New Roman" w:hAnsi="Times New Roman" w:eastAsia="Times New Roman" w:cs="Times New Roman"/>
          <w:i/>
          <w:color w:val="000000"/>
          <w:sz w:val="20"/>
          <w:szCs w:val="24"/>
        </w:rPr>
        <w:t>J Sports Sci</w:t>
      </w:r>
      <w:r>
        <w:rPr>
          <w:rFonts w:hint="default" w:ascii="Times New Roman" w:hAnsi="Times New Roman" w:eastAsia="Times New Roman" w:cs="Times New Roman"/>
          <w:color w:val="000000"/>
          <w:sz w:val="20"/>
          <w:szCs w:val="24"/>
        </w:rPr>
        <w:t xml:space="preserve"> 2022;40(14):1648-57.</w:t>
      </w:r>
      <w:bookmarkEnd w:id="42"/>
    </w:p>
    <w:p w14:paraId="1A9D95EB">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43 </w:t>
      </w:r>
      <w:bookmarkStart w:id="43" w:name="_neb866FBA80_1053_4CB7_AAD3_F59D15D2A219"/>
      <w:r>
        <w:rPr>
          <w:rFonts w:hint="default" w:ascii="Times New Roman" w:hAnsi="Times New Roman" w:eastAsia="Times New Roman" w:cs="Times New Roman"/>
          <w:color w:val="000000"/>
          <w:sz w:val="20"/>
          <w:szCs w:val="24"/>
        </w:rPr>
        <w:t xml:space="preserve">BB Barone, NY Wang, AC Bacher, KJ Stewart. Decreased exercise blood pressure in older adults after exercise training: contributions of increased fitness and decreased fatness. </w:t>
      </w:r>
      <w:r>
        <w:rPr>
          <w:rFonts w:hint="default" w:ascii="Times New Roman" w:hAnsi="Times New Roman" w:eastAsia="Times New Roman" w:cs="Times New Roman"/>
          <w:i/>
          <w:color w:val="000000"/>
          <w:sz w:val="20"/>
          <w:szCs w:val="24"/>
        </w:rPr>
        <w:t>Br J Sports Med</w:t>
      </w:r>
      <w:r>
        <w:rPr>
          <w:rFonts w:hint="default" w:ascii="Times New Roman" w:hAnsi="Times New Roman" w:eastAsia="Times New Roman" w:cs="Times New Roman"/>
          <w:color w:val="000000"/>
          <w:sz w:val="20"/>
          <w:szCs w:val="24"/>
        </w:rPr>
        <w:t xml:space="preserve"> 2009;43(1):52-56.</w:t>
      </w:r>
      <w:bookmarkEnd w:id="43"/>
    </w:p>
    <w:p w14:paraId="0BE83ECE">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44 </w:t>
      </w:r>
      <w:bookmarkStart w:id="44" w:name="_nebB7810F09_D4C2_43E9_9554_572848E352B7"/>
      <w:r>
        <w:rPr>
          <w:rFonts w:hint="default" w:ascii="Times New Roman" w:hAnsi="Times New Roman" w:eastAsia="Times New Roman" w:cs="Times New Roman"/>
          <w:color w:val="000000"/>
          <w:sz w:val="20"/>
          <w:szCs w:val="24"/>
        </w:rPr>
        <w:t xml:space="preserve">JA Blumenthal, MA Babyak, A Hinderliter, et al. Effects of the DASH diet alone and in combination with exercise and weight loss on blood pressure and cardiovascular biomarkers in men and women with high blood pressure: The ENCORE study. </w:t>
      </w:r>
      <w:r>
        <w:rPr>
          <w:rFonts w:hint="default" w:ascii="Times New Roman" w:hAnsi="Times New Roman" w:eastAsia="Times New Roman" w:cs="Times New Roman"/>
          <w:i/>
          <w:color w:val="000000"/>
          <w:sz w:val="20"/>
          <w:szCs w:val="24"/>
        </w:rPr>
        <w:t>Archives of Internal Medicine</w:t>
      </w:r>
      <w:r>
        <w:rPr>
          <w:rFonts w:hint="default" w:ascii="Times New Roman" w:hAnsi="Times New Roman" w:eastAsia="Times New Roman" w:cs="Times New Roman"/>
          <w:color w:val="000000"/>
          <w:sz w:val="20"/>
          <w:szCs w:val="24"/>
        </w:rPr>
        <w:t xml:space="preserve"> 2010;170(2):126-35.</w:t>
      </w:r>
      <w:bookmarkEnd w:id="44"/>
    </w:p>
    <w:p w14:paraId="0C583F6F">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45 </w:t>
      </w:r>
      <w:bookmarkStart w:id="45" w:name="_neb312EE90A_A896_4946_8A38_C998E4FE62B2"/>
      <w:r>
        <w:rPr>
          <w:rFonts w:hint="default" w:ascii="Times New Roman" w:hAnsi="Times New Roman" w:eastAsia="Times New Roman" w:cs="Times New Roman"/>
          <w:color w:val="000000"/>
          <w:sz w:val="20"/>
          <w:szCs w:val="24"/>
        </w:rPr>
        <w:t xml:space="preserve">JA Blumenthal, A Sherwood, ECD Gullette, et al. Exercise and weight loss reduce blood pressure in men and women with mild hypertension: Effects on cardiovascular, metabolic, and hemodynamic functioning. </w:t>
      </w:r>
      <w:r>
        <w:rPr>
          <w:rFonts w:hint="default" w:ascii="Times New Roman" w:hAnsi="Times New Roman" w:eastAsia="Times New Roman" w:cs="Times New Roman"/>
          <w:i/>
          <w:color w:val="000000"/>
          <w:sz w:val="20"/>
          <w:szCs w:val="24"/>
        </w:rPr>
        <w:t>Archives of Internal Medicine</w:t>
      </w:r>
      <w:r>
        <w:rPr>
          <w:rFonts w:hint="default" w:ascii="Times New Roman" w:hAnsi="Times New Roman" w:eastAsia="Times New Roman" w:cs="Times New Roman"/>
          <w:color w:val="000000"/>
          <w:sz w:val="20"/>
          <w:szCs w:val="24"/>
        </w:rPr>
        <w:t xml:space="preserve"> 2000;160(13):1947-58.</w:t>
      </w:r>
      <w:bookmarkEnd w:id="45"/>
    </w:p>
    <w:p w14:paraId="7A81723D">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46 </w:t>
      </w:r>
      <w:bookmarkStart w:id="46" w:name="_nebBE5F5F2E_FEAF_47CE_9065_D5FC5B5E089E"/>
      <w:r>
        <w:rPr>
          <w:rFonts w:hint="default" w:ascii="Times New Roman" w:hAnsi="Times New Roman" w:eastAsia="Times New Roman" w:cs="Times New Roman"/>
          <w:color w:val="000000"/>
          <w:sz w:val="20"/>
          <w:szCs w:val="24"/>
        </w:rPr>
        <w:t xml:space="preserve">FP Boeno, TR Ramis, SV Munhoz, et al. Effect of aerobic and resistance exercise training on inflammation, endothelial function and ambulatory blood pressure in middle-aged hypertensive patients. </w:t>
      </w:r>
      <w:r>
        <w:rPr>
          <w:rFonts w:hint="default" w:ascii="Times New Roman" w:hAnsi="Times New Roman" w:eastAsia="Times New Roman" w:cs="Times New Roman"/>
          <w:i/>
          <w:color w:val="000000"/>
          <w:sz w:val="20"/>
          <w:szCs w:val="24"/>
        </w:rPr>
        <w:t>J Hypertens</w:t>
      </w:r>
      <w:r>
        <w:rPr>
          <w:rFonts w:hint="default" w:ascii="Times New Roman" w:hAnsi="Times New Roman" w:eastAsia="Times New Roman" w:cs="Times New Roman"/>
          <w:color w:val="000000"/>
          <w:sz w:val="20"/>
          <w:szCs w:val="24"/>
        </w:rPr>
        <w:t xml:space="preserve"> 2020;38(12):2501-09.</w:t>
      </w:r>
      <w:bookmarkEnd w:id="46"/>
    </w:p>
    <w:p w14:paraId="3BC53A58">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47 </w:t>
      </w:r>
      <w:bookmarkStart w:id="47" w:name="_nebE47B5C3B_2C6A_4FDA_BEDA_F16B7EFD324D"/>
      <w:r>
        <w:rPr>
          <w:rFonts w:hint="default" w:ascii="Times New Roman" w:hAnsi="Times New Roman" w:eastAsia="Times New Roman" w:cs="Times New Roman"/>
          <w:color w:val="000000"/>
          <w:sz w:val="20"/>
          <w:szCs w:val="24"/>
        </w:rPr>
        <w:t xml:space="preserve">TS Church, CP Earnest, JS Skinner, SN Blair. Effects of different doses of physical activity oncardiorespiratory fitness among sedentary, overweight or obese postmenopausal women with elevated blood pressure: A randomized controlled trial. </w:t>
      </w:r>
      <w:r>
        <w:rPr>
          <w:rFonts w:hint="default" w:ascii="Times New Roman" w:hAnsi="Times New Roman" w:eastAsia="Times New Roman" w:cs="Times New Roman"/>
          <w:i/>
          <w:color w:val="000000"/>
          <w:sz w:val="20"/>
          <w:szCs w:val="24"/>
        </w:rPr>
        <w:t>Jama</w:t>
      </w:r>
      <w:r>
        <w:rPr>
          <w:rFonts w:hint="default" w:ascii="Times New Roman" w:hAnsi="Times New Roman" w:eastAsia="Times New Roman" w:cs="Times New Roman"/>
          <w:color w:val="000000"/>
          <w:sz w:val="20"/>
          <w:szCs w:val="24"/>
        </w:rPr>
        <w:t xml:space="preserve"> 2007;297(19):2081-91.</w:t>
      </w:r>
      <w:bookmarkEnd w:id="47"/>
    </w:p>
    <w:p w14:paraId="36D42BA1">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48 </w:t>
      </w:r>
      <w:bookmarkStart w:id="48" w:name="_neb6CBF35E4_B1E8_410C_878B_5F57E2CE7C80"/>
      <w:r>
        <w:rPr>
          <w:rFonts w:hint="default" w:ascii="Times New Roman" w:hAnsi="Times New Roman" w:eastAsia="Times New Roman" w:cs="Times New Roman"/>
          <w:color w:val="000000"/>
          <w:sz w:val="20"/>
          <w:szCs w:val="24"/>
        </w:rPr>
        <w:t xml:space="preserve">DL Cohen, LT Bloedon, RL Rothman, et al. Iyengar yoga versus enhanced usual care on blood pressure in patients with prehypertension to stage i hypertension: A randomized controlled trial. </w:t>
      </w:r>
      <w:r>
        <w:rPr>
          <w:rFonts w:hint="default" w:ascii="Times New Roman" w:hAnsi="Times New Roman" w:eastAsia="Times New Roman" w:cs="Times New Roman"/>
          <w:i/>
          <w:color w:val="000000"/>
          <w:sz w:val="20"/>
          <w:szCs w:val="24"/>
        </w:rPr>
        <w:t>Evid Based Complement Alternat Med</w:t>
      </w:r>
      <w:r>
        <w:rPr>
          <w:rFonts w:hint="default" w:ascii="Times New Roman" w:hAnsi="Times New Roman" w:eastAsia="Times New Roman" w:cs="Times New Roman"/>
          <w:color w:val="000000"/>
          <w:sz w:val="20"/>
          <w:szCs w:val="24"/>
        </w:rPr>
        <w:t xml:space="preserve"> 2011;2011.</w:t>
      </w:r>
      <w:bookmarkEnd w:id="48"/>
    </w:p>
    <w:p w14:paraId="7E6A0D6C">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49 </w:t>
      </w:r>
      <w:bookmarkStart w:id="49" w:name="_neb809352FA_7211_42DF_B3FB_7C085C92B0BB"/>
      <w:r>
        <w:rPr>
          <w:rFonts w:hint="default" w:ascii="Times New Roman" w:hAnsi="Times New Roman" w:eastAsia="Times New Roman" w:cs="Times New Roman"/>
          <w:color w:val="000000"/>
          <w:sz w:val="20"/>
          <w:szCs w:val="24"/>
        </w:rPr>
        <w:t xml:space="preserve">SR Collier, V Frechette, K Sandberg, et al. Sex differences in resting hemodynamics and arterial stiffness following 4 weeks  of resistance versus aerobic exercise training in individuals with  pre-hypertension to stage 1 hypertension. </w:t>
      </w:r>
      <w:r>
        <w:rPr>
          <w:rFonts w:hint="default" w:ascii="Times New Roman" w:hAnsi="Times New Roman" w:eastAsia="Times New Roman" w:cs="Times New Roman"/>
          <w:i/>
          <w:color w:val="000000"/>
          <w:sz w:val="20"/>
          <w:szCs w:val="24"/>
        </w:rPr>
        <w:t>Biol Sex Differ</w:t>
      </w:r>
      <w:r>
        <w:rPr>
          <w:rFonts w:hint="default" w:ascii="Times New Roman" w:hAnsi="Times New Roman" w:eastAsia="Times New Roman" w:cs="Times New Roman"/>
          <w:color w:val="000000"/>
          <w:sz w:val="20"/>
          <w:szCs w:val="24"/>
        </w:rPr>
        <w:t xml:space="preserve"> 2011;2(1):9.</w:t>
      </w:r>
      <w:bookmarkEnd w:id="49"/>
    </w:p>
    <w:p w14:paraId="6FF3DC9C">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50 </w:t>
      </w:r>
      <w:bookmarkStart w:id="50" w:name="_neb3E65F661_C523_4CD9_8753_9D111520404B"/>
      <w:r>
        <w:rPr>
          <w:rFonts w:hint="default" w:ascii="Times New Roman" w:hAnsi="Times New Roman" w:eastAsia="Times New Roman" w:cs="Times New Roman"/>
          <w:color w:val="000000"/>
          <w:sz w:val="20"/>
          <w:szCs w:val="24"/>
        </w:rPr>
        <w:t xml:space="preserve">SR Collier, JA Kanaley, R Carhart Jr., et al. Cardiac autonomic function and baroreflex changes following 4 weeks of resistance versus aerobic training in individuals with pre-hypertension. </w:t>
      </w:r>
      <w:r>
        <w:rPr>
          <w:rFonts w:hint="default" w:ascii="Times New Roman" w:hAnsi="Times New Roman" w:eastAsia="Times New Roman" w:cs="Times New Roman"/>
          <w:i/>
          <w:color w:val="000000"/>
          <w:sz w:val="20"/>
          <w:szCs w:val="24"/>
        </w:rPr>
        <w:t>Acta Physiol (Oxf)</w:t>
      </w:r>
      <w:r>
        <w:rPr>
          <w:rFonts w:hint="default" w:ascii="Times New Roman" w:hAnsi="Times New Roman" w:eastAsia="Times New Roman" w:cs="Times New Roman"/>
          <w:color w:val="000000"/>
          <w:sz w:val="20"/>
          <w:szCs w:val="24"/>
        </w:rPr>
        <w:t xml:space="preserve"> 2009;195(3):339-48.</w:t>
      </w:r>
      <w:bookmarkEnd w:id="50"/>
    </w:p>
    <w:p w14:paraId="64F755BF">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51 </w:t>
      </w:r>
      <w:bookmarkStart w:id="51" w:name="_nebC935CE27_8D3A_449D_AC3A_4D591B9008E5"/>
      <w:r>
        <w:rPr>
          <w:rFonts w:hint="default" w:ascii="Times New Roman" w:hAnsi="Times New Roman" w:eastAsia="Times New Roman" w:cs="Times New Roman"/>
          <w:color w:val="000000"/>
          <w:sz w:val="20"/>
          <w:szCs w:val="24"/>
        </w:rPr>
        <w:t xml:space="preserve">LA Crist, CM Champagne, L Corsino, et al. Influence of change in aerobic fitness and weight on prevalence of metabolic syndrome. </w:t>
      </w:r>
      <w:r>
        <w:rPr>
          <w:rFonts w:hint="default" w:ascii="Times New Roman" w:hAnsi="Times New Roman" w:eastAsia="Times New Roman" w:cs="Times New Roman"/>
          <w:i/>
          <w:color w:val="000000"/>
          <w:sz w:val="20"/>
          <w:szCs w:val="24"/>
        </w:rPr>
        <w:t>Prev Chronic Dis</w:t>
      </w:r>
      <w:r>
        <w:rPr>
          <w:rFonts w:hint="default" w:ascii="Times New Roman" w:hAnsi="Times New Roman" w:eastAsia="Times New Roman" w:cs="Times New Roman"/>
          <w:color w:val="000000"/>
          <w:sz w:val="20"/>
          <w:szCs w:val="24"/>
        </w:rPr>
        <w:t xml:space="preserve"> 2012;9:E68.</w:t>
      </w:r>
      <w:bookmarkEnd w:id="51"/>
    </w:p>
    <w:p w14:paraId="048BD79A">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52 </w:t>
      </w:r>
      <w:bookmarkStart w:id="52" w:name="_neb97F50F2C_B1F9_4935_A390_6C89C6BAEC4F"/>
      <w:r>
        <w:rPr>
          <w:rFonts w:hint="default" w:ascii="Times New Roman" w:hAnsi="Times New Roman" w:eastAsia="Times New Roman" w:cs="Times New Roman"/>
          <w:color w:val="000000"/>
          <w:sz w:val="20"/>
          <w:szCs w:val="24"/>
        </w:rPr>
        <w:t xml:space="preserve">P Delgado-Floody, M Izquierdo, R Ramírez-Vélez, et al. Effect of High-Intensity Interval Training on Body Composition, Cardiorespiratory  Fitness, Blood Pressure, and Substrate Utilization During Exercise Among  Prehypertensive and Hypertensive Patients With Excessive Adiposity. </w:t>
      </w:r>
      <w:r>
        <w:rPr>
          <w:rFonts w:hint="default" w:ascii="Times New Roman" w:hAnsi="Times New Roman" w:eastAsia="Times New Roman" w:cs="Times New Roman"/>
          <w:i/>
          <w:color w:val="000000"/>
          <w:sz w:val="20"/>
          <w:szCs w:val="24"/>
        </w:rPr>
        <w:t>Front Physiol</w:t>
      </w:r>
      <w:r>
        <w:rPr>
          <w:rFonts w:hint="default" w:ascii="Times New Roman" w:hAnsi="Times New Roman" w:eastAsia="Times New Roman" w:cs="Times New Roman"/>
          <w:color w:val="000000"/>
          <w:sz w:val="20"/>
          <w:szCs w:val="24"/>
        </w:rPr>
        <w:t xml:space="preserve"> 2020;11:558910.</w:t>
      </w:r>
      <w:bookmarkEnd w:id="52"/>
    </w:p>
    <w:p w14:paraId="10AD6094">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53 </w:t>
      </w:r>
      <w:bookmarkStart w:id="53" w:name="_nebE29FE029_32D6_4193_9499_E411D773D125"/>
      <w:r>
        <w:rPr>
          <w:rFonts w:hint="default" w:ascii="Times New Roman" w:hAnsi="Times New Roman" w:eastAsia="Times New Roman" w:cs="Times New Roman"/>
          <w:color w:val="000000"/>
          <w:sz w:val="20"/>
          <w:szCs w:val="24"/>
        </w:rPr>
        <w:t xml:space="preserve">KM Edwards, KL Wilson, J Sadja, MG Ziegler, PJ Mills. Effects on blood pressure and autonomic nervous system function of a 12-week exercise or exercise plus DASH-diet intervention in individuals with elevated blood pressure. </w:t>
      </w:r>
      <w:r>
        <w:rPr>
          <w:rFonts w:hint="default" w:ascii="Times New Roman" w:hAnsi="Times New Roman" w:eastAsia="Times New Roman" w:cs="Times New Roman"/>
          <w:i/>
          <w:color w:val="000000"/>
          <w:sz w:val="20"/>
          <w:szCs w:val="24"/>
        </w:rPr>
        <w:t>Acta Physiol (Oxf)</w:t>
      </w:r>
      <w:r>
        <w:rPr>
          <w:rFonts w:hint="default" w:ascii="Times New Roman" w:hAnsi="Times New Roman" w:eastAsia="Times New Roman" w:cs="Times New Roman"/>
          <w:color w:val="000000"/>
          <w:sz w:val="20"/>
          <w:szCs w:val="24"/>
        </w:rPr>
        <w:t xml:space="preserve"> 2011;203(3):343-50.</w:t>
      </w:r>
      <w:bookmarkEnd w:id="53"/>
    </w:p>
    <w:p w14:paraId="30F497C5">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54 </w:t>
      </w:r>
      <w:bookmarkStart w:id="54" w:name="_neb3E8B786C_5469_4EDB_B60F_48274E194324"/>
      <w:r>
        <w:rPr>
          <w:rFonts w:hint="default" w:ascii="Times New Roman" w:hAnsi="Times New Roman" w:eastAsia="Times New Roman" w:cs="Times New Roman"/>
          <w:color w:val="000000"/>
          <w:sz w:val="20"/>
          <w:szCs w:val="24"/>
        </w:rPr>
        <w:t xml:space="preserve">A Figueroa, R Kalfon, TA Madzima, A Wong. Whole-body vibration exercise training reduces arterial stiffness in postmenopausal women with prehypertension and hypertension. </w:t>
      </w:r>
      <w:r>
        <w:rPr>
          <w:rFonts w:hint="default" w:ascii="Times New Roman" w:hAnsi="Times New Roman" w:eastAsia="Times New Roman" w:cs="Times New Roman"/>
          <w:i/>
          <w:color w:val="000000"/>
          <w:sz w:val="20"/>
          <w:szCs w:val="24"/>
        </w:rPr>
        <w:t>Menopause</w:t>
      </w:r>
      <w:r>
        <w:rPr>
          <w:rFonts w:hint="default" w:ascii="Times New Roman" w:hAnsi="Times New Roman" w:eastAsia="Times New Roman" w:cs="Times New Roman"/>
          <w:color w:val="000000"/>
          <w:sz w:val="20"/>
          <w:szCs w:val="24"/>
        </w:rPr>
        <w:t xml:space="preserve"> 2014;21(2):131-36.</w:t>
      </w:r>
      <w:bookmarkEnd w:id="54"/>
    </w:p>
    <w:p w14:paraId="794FDCC0">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55 </w:t>
      </w:r>
      <w:bookmarkStart w:id="55" w:name="_neb1904ED4D_5A8D_4569_B2A7_52EB5D6947D6"/>
      <w:r>
        <w:rPr>
          <w:rFonts w:hint="default" w:ascii="Times New Roman" w:hAnsi="Times New Roman" w:eastAsia="Times New Roman" w:cs="Times New Roman"/>
          <w:color w:val="000000"/>
          <w:sz w:val="20"/>
          <w:szCs w:val="24"/>
        </w:rPr>
        <w:t xml:space="preserve">J Gabiola, D Morales, O Quizon, et al. The EffectiveNess of LIfestyle with Diet and Physical Activity Education ProGram Among Prehypertensives and Stage 1 HyperTENsives in an Urban Community Setting (ENLIGHTEN) Study. </w:t>
      </w:r>
      <w:r>
        <w:rPr>
          <w:rFonts w:hint="default" w:ascii="Times New Roman" w:hAnsi="Times New Roman" w:eastAsia="Times New Roman" w:cs="Times New Roman"/>
          <w:i/>
          <w:color w:val="000000"/>
          <w:sz w:val="20"/>
          <w:szCs w:val="24"/>
        </w:rPr>
        <w:t>J Community Health</w:t>
      </w:r>
      <w:r>
        <w:rPr>
          <w:rFonts w:hint="default" w:ascii="Times New Roman" w:hAnsi="Times New Roman" w:eastAsia="Times New Roman" w:cs="Times New Roman"/>
          <w:color w:val="000000"/>
          <w:sz w:val="20"/>
          <w:szCs w:val="24"/>
        </w:rPr>
        <w:t xml:space="preserve"> 2020;45(3):478-87.</w:t>
      </w:r>
      <w:bookmarkEnd w:id="55"/>
    </w:p>
    <w:p w14:paraId="22E5B71A">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56 </w:t>
      </w:r>
      <w:bookmarkStart w:id="56" w:name="_neb80EB07BE_2B56_408A_8AA2_A76716489543"/>
      <w:r>
        <w:rPr>
          <w:rFonts w:hint="default" w:ascii="Times New Roman" w:hAnsi="Times New Roman" w:eastAsia="Times New Roman" w:cs="Times New Roman"/>
          <w:color w:val="000000"/>
          <w:sz w:val="20"/>
          <w:szCs w:val="24"/>
        </w:rPr>
        <w:t xml:space="preserve">M Hagins, A Rundle, NS Consedine, SBS Khalsa. A Randomized Controlled Trial Comparing the Effects of Yoga With an Active Control on Ambulatory Blood Pressure in Individuals With Prehypertension and Stage 1 Hypertension. </w:t>
      </w:r>
      <w:r>
        <w:rPr>
          <w:rFonts w:hint="default" w:ascii="Times New Roman" w:hAnsi="Times New Roman" w:eastAsia="Times New Roman" w:cs="Times New Roman"/>
          <w:i/>
          <w:color w:val="000000"/>
          <w:sz w:val="20"/>
          <w:szCs w:val="24"/>
        </w:rPr>
        <w:t>J Clin Hypertens (Greenwich)</w:t>
      </w:r>
      <w:r>
        <w:rPr>
          <w:rFonts w:hint="default" w:ascii="Times New Roman" w:hAnsi="Times New Roman" w:eastAsia="Times New Roman" w:cs="Times New Roman"/>
          <w:color w:val="000000"/>
          <w:sz w:val="20"/>
          <w:szCs w:val="24"/>
        </w:rPr>
        <w:t xml:space="preserve"> 2014;16(1):54-62.</w:t>
      </w:r>
      <w:bookmarkEnd w:id="56"/>
    </w:p>
    <w:p w14:paraId="4BF122CF">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57 </w:t>
      </w:r>
      <w:bookmarkStart w:id="57" w:name="_neb0064F409_C29F_4407_9BAE_F91D105F56B2"/>
      <w:r>
        <w:rPr>
          <w:rFonts w:hint="default" w:ascii="Times New Roman" w:hAnsi="Times New Roman" w:eastAsia="Times New Roman" w:cs="Times New Roman"/>
          <w:color w:val="000000"/>
          <w:sz w:val="20"/>
          <w:szCs w:val="24"/>
        </w:rPr>
        <w:t xml:space="preserve">KS Heffernan, ES Yoon, JE Sharman, et al. Resistance exercise training reduces arterial reservoir pressure in older adults  with prehypertension and hypertension. </w:t>
      </w:r>
      <w:r>
        <w:rPr>
          <w:rFonts w:hint="default" w:ascii="Times New Roman" w:hAnsi="Times New Roman" w:eastAsia="Times New Roman" w:cs="Times New Roman"/>
          <w:i/>
          <w:color w:val="000000"/>
          <w:sz w:val="20"/>
          <w:szCs w:val="24"/>
        </w:rPr>
        <w:t>Hypertens Res</w:t>
      </w:r>
      <w:r>
        <w:rPr>
          <w:rFonts w:hint="default" w:ascii="Times New Roman" w:hAnsi="Times New Roman" w:eastAsia="Times New Roman" w:cs="Times New Roman"/>
          <w:color w:val="000000"/>
          <w:sz w:val="20"/>
          <w:szCs w:val="24"/>
        </w:rPr>
        <w:t xml:space="preserve"> 2013;36(5):422-27.</w:t>
      </w:r>
      <w:bookmarkEnd w:id="57"/>
    </w:p>
    <w:p w14:paraId="5AEBC7C9">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58 </w:t>
      </w:r>
      <w:bookmarkStart w:id="58" w:name="_neb9072230C_9EC5_4385_A93A_CD95D29866D6"/>
      <w:r>
        <w:rPr>
          <w:rFonts w:hint="default" w:ascii="Times New Roman" w:hAnsi="Times New Roman" w:eastAsia="Times New Roman" w:cs="Times New Roman"/>
          <w:color w:val="000000"/>
          <w:sz w:val="20"/>
          <w:szCs w:val="24"/>
        </w:rPr>
        <w:t xml:space="preserve">J Lea, JM O'Driscoll, JD Wiles. The implementation of a home-based isometric wall squat intervention using ratings of perceived exertion to select and control exercise intensity: a pilot study in normotensive and pre-hypertensive adults. </w:t>
      </w:r>
      <w:r>
        <w:rPr>
          <w:rFonts w:hint="default" w:ascii="Times New Roman" w:hAnsi="Times New Roman" w:eastAsia="Times New Roman" w:cs="Times New Roman"/>
          <w:i/>
          <w:color w:val="000000"/>
          <w:sz w:val="20"/>
          <w:szCs w:val="24"/>
        </w:rPr>
        <w:t>Eur J Appl Physiol</w:t>
      </w:r>
      <w:r>
        <w:rPr>
          <w:rFonts w:hint="default" w:ascii="Times New Roman" w:hAnsi="Times New Roman" w:eastAsia="Times New Roman" w:cs="Times New Roman"/>
          <w:color w:val="000000"/>
          <w:sz w:val="20"/>
          <w:szCs w:val="24"/>
        </w:rPr>
        <w:t xml:space="preserve"> 2024;124(1):281-93.</w:t>
      </w:r>
      <w:bookmarkEnd w:id="58"/>
    </w:p>
    <w:p w14:paraId="20C7B4D7">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59 </w:t>
      </w:r>
      <w:bookmarkStart w:id="59" w:name="_neb32E1E61C_1B1D_40FF_8567_F3F10986A4EB"/>
      <w:r>
        <w:rPr>
          <w:rFonts w:hint="default" w:ascii="Times New Roman" w:hAnsi="Times New Roman" w:eastAsia="Times New Roman" w:cs="Times New Roman"/>
          <w:color w:val="000000"/>
          <w:sz w:val="20"/>
          <w:szCs w:val="24"/>
        </w:rPr>
        <w:t xml:space="preserve">M Miyashita, SF Burns, DJ Stensel. Accumulating short bouts of running reduces resting blood pressure in young normotensive/pre-hypertensive men. </w:t>
      </w:r>
      <w:r>
        <w:rPr>
          <w:rFonts w:hint="default" w:ascii="Times New Roman" w:hAnsi="Times New Roman" w:eastAsia="Times New Roman" w:cs="Times New Roman"/>
          <w:i/>
          <w:color w:val="000000"/>
          <w:sz w:val="20"/>
          <w:szCs w:val="24"/>
        </w:rPr>
        <w:t>J Sports Sci</w:t>
      </w:r>
      <w:r>
        <w:rPr>
          <w:rFonts w:hint="default" w:ascii="Times New Roman" w:hAnsi="Times New Roman" w:eastAsia="Times New Roman" w:cs="Times New Roman"/>
          <w:color w:val="000000"/>
          <w:sz w:val="20"/>
          <w:szCs w:val="24"/>
        </w:rPr>
        <w:t xml:space="preserve"> 2011;29(14):1473-82.</w:t>
      </w:r>
      <w:bookmarkEnd w:id="59"/>
    </w:p>
    <w:p w14:paraId="35B52659">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60 </w:t>
      </w:r>
      <w:bookmarkStart w:id="60" w:name="_neb6F6DD37F_F345_434E_B77E_54BF16D6C98F"/>
      <w:r>
        <w:rPr>
          <w:rFonts w:hint="default" w:ascii="Times New Roman" w:hAnsi="Times New Roman" w:eastAsia="Times New Roman" w:cs="Times New Roman"/>
          <w:color w:val="000000"/>
          <w:sz w:val="20"/>
          <w:szCs w:val="24"/>
        </w:rPr>
        <w:t>GE Moore, MJ LaMonte. Can exercise lower blood pressure in mildly hypertensive older persons? Commentary. 2006;16(5):451-52.</w:t>
      </w:r>
      <w:bookmarkEnd w:id="60"/>
    </w:p>
    <w:p w14:paraId="6B113A58">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61 </w:t>
      </w:r>
      <w:bookmarkStart w:id="61" w:name="_neb513E4CE6_4B0A_45BF_825E_B812DC357959"/>
      <w:r>
        <w:rPr>
          <w:rFonts w:hint="default" w:ascii="Times New Roman" w:hAnsi="Times New Roman" w:eastAsia="Times New Roman" w:cs="Times New Roman"/>
          <w:color w:val="000000"/>
          <w:sz w:val="20"/>
          <w:szCs w:val="24"/>
        </w:rPr>
        <w:t>NCT. Lifestyle Modification and Blood Pressure Study. 2009.</w:t>
      </w:r>
      <w:bookmarkEnd w:id="61"/>
    </w:p>
    <w:p w14:paraId="1C458CA8">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62 </w:t>
      </w:r>
      <w:bookmarkStart w:id="62" w:name="_neb834C5B42_4C96_42D0_96F1_258CB2ACE235"/>
      <w:r>
        <w:rPr>
          <w:rFonts w:hint="default" w:ascii="Times New Roman" w:hAnsi="Times New Roman" w:eastAsia="Times New Roman" w:cs="Times New Roman"/>
          <w:color w:val="000000"/>
          <w:sz w:val="20"/>
          <w:szCs w:val="24"/>
        </w:rPr>
        <w:t>JE Park, S Hong, M Lee, et al. Randomized Controlled Trial of Qigong for Treatment of Prehypertension and Mild Essential Hypertension. 2011.</w:t>
      </w:r>
      <w:bookmarkEnd w:id="62"/>
    </w:p>
    <w:p w14:paraId="1481C695">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63 </w:t>
      </w:r>
      <w:bookmarkStart w:id="63" w:name="_nebA8EF8F5C_B346_4B2F_A32F_D2F02345A055"/>
      <w:r>
        <w:rPr>
          <w:rFonts w:hint="default" w:ascii="Times New Roman" w:hAnsi="Times New Roman" w:eastAsia="Times New Roman" w:cs="Times New Roman"/>
          <w:color w:val="000000"/>
          <w:sz w:val="20"/>
          <w:szCs w:val="24"/>
        </w:rPr>
        <w:t xml:space="preserve">JE Park, JE Kim, S Jung, et al. The Effect of Dongeui Qigong for Prehypertension and Mild Essential Hypertension. </w:t>
      </w:r>
      <w:r>
        <w:rPr>
          <w:rFonts w:hint="default" w:ascii="Times New Roman" w:hAnsi="Times New Roman" w:eastAsia="Times New Roman" w:cs="Times New Roman"/>
          <w:i/>
          <w:color w:val="000000"/>
          <w:sz w:val="20"/>
          <w:szCs w:val="24"/>
        </w:rPr>
        <w:t>Evid Based Complement Alternat Med</w:t>
      </w:r>
      <w:r>
        <w:rPr>
          <w:rFonts w:hint="default" w:ascii="Times New Roman" w:hAnsi="Times New Roman" w:eastAsia="Times New Roman" w:cs="Times New Roman"/>
          <w:color w:val="000000"/>
          <w:sz w:val="20"/>
          <w:szCs w:val="24"/>
        </w:rPr>
        <w:t xml:space="preserve"> 2017;2017.</w:t>
      </w:r>
      <w:bookmarkEnd w:id="63"/>
    </w:p>
    <w:p w14:paraId="2CC63DDF">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64 </w:t>
      </w:r>
      <w:bookmarkStart w:id="64" w:name="_neb77F536E5_A5C4_439B_AD60_BCF0DBE8A8D4"/>
      <w:r>
        <w:rPr>
          <w:rFonts w:hint="default" w:ascii="Times New Roman" w:hAnsi="Times New Roman" w:eastAsia="Times New Roman" w:cs="Times New Roman"/>
          <w:color w:val="000000"/>
          <w:sz w:val="20"/>
          <w:szCs w:val="24"/>
        </w:rPr>
        <w:t>J Park, S Hong, T Park, et al. A randomized controlled trial for the use of qigong in the treatment of pre and mild essential hypertension. 2012;12.</w:t>
      </w:r>
      <w:bookmarkEnd w:id="64"/>
    </w:p>
    <w:p w14:paraId="7EB61176">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65 </w:t>
      </w:r>
      <w:bookmarkStart w:id="65" w:name="_nebB221F518_77EB_4538_9DF3_D2FDA425F661"/>
      <w:r>
        <w:rPr>
          <w:rFonts w:hint="default" w:ascii="Times New Roman" w:hAnsi="Times New Roman" w:eastAsia="Times New Roman" w:cs="Times New Roman"/>
          <w:color w:val="000000"/>
          <w:sz w:val="20"/>
          <w:szCs w:val="24"/>
        </w:rPr>
        <w:t xml:space="preserve">D Pinto, ND Rato, C Garcia, et al. EFFECTS OF HOME-BASED ISOMETRIC HANDGRIP OR AEROBIC EXERCISE TRAINING IN OLDER ADULTS WITH PREHYPERTENSION AND HYPERTENSION. </w:t>
      </w:r>
      <w:r>
        <w:rPr>
          <w:rFonts w:hint="default" w:ascii="Times New Roman" w:hAnsi="Times New Roman" w:eastAsia="Times New Roman" w:cs="Times New Roman"/>
          <w:i/>
          <w:color w:val="000000"/>
          <w:sz w:val="20"/>
          <w:szCs w:val="24"/>
        </w:rPr>
        <w:t>J Hypertens</w:t>
      </w:r>
      <w:r>
        <w:rPr>
          <w:rFonts w:hint="default" w:ascii="Times New Roman" w:hAnsi="Times New Roman" w:eastAsia="Times New Roman" w:cs="Times New Roman"/>
          <w:color w:val="000000"/>
          <w:sz w:val="20"/>
          <w:szCs w:val="24"/>
        </w:rPr>
        <w:t xml:space="preserve"> 2022;40:e263.</w:t>
      </w:r>
      <w:bookmarkEnd w:id="65"/>
    </w:p>
    <w:p w14:paraId="2D16D99D">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66 </w:t>
      </w:r>
      <w:bookmarkStart w:id="66" w:name="_nebCF60B264_EA99_41A7_BB9A_037C9EEA7F8F"/>
      <w:r>
        <w:rPr>
          <w:rFonts w:hint="default" w:ascii="Times New Roman" w:hAnsi="Times New Roman" w:eastAsia="Times New Roman" w:cs="Times New Roman"/>
          <w:color w:val="000000"/>
          <w:sz w:val="20"/>
          <w:szCs w:val="24"/>
        </w:rPr>
        <w:t xml:space="preserve">S Punia, S Kulandaivelan. Effect of 8 weeks body-weight resistance training on high-normal blood pressure and stage 1 hypertension subjects-pilot study to validate the protocol. </w:t>
      </w:r>
      <w:r>
        <w:rPr>
          <w:rFonts w:hint="default" w:ascii="Times New Roman" w:hAnsi="Times New Roman" w:eastAsia="Times New Roman" w:cs="Times New Roman"/>
          <w:i/>
          <w:color w:val="000000"/>
          <w:sz w:val="20"/>
          <w:szCs w:val="24"/>
        </w:rPr>
        <w:t>Indian Journal of Public Health Research and Development</w:t>
      </w:r>
      <w:r>
        <w:rPr>
          <w:rFonts w:hint="default" w:ascii="Times New Roman" w:hAnsi="Times New Roman" w:eastAsia="Times New Roman" w:cs="Times New Roman"/>
          <w:color w:val="000000"/>
          <w:sz w:val="20"/>
          <w:szCs w:val="24"/>
        </w:rPr>
        <w:t xml:space="preserve"> 2019;10(2):175-80.</w:t>
      </w:r>
      <w:bookmarkEnd w:id="66"/>
    </w:p>
    <w:p w14:paraId="52B65967">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67 </w:t>
      </w:r>
      <w:bookmarkStart w:id="67" w:name="_neb1F4F87F2_A2FA_42A0_A117_20C76FC08148"/>
      <w:r>
        <w:rPr>
          <w:rFonts w:hint="default" w:ascii="Times New Roman" w:hAnsi="Times New Roman" w:eastAsia="Times New Roman" w:cs="Times New Roman"/>
          <w:color w:val="000000"/>
          <w:sz w:val="20"/>
          <w:szCs w:val="24"/>
        </w:rPr>
        <w:t xml:space="preserve">S Punia, V Singh, S Joshi, M Malik, M Saini. Effects of walking in individuals with prehypertension and stage 1 hypertension in India: a randomised controlled trial. </w:t>
      </w:r>
      <w:r>
        <w:rPr>
          <w:rFonts w:hint="default" w:ascii="Times New Roman" w:hAnsi="Times New Roman" w:eastAsia="Times New Roman" w:cs="Times New Roman"/>
          <w:i/>
          <w:color w:val="000000"/>
          <w:sz w:val="20"/>
          <w:szCs w:val="24"/>
        </w:rPr>
        <w:t>International Journal of Therapy &amp; Rehabilitation</w:t>
      </w:r>
      <w:r>
        <w:rPr>
          <w:rFonts w:hint="default" w:ascii="Times New Roman" w:hAnsi="Times New Roman" w:eastAsia="Times New Roman" w:cs="Times New Roman"/>
          <w:color w:val="000000"/>
          <w:sz w:val="20"/>
          <w:szCs w:val="24"/>
        </w:rPr>
        <w:t xml:space="preserve"> 2022;29(4):1-10.</w:t>
      </w:r>
      <w:bookmarkEnd w:id="67"/>
    </w:p>
    <w:p w14:paraId="51AD4DDA">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68 </w:t>
      </w:r>
      <w:bookmarkStart w:id="68" w:name="_neb2628263C_A537_433F_A18E_C16D38DFA2A7"/>
      <w:r>
        <w:rPr>
          <w:rFonts w:hint="default" w:ascii="Times New Roman" w:hAnsi="Times New Roman" w:eastAsia="Times New Roman" w:cs="Times New Roman"/>
          <w:color w:val="000000"/>
          <w:sz w:val="20"/>
          <w:szCs w:val="24"/>
        </w:rPr>
        <w:t xml:space="preserve">BA Staffileno, A Minnick, LA Coke, SM Hollenberg. Blood pressure responses to lifestyle physical activity among young, hypertension-prone African-American women. </w:t>
      </w:r>
      <w:r>
        <w:rPr>
          <w:rFonts w:hint="default" w:ascii="Times New Roman" w:hAnsi="Times New Roman" w:eastAsia="Times New Roman" w:cs="Times New Roman"/>
          <w:i/>
          <w:color w:val="000000"/>
          <w:sz w:val="20"/>
          <w:szCs w:val="24"/>
        </w:rPr>
        <w:t>The Journal of cardiovascular nursing</w:t>
      </w:r>
      <w:r>
        <w:rPr>
          <w:rFonts w:hint="default" w:ascii="Times New Roman" w:hAnsi="Times New Roman" w:eastAsia="Times New Roman" w:cs="Times New Roman"/>
          <w:color w:val="000000"/>
          <w:sz w:val="20"/>
          <w:szCs w:val="24"/>
        </w:rPr>
        <w:t xml:space="preserve"> 2007;22(2):107-17.</w:t>
      </w:r>
      <w:bookmarkEnd w:id="68"/>
    </w:p>
    <w:p w14:paraId="358644C7">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69 </w:t>
      </w:r>
      <w:bookmarkStart w:id="69" w:name="_nebF6DBCE66_31E8_4C74_8AD3_B9D74CE0705C"/>
      <w:r>
        <w:rPr>
          <w:rFonts w:hint="default" w:ascii="Times New Roman" w:hAnsi="Times New Roman" w:eastAsia="Times New Roman" w:cs="Times New Roman"/>
          <w:color w:val="000000"/>
          <w:sz w:val="20"/>
          <w:szCs w:val="24"/>
        </w:rPr>
        <w:t xml:space="preserve">R Supriya, AP Yu, PH Lee, et al. Yoga training modulates adipokines in adults with high-normal blood pressure and metabolic syndrome. </w:t>
      </w:r>
      <w:r>
        <w:rPr>
          <w:rFonts w:hint="default" w:ascii="Times New Roman" w:hAnsi="Times New Roman" w:eastAsia="Times New Roman" w:cs="Times New Roman"/>
          <w:i/>
          <w:color w:val="000000"/>
          <w:sz w:val="20"/>
          <w:szCs w:val="24"/>
        </w:rPr>
        <w:t>Scand J Med Sci Sports</w:t>
      </w:r>
      <w:r>
        <w:rPr>
          <w:rFonts w:hint="default" w:ascii="Times New Roman" w:hAnsi="Times New Roman" w:eastAsia="Times New Roman" w:cs="Times New Roman"/>
          <w:color w:val="000000"/>
          <w:sz w:val="20"/>
          <w:szCs w:val="24"/>
        </w:rPr>
        <w:t xml:space="preserve"> 2018;28(3):1130-38.</w:t>
      </w:r>
      <w:bookmarkEnd w:id="69"/>
    </w:p>
    <w:p w14:paraId="44EBA511">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70 </w:t>
      </w:r>
      <w:bookmarkStart w:id="70" w:name="_nebA00772F1_479E_40C7_AA4E_01C8A4B925A7"/>
      <w:r>
        <w:rPr>
          <w:rFonts w:hint="default" w:ascii="Times New Roman" w:hAnsi="Times New Roman" w:eastAsia="Times New Roman" w:cs="Times New Roman"/>
          <w:color w:val="000000"/>
          <w:sz w:val="20"/>
          <w:szCs w:val="24"/>
        </w:rPr>
        <w:t xml:space="preserve">E Tekn, F Ünver, YT Yaylalı. Investigation of the effects of 8-week Nordic and traditional walking training on blood pressure in prehypertensive postmenopausal women. </w:t>
      </w:r>
      <w:r>
        <w:rPr>
          <w:rFonts w:hint="default" w:ascii="Times New Roman" w:hAnsi="Times New Roman" w:eastAsia="Times New Roman" w:cs="Times New Roman"/>
          <w:i/>
          <w:color w:val="000000"/>
          <w:sz w:val="20"/>
          <w:szCs w:val="24"/>
        </w:rPr>
        <w:t>Spor Hekimligi Dergisi/Turkish Journal of Sports Medicine</w:t>
      </w:r>
      <w:r>
        <w:rPr>
          <w:rFonts w:hint="default" w:ascii="Times New Roman" w:hAnsi="Times New Roman" w:eastAsia="Times New Roman" w:cs="Times New Roman"/>
          <w:color w:val="000000"/>
          <w:sz w:val="20"/>
          <w:szCs w:val="24"/>
        </w:rPr>
        <w:t xml:space="preserve"> 2023;58(3):112-17.</w:t>
      </w:r>
      <w:bookmarkEnd w:id="70"/>
    </w:p>
    <w:p w14:paraId="344F5369">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71 </w:t>
      </w:r>
      <w:bookmarkStart w:id="71" w:name="_neb8DA1D3E9_3404_45FA_993D_4D43825781F1"/>
      <w:r>
        <w:rPr>
          <w:rFonts w:hint="default" w:ascii="Times New Roman" w:hAnsi="Times New Roman" w:eastAsia="Times New Roman" w:cs="Times New Roman"/>
          <w:color w:val="000000"/>
          <w:sz w:val="20"/>
          <w:szCs w:val="24"/>
        </w:rPr>
        <w:t xml:space="preserve">JAG Wijnen, MJF Kool, MA Van Baak, et al. Effect of exercise training on ambulatory blood pressure. </w:t>
      </w:r>
      <w:r>
        <w:rPr>
          <w:rFonts w:hint="default" w:ascii="Times New Roman" w:hAnsi="Times New Roman" w:eastAsia="Times New Roman" w:cs="Times New Roman"/>
          <w:i/>
          <w:color w:val="000000"/>
          <w:sz w:val="20"/>
          <w:szCs w:val="24"/>
        </w:rPr>
        <w:t>Int J Sports Med</w:t>
      </w:r>
      <w:r>
        <w:rPr>
          <w:rFonts w:hint="default" w:ascii="Times New Roman" w:hAnsi="Times New Roman" w:eastAsia="Times New Roman" w:cs="Times New Roman"/>
          <w:color w:val="000000"/>
          <w:sz w:val="20"/>
          <w:szCs w:val="24"/>
        </w:rPr>
        <w:t xml:space="preserve"> 1994;15(1):10-15.</w:t>
      </w:r>
      <w:bookmarkEnd w:id="71"/>
    </w:p>
    <w:p w14:paraId="4FC37D33">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72 </w:t>
      </w:r>
      <w:bookmarkStart w:id="72" w:name="_nebA847EC92_35E5_4554_80E5_E77D16D559DE"/>
      <w:r>
        <w:rPr>
          <w:rFonts w:hint="default" w:ascii="Times New Roman" w:hAnsi="Times New Roman" w:eastAsia="Times New Roman" w:cs="Times New Roman"/>
          <w:color w:val="000000"/>
          <w:sz w:val="20"/>
          <w:szCs w:val="24"/>
        </w:rPr>
        <w:t>A Wong, S Alvarez-Alvarado, AW Kinsey, A Figueroa. Whole-Body Vibration Exercise Therapy Improves Cardiac Autonomic Function and Blood Pressure in Obese Pre- and Stage 1 Hypertensive Postmenopausal Women. 2016;22(12):970-76.</w:t>
      </w:r>
      <w:bookmarkEnd w:id="72"/>
    </w:p>
    <w:p w14:paraId="199F7F4F">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73 </w:t>
      </w:r>
      <w:bookmarkStart w:id="73" w:name="_neb725AA06C_80BB_4416_8E85_1CB4D5D02AFD"/>
      <w:r>
        <w:rPr>
          <w:rFonts w:hint="default" w:ascii="Times New Roman" w:hAnsi="Times New Roman" w:eastAsia="Times New Roman" w:cs="Times New Roman"/>
          <w:color w:val="000000"/>
          <w:sz w:val="20"/>
          <w:szCs w:val="24"/>
        </w:rPr>
        <w:t>SK Xu, Y Chen, CY Liu, et al. A randomized cross-over study on the blood pressure lowering effect of the combined passive head-up and -down movement with Device-Guided slow breathing. 2019;28(5):291-99.</w:t>
      </w:r>
      <w:bookmarkEnd w:id="73"/>
    </w:p>
    <w:p w14:paraId="160DB5F3">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74 </w:t>
      </w:r>
      <w:bookmarkStart w:id="74" w:name="_neb887F12A7_DF77_4FE4_AB1C_8834E0B833E6"/>
      <w:r>
        <w:rPr>
          <w:rFonts w:hint="default" w:ascii="Times New Roman" w:hAnsi="Times New Roman" w:eastAsia="Times New Roman" w:cs="Times New Roman"/>
          <w:color w:val="000000"/>
          <w:sz w:val="20"/>
          <w:szCs w:val="24"/>
        </w:rPr>
        <w:t xml:space="preserve">K Yuenyongchaiwat, K Changsri, S Harnmanop, et al. Effects of slow breathing training on hemodynamic changes, cardiac autonomic function and neuroendocrine response in people with high blood pressure: A randomized control trial. </w:t>
      </w:r>
      <w:r>
        <w:rPr>
          <w:rFonts w:hint="default" w:ascii="Times New Roman" w:hAnsi="Times New Roman" w:eastAsia="Times New Roman" w:cs="Times New Roman"/>
          <w:i/>
          <w:color w:val="000000"/>
          <w:sz w:val="20"/>
          <w:szCs w:val="24"/>
        </w:rPr>
        <w:t>Journal of Bodywork &amp; Movement Therapies</w:t>
      </w:r>
      <w:r>
        <w:rPr>
          <w:rFonts w:hint="default" w:ascii="Times New Roman" w:hAnsi="Times New Roman" w:eastAsia="Times New Roman" w:cs="Times New Roman"/>
          <w:color w:val="000000"/>
          <w:sz w:val="20"/>
          <w:szCs w:val="24"/>
        </w:rPr>
        <w:t xml:space="preserve"> 2024;37:136-41.</w:t>
      </w:r>
      <w:bookmarkEnd w:id="74"/>
    </w:p>
    <w:p w14:paraId="4E6D1E44">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75 </w:t>
      </w:r>
      <w:bookmarkStart w:id="75" w:name="_neb90D962C6_CBAA_4C34_9A54_E537593FA93A"/>
      <w:r>
        <w:rPr>
          <w:rFonts w:hint="default" w:ascii="Times New Roman" w:hAnsi="Times New Roman" w:eastAsia="Times New Roman" w:cs="Times New Roman"/>
          <w:color w:val="000000"/>
          <w:sz w:val="20"/>
          <w:szCs w:val="24"/>
        </w:rPr>
        <w:t>RBR- Cgp H. Effect of aerobic training combined with strength training with elastic tube on functional capacity, blood pressure and muscular strength in hypertensive patients. 2018.</w:t>
      </w:r>
      <w:bookmarkEnd w:id="75"/>
    </w:p>
    <w:p w14:paraId="27FD8514">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76 </w:t>
      </w:r>
      <w:bookmarkStart w:id="76" w:name="_nebA8F30D4F_191C_4852_861A_EBD79237B241"/>
      <w:r>
        <w:rPr>
          <w:rFonts w:hint="default" w:ascii="Times New Roman" w:hAnsi="Times New Roman" w:eastAsia="Times New Roman" w:cs="Times New Roman"/>
          <w:color w:val="000000"/>
          <w:sz w:val="20"/>
          <w:szCs w:val="24"/>
        </w:rPr>
        <w:t xml:space="preserve">S Sehgal, J Daniel, M Sharma. A Comparative Study to Find the Effect of Aerobic Exercise Training Versus Resistance Exercise Training in Adults with Pre-Hypertension. </w:t>
      </w:r>
      <w:r>
        <w:rPr>
          <w:rFonts w:hint="default" w:ascii="Times New Roman" w:hAnsi="Times New Roman" w:eastAsia="Times New Roman" w:cs="Times New Roman"/>
          <w:i/>
          <w:color w:val="000000"/>
          <w:sz w:val="20"/>
          <w:szCs w:val="24"/>
        </w:rPr>
        <w:t>Indian Journal of Public Health Research and Development</w:t>
      </w:r>
      <w:r>
        <w:rPr>
          <w:rFonts w:hint="default" w:ascii="Times New Roman" w:hAnsi="Times New Roman" w:eastAsia="Times New Roman" w:cs="Times New Roman"/>
          <w:color w:val="000000"/>
          <w:sz w:val="20"/>
          <w:szCs w:val="24"/>
        </w:rPr>
        <w:t xml:space="preserve"> 2023;14(1):347-52.</w:t>
      </w:r>
      <w:bookmarkEnd w:id="76"/>
    </w:p>
    <w:p w14:paraId="3D17CD21">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77 </w:t>
      </w:r>
      <w:bookmarkStart w:id="77" w:name="_nebC58792F4_7087_4F5F_902B_DB0263838669"/>
      <w:r>
        <w:rPr>
          <w:rFonts w:hint="default" w:ascii="Times New Roman" w:hAnsi="Times New Roman" w:eastAsia="Times New Roman" w:cs="Times New Roman"/>
          <w:color w:val="000000"/>
          <w:sz w:val="20"/>
          <w:szCs w:val="24"/>
        </w:rPr>
        <w:t>CTRI. Comparative effect of Myofascual release technique and lifestyle modification in prehypertension individuals A RANDOMIZED CONTROLLED TRIAL. 2024.</w:t>
      </w:r>
      <w:bookmarkEnd w:id="77"/>
    </w:p>
    <w:p w14:paraId="4C2F1F0C">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78 </w:t>
      </w:r>
      <w:bookmarkStart w:id="78" w:name="_nebA068246C_E029_46BD_9D31_ADC5BAA4E74E"/>
      <w:r>
        <w:rPr>
          <w:rFonts w:hint="default" w:ascii="Times New Roman" w:hAnsi="Times New Roman" w:eastAsia="Times New Roman" w:cs="Times New Roman"/>
          <w:color w:val="000000"/>
          <w:sz w:val="20"/>
          <w:szCs w:val="24"/>
        </w:rPr>
        <w:t>ChiCTR. A Randomized Controlled Trial on Effect of Tai Chi versus aerobic exercise on Blood Pressure in Prehypertension Patients. 2019.</w:t>
      </w:r>
      <w:bookmarkEnd w:id="78"/>
    </w:p>
    <w:p w14:paraId="2032000C">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79 </w:t>
      </w:r>
      <w:bookmarkStart w:id="79" w:name="_nebD87DF6A4_353D_4087_9808_FE226C326C45"/>
      <w:r>
        <w:rPr>
          <w:rFonts w:hint="default" w:ascii="Times New Roman" w:hAnsi="Times New Roman" w:eastAsia="Times New Roman" w:cs="Times New Roman"/>
          <w:color w:val="000000"/>
          <w:sz w:val="20"/>
          <w:szCs w:val="24"/>
        </w:rPr>
        <w:t>NCT. Stretching vs Walking for Lowering Blood Pressure. 2022.</w:t>
      </w:r>
      <w:bookmarkEnd w:id="79"/>
    </w:p>
    <w:p w14:paraId="0AB5D071">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80 </w:t>
      </w:r>
      <w:bookmarkStart w:id="80" w:name="_neb0F49CF00_8C10_4F63_BB73_FEDE2AD15839"/>
      <w:r>
        <w:rPr>
          <w:rFonts w:hint="default" w:ascii="Times New Roman" w:hAnsi="Times New Roman" w:eastAsia="Times New Roman" w:cs="Times New Roman"/>
          <w:color w:val="000000"/>
          <w:sz w:val="20"/>
          <w:szCs w:val="24"/>
        </w:rPr>
        <w:t>NCT. Running Against Prehypertension Trial (RAPT): a Pilot Trial. 2012.</w:t>
      </w:r>
      <w:bookmarkEnd w:id="80"/>
    </w:p>
    <w:p w14:paraId="6D038F69">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81 </w:t>
      </w:r>
      <w:bookmarkStart w:id="81" w:name="_neb0E9349A2_BFE7_4AD5_A59B_398E677DAA25"/>
      <w:r>
        <w:rPr>
          <w:rFonts w:hint="default" w:ascii="Times New Roman" w:hAnsi="Times New Roman" w:eastAsia="Times New Roman" w:cs="Times New Roman"/>
          <w:color w:val="000000"/>
          <w:sz w:val="20"/>
          <w:szCs w:val="24"/>
        </w:rPr>
        <w:t>NCT. Inspiratory Muscle Strength Training for Lowering Blood Pressure and Improving Endothelial Function in Postmenopausal Women: comparison With "Standard of Care" Aerobic Exercise. 2021.</w:t>
      </w:r>
      <w:bookmarkEnd w:id="81"/>
    </w:p>
    <w:p w14:paraId="0189A6CA">
      <w:pPr>
        <w:spacing w:beforeLines="0" w:afterLines="0"/>
        <w:ind w:left="280" w:hanging="280"/>
        <w:rPr>
          <w:rFonts w:hint="default" w:ascii="Times New Roman" w:hAnsi="Times New Roman" w:cs="Times New Roman"/>
          <w:sz w:val="24"/>
          <w:szCs w:val="24"/>
        </w:rPr>
      </w:pPr>
      <w:r>
        <w:rPr>
          <w:rFonts w:hint="default" w:ascii="Times New Roman" w:hAnsi="Times New Roman" w:eastAsia="Times New Roman" w:cs="Times New Roman"/>
          <w:color w:val="000000"/>
          <w:sz w:val="20"/>
          <w:szCs w:val="24"/>
        </w:rPr>
        <w:t xml:space="preserve">82 </w:t>
      </w:r>
      <w:bookmarkStart w:id="82" w:name="_neb67DDE55C_12E2_42A2_9CA9_E3A0E72F9843"/>
      <w:r>
        <w:rPr>
          <w:rFonts w:hint="default" w:ascii="Times New Roman" w:hAnsi="Times New Roman" w:eastAsia="Times New Roman" w:cs="Times New Roman"/>
          <w:color w:val="000000"/>
          <w:sz w:val="20"/>
          <w:szCs w:val="24"/>
        </w:rPr>
        <w:t>TCTR. A Randomized Controlled Trial Comparing the Effects of Arm-swing Exercise and Low Sodium Intake Education Program with Low Sodium Intake Education Alone on Blood pressure, Heart rate and Cardiorespiratory fitness in Postmenopausal women with Prehypertension. 2017.</w:t>
      </w:r>
      <w:bookmarkEnd w:id="82"/>
    </w:p>
    <w:p w14:paraId="323743D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sz w:val="28"/>
          <w:szCs w:val="36"/>
          <w:lang w:val="en-US" w:eastAsia="zh-CN"/>
        </w:rPr>
      </w:pPr>
      <w:r>
        <w:rPr>
          <w:rFonts w:hint="default" w:ascii="Times New Roman" w:hAnsi="Times New Roman" w:cs="Times New Roman"/>
          <w:sz w:val="24"/>
          <w:szCs w:val="32"/>
          <w:lang w:val="en-US" w:eastAsia="zh-CN"/>
        </w:rPr>
        <w:br w:type="page"/>
      </w:r>
      <w:r>
        <w:rPr>
          <w:rFonts w:hint="default" w:ascii="Times New Roman" w:hAnsi="Times New Roman" w:cs="Times New Roman"/>
          <w:b/>
          <w:bCs/>
          <w:sz w:val="28"/>
          <w:szCs w:val="36"/>
          <w:lang w:val="en-US" w:eastAsia="zh-CN"/>
        </w:rPr>
        <w:t>Supplementary Table 5. Meta-regression analysis results</w:t>
      </w:r>
    </w:p>
    <w:tbl>
      <w:tblPr>
        <w:tblStyle w:val="7"/>
        <w:tblW w:w="8955" w:type="dxa"/>
        <w:tblInd w:w="-1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1125"/>
        <w:gridCol w:w="908"/>
        <w:gridCol w:w="1020"/>
        <w:gridCol w:w="1102"/>
        <w:gridCol w:w="1080"/>
        <w:gridCol w:w="1140"/>
        <w:gridCol w:w="1148"/>
      </w:tblGrid>
      <w:tr w14:paraId="10AB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tcBorders>
              <w:top w:val="single" w:color="auto" w:sz="4" w:space="0"/>
              <w:left w:val="nil"/>
              <w:bottom w:val="single" w:color="auto" w:sz="4" w:space="0"/>
              <w:right w:val="nil"/>
            </w:tcBorders>
          </w:tcPr>
          <w:p w14:paraId="347F5AB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sz w:val="24"/>
                <w:szCs w:val="32"/>
                <w:vertAlign w:val="baseline"/>
                <w:lang w:val="en-US" w:eastAsia="zh-CN"/>
              </w:rPr>
            </w:pPr>
            <w:r>
              <w:rPr>
                <w:rFonts w:hint="default" w:ascii="Times New Roman" w:hAnsi="Times New Roman" w:cs="Times New Roman"/>
                <w:b w:val="0"/>
                <w:bCs w:val="0"/>
                <w:sz w:val="24"/>
                <w:szCs w:val="24"/>
              </w:rPr>
              <w:t>Covariate</w:t>
            </w:r>
          </w:p>
        </w:tc>
        <w:tc>
          <w:tcPr>
            <w:tcW w:w="1125" w:type="dxa"/>
            <w:tcBorders>
              <w:top w:val="single" w:color="auto" w:sz="4" w:space="0"/>
              <w:left w:val="nil"/>
              <w:bottom w:val="single" w:color="auto" w:sz="4" w:space="0"/>
              <w:right w:val="nil"/>
            </w:tcBorders>
          </w:tcPr>
          <w:p w14:paraId="512F9C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sz w:val="24"/>
                <w:szCs w:val="32"/>
                <w:vertAlign w:val="baseline"/>
                <w:lang w:val="en-US" w:eastAsia="zh-CN"/>
              </w:rPr>
            </w:pPr>
            <w:r>
              <w:rPr>
                <w:rFonts w:hint="default" w:ascii="Times New Roman" w:hAnsi="Times New Roman" w:cs="Times New Roman"/>
                <w:b w:val="0"/>
                <w:bCs w:val="0"/>
                <w:sz w:val="24"/>
                <w:szCs w:val="24"/>
                <w:lang w:val="en-US" w:eastAsia="zh-CN"/>
              </w:rPr>
              <w:t>Mean</w:t>
            </w:r>
          </w:p>
        </w:tc>
        <w:tc>
          <w:tcPr>
            <w:tcW w:w="908" w:type="dxa"/>
            <w:tcBorders>
              <w:top w:val="single" w:color="auto" w:sz="4" w:space="0"/>
              <w:left w:val="nil"/>
              <w:bottom w:val="single" w:color="auto" w:sz="4" w:space="0"/>
              <w:right w:val="nil"/>
            </w:tcBorders>
            <w:shd w:val="clear" w:color="auto" w:fill="auto"/>
            <w:vAlign w:val="top"/>
          </w:tcPr>
          <w:p w14:paraId="7579F4D8">
            <w:pPr>
              <w:jc w:val="center"/>
              <w:rPr>
                <w:rFonts w:hint="default" w:ascii="Times New Roman" w:hAnsi="Times New Roman" w:cs="Times New Roman" w:eastAsiaTheme="minorEastAsia"/>
                <w:b w:val="0"/>
                <w:bCs w:val="0"/>
                <w:kern w:val="2"/>
                <w:sz w:val="24"/>
                <w:szCs w:val="24"/>
                <w:lang w:val="en-US" w:eastAsia="zh-CN" w:bidi="ar-SA"/>
              </w:rPr>
            </w:pPr>
            <w:r>
              <w:rPr>
                <w:rFonts w:hint="default" w:ascii="Times New Roman" w:hAnsi="Times New Roman" w:cs="Times New Roman"/>
                <w:b w:val="0"/>
                <w:bCs w:val="0"/>
                <w:sz w:val="24"/>
                <w:szCs w:val="24"/>
                <w:lang w:val="en-US" w:eastAsia="zh-CN"/>
              </w:rPr>
              <w:t>SD</w:t>
            </w:r>
          </w:p>
        </w:tc>
        <w:tc>
          <w:tcPr>
            <w:tcW w:w="1020" w:type="dxa"/>
            <w:tcBorders>
              <w:top w:val="single" w:color="auto" w:sz="4" w:space="0"/>
              <w:left w:val="nil"/>
              <w:bottom w:val="single" w:color="auto" w:sz="4" w:space="0"/>
              <w:right w:val="nil"/>
            </w:tcBorders>
            <w:shd w:val="clear" w:color="auto" w:fill="auto"/>
            <w:vAlign w:val="top"/>
          </w:tcPr>
          <w:p w14:paraId="319156C5">
            <w:pPr>
              <w:jc w:val="center"/>
              <w:rPr>
                <w:rFonts w:hint="default" w:ascii="Times New Roman" w:hAnsi="Times New Roman" w:cs="Times New Roman" w:eastAsiaTheme="minorEastAsia"/>
                <w:b w:val="0"/>
                <w:bCs w:val="0"/>
                <w:kern w:val="2"/>
                <w:sz w:val="24"/>
                <w:szCs w:val="24"/>
                <w:lang w:val="en-US" w:eastAsia="zh-CN" w:bidi="ar-SA"/>
              </w:rPr>
            </w:pPr>
            <w:r>
              <w:rPr>
                <w:rFonts w:hint="default" w:ascii="Times New Roman" w:hAnsi="Times New Roman" w:cs="Times New Roman"/>
                <w:b w:val="0"/>
                <w:bCs w:val="0"/>
                <w:sz w:val="24"/>
                <w:szCs w:val="24"/>
                <w:lang w:val="en-US" w:eastAsia="zh-CN"/>
              </w:rPr>
              <w:t>2.5%</w:t>
            </w:r>
          </w:p>
        </w:tc>
        <w:tc>
          <w:tcPr>
            <w:tcW w:w="1102" w:type="dxa"/>
            <w:tcBorders>
              <w:top w:val="single" w:color="auto" w:sz="4" w:space="0"/>
              <w:left w:val="nil"/>
              <w:bottom w:val="single" w:color="auto" w:sz="4" w:space="0"/>
              <w:right w:val="nil"/>
            </w:tcBorders>
            <w:shd w:val="clear" w:color="auto" w:fill="auto"/>
            <w:vAlign w:val="top"/>
          </w:tcPr>
          <w:p w14:paraId="76A04A3E">
            <w:pPr>
              <w:jc w:val="center"/>
              <w:rPr>
                <w:rFonts w:hint="default" w:ascii="Times New Roman" w:hAnsi="Times New Roman" w:cs="Times New Roman" w:eastAsiaTheme="minorEastAsia"/>
                <w:b w:val="0"/>
                <w:bCs w:val="0"/>
                <w:kern w:val="2"/>
                <w:sz w:val="24"/>
                <w:szCs w:val="24"/>
                <w:lang w:val="en-US" w:eastAsia="zh-CN" w:bidi="ar-SA"/>
              </w:rPr>
            </w:pPr>
            <w:r>
              <w:rPr>
                <w:rFonts w:hint="default" w:ascii="Times New Roman" w:hAnsi="Times New Roman" w:cs="Times New Roman"/>
                <w:b w:val="0"/>
                <w:bCs w:val="0"/>
                <w:kern w:val="2"/>
                <w:sz w:val="24"/>
                <w:szCs w:val="24"/>
                <w:lang w:val="en-US" w:eastAsia="zh-CN" w:bidi="ar-SA"/>
              </w:rPr>
              <w:t>25%</w:t>
            </w:r>
          </w:p>
        </w:tc>
        <w:tc>
          <w:tcPr>
            <w:tcW w:w="1080" w:type="dxa"/>
            <w:tcBorders>
              <w:top w:val="single" w:color="auto" w:sz="4" w:space="0"/>
              <w:left w:val="nil"/>
              <w:bottom w:val="single" w:color="auto" w:sz="4" w:space="0"/>
              <w:right w:val="nil"/>
            </w:tcBorders>
            <w:shd w:val="clear" w:color="auto" w:fill="auto"/>
            <w:vAlign w:val="top"/>
          </w:tcPr>
          <w:p w14:paraId="6E1DBB0D">
            <w:pPr>
              <w:jc w:val="center"/>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50%</w:t>
            </w:r>
          </w:p>
        </w:tc>
        <w:tc>
          <w:tcPr>
            <w:tcW w:w="1140" w:type="dxa"/>
            <w:tcBorders>
              <w:top w:val="single" w:color="auto" w:sz="4" w:space="0"/>
              <w:left w:val="nil"/>
              <w:bottom w:val="single" w:color="auto" w:sz="4" w:space="0"/>
              <w:right w:val="nil"/>
            </w:tcBorders>
            <w:shd w:val="clear" w:color="auto" w:fill="auto"/>
            <w:vAlign w:val="top"/>
          </w:tcPr>
          <w:p w14:paraId="5D2820B8">
            <w:pPr>
              <w:jc w:val="center"/>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75%</w:t>
            </w:r>
          </w:p>
        </w:tc>
        <w:tc>
          <w:tcPr>
            <w:tcW w:w="1148" w:type="dxa"/>
            <w:tcBorders>
              <w:top w:val="single" w:color="auto" w:sz="4" w:space="0"/>
              <w:left w:val="nil"/>
              <w:bottom w:val="single" w:color="auto" w:sz="4" w:space="0"/>
              <w:right w:val="nil"/>
            </w:tcBorders>
            <w:shd w:val="clear" w:color="auto" w:fill="auto"/>
            <w:vAlign w:val="top"/>
          </w:tcPr>
          <w:p w14:paraId="5B49FF29">
            <w:pPr>
              <w:jc w:val="center"/>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97.5%</w:t>
            </w:r>
          </w:p>
        </w:tc>
      </w:tr>
      <w:tr w14:paraId="33BA9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7" w:type="dxa"/>
            <w:gridSpan w:val="5"/>
            <w:tcBorders>
              <w:top w:val="single" w:color="auto" w:sz="4" w:space="0"/>
              <w:left w:val="nil"/>
              <w:bottom w:val="nil"/>
              <w:right w:val="nil"/>
            </w:tcBorders>
          </w:tcPr>
          <w:p w14:paraId="0A3209A7">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SBP</w:t>
            </w:r>
          </w:p>
        </w:tc>
        <w:tc>
          <w:tcPr>
            <w:tcW w:w="1080" w:type="dxa"/>
            <w:tcBorders>
              <w:top w:val="single" w:color="auto" w:sz="4" w:space="0"/>
              <w:left w:val="nil"/>
              <w:bottom w:val="nil"/>
              <w:right w:val="nil"/>
            </w:tcBorders>
          </w:tcPr>
          <w:p w14:paraId="6CB7BC30">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sz w:val="24"/>
                <w:szCs w:val="32"/>
                <w:vertAlign w:val="baseline"/>
                <w:lang w:val="en-US" w:eastAsia="zh-CN"/>
              </w:rPr>
            </w:pPr>
          </w:p>
        </w:tc>
        <w:tc>
          <w:tcPr>
            <w:tcW w:w="1140" w:type="dxa"/>
            <w:tcBorders>
              <w:top w:val="single" w:color="auto" w:sz="4" w:space="0"/>
              <w:left w:val="nil"/>
              <w:bottom w:val="nil"/>
              <w:right w:val="nil"/>
            </w:tcBorders>
          </w:tcPr>
          <w:p w14:paraId="1400AFF5">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sz w:val="24"/>
                <w:szCs w:val="32"/>
                <w:vertAlign w:val="baseline"/>
                <w:lang w:val="en-US" w:eastAsia="zh-CN"/>
              </w:rPr>
            </w:pPr>
          </w:p>
        </w:tc>
        <w:tc>
          <w:tcPr>
            <w:tcW w:w="1148" w:type="dxa"/>
            <w:tcBorders>
              <w:top w:val="single" w:color="auto" w:sz="4" w:space="0"/>
              <w:left w:val="nil"/>
              <w:bottom w:val="nil"/>
              <w:right w:val="nil"/>
            </w:tcBorders>
          </w:tcPr>
          <w:p w14:paraId="2DD9FF6B">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sz w:val="24"/>
                <w:szCs w:val="32"/>
                <w:vertAlign w:val="baseline"/>
                <w:lang w:val="en-US" w:eastAsia="zh-CN"/>
              </w:rPr>
            </w:pPr>
          </w:p>
        </w:tc>
      </w:tr>
      <w:tr w14:paraId="19FF3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tcBorders>
              <w:top w:val="nil"/>
              <w:left w:val="nil"/>
              <w:bottom w:val="nil"/>
              <w:right w:val="nil"/>
            </w:tcBorders>
          </w:tcPr>
          <w:p w14:paraId="0946FE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year</w:t>
            </w:r>
          </w:p>
        </w:tc>
        <w:tc>
          <w:tcPr>
            <w:tcW w:w="1125" w:type="dxa"/>
            <w:tcBorders>
              <w:top w:val="nil"/>
              <w:left w:val="nil"/>
              <w:bottom w:val="nil"/>
              <w:right w:val="nil"/>
            </w:tcBorders>
          </w:tcPr>
          <w:p w14:paraId="5080D1C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0.8044  </w:t>
            </w:r>
          </w:p>
        </w:tc>
        <w:tc>
          <w:tcPr>
            <w:tcW w:w="908" w:type="dxa"/>
            <w:tcBorders>
              <w:top w:val="nil"/>
              <w:left w:val="nil"/>
              <w:bottom w:val="nil"/>
              <w:right w:val="nil"/>
            </w:tcBorders>
          </w:tcPr>
          <w:p w14:paraId="60CE5BC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8.420</w:t>
            </w:r>
          </w:p>
        </w:tc>
        <w:tc>
          <w:tcPr>
            <w:tcW w:w="1020" w:type="dxa"/>
            <w:tcBorders>
              <w:top w:val="nil"/>
              <w:left w:val="nil"/>
              <w:bottom w:val="nil"/>
              <w:right w:val="nil"/>
            </w:tcBorders>
          </w:tcPr>
          <w:p w14:paraId="35738EC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-13.814        </w:t>
            </w:r>
          </w:p>
        </w:tc>
        <w:tc>
          <w:tcPr>
            <w:tcW w:w="1102" w:type="dxa"/>
            <w:tcBorders>
              <w:top w:val="nil"/>
              <w:left w:val="nil"/>
              <w:bottom w:val="nil"/>
              <w:right w:val="nil"/>
            </w:tcBorders>
          </w:tcPr>
          <w:p w14:paraId="022EEFF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-5.0785 </w:t>
            </w:r>
          </w:p>
        </w:tc>
        <w:tc>
          <w:tcPr>
            <w:tcW w:w="1080" w:type="dxa"/>
            <w:tcBorders>
              <w:top w:val="nil"/>
              <w:left w:val="nil"/>
              <w:bottom w:val="nil"/>
              <w:right w:val="nil"/>
            </w:tcBorders>
          </w:tcPr>
          <w:p w14:paraId="4AC3AF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0.1525  </w:t>
            </w:r>
          </w:p>
        </w:tc>
        <w:tc>
          <w:tcPr>
            <w:tcW w:w="1140" w:type="dxa"/>
            <w:tcBorders>
              <w:top w:val="nil"/>
              <w:left w:val="nil"/>
              <w:bottom w:val="nil"/>
              <w:right w:val="nil"/>
            </w:tcBorders>
          </w:tcPr>
          <w:p w14:paraId="722BF36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6.6126 </w:t>
            </w:r>
          </w:p>
        </w:tc>
        <w:tc>
          <w:tcPr>
            <w:tcW w:w="1148" w:type="dxa"/>
            <w:tcBorders>
              <w:top w:val="nil"/>
              <w:left w:val="nil"/>
              <w:bottom w:val="nil"/>
              <w:right w:val="nil"/>
            </w:tcBorders>
          </w:tcPr>
          <w:p w14:paraId="6B9136E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17.5692</w:t>
            </w:r>
          </w:p>
        </w:tc>
      </w:tr>
      <w:tr w14:paraId="10217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tcBorders>
              <w:top w:val="nil"/>
              <w:left w:val="nil"/>
              <w:bottom w:val="nil"/>
              <w:right w:val="nil"/>
            </w:tcBorders>
          </w:tcPr>
          <w:p w14:paraId="27C2B8F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Age</w:t>
            </w:r>
          </w:p>
        </w:tc>
        <w:tc>
          <w:tcPr>
            <w:tcW w:w="1125" w:type="dxa"/>
            <w:tcBorders>
              <w:top w:val="nil"/>
              <w:left w:val="nil"/>
              <w:bottom w:val="nil"/>
              <w:right w:val="nil"/>
            </w:tcBorders>
          </w:tcPr>
          <w:p w14:paraId="2B2E915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0.8160  </w:t>
            </w:r>
          </w:p>
        </w:tc>
        <w:tc>
          <w:tcPr>
            <w:tcW w:w="908" w:type="dxa"/>
            <w:tcBorders>
              <w:top w:val="nil"/>
              <w:left w:val="nil"/>
              <w:bottom w:val="nil"/>
              <w:right w:val="nil"/>
            </w:tcBorders>
          </w:tcPr>
          <w:p w14:paraId="338E2B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6.158</w:t>
            </w:r>
          </w:p>
        </w:tc>
        <w:tc>
          <w:tcPr>
            <w:tcW w:w="1020" w:type="dxa"/>
            <w:tcBorders>
              <w:top w:val="nil"/>
              <w:left w:val="nil"/>
              <w:bottom w:val="nil"/>
              <w:right w:val="nil"/>
            </w:tcBorders>
          </w:tcPr>
          <w:p w14:paraId="7B2EB47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-11.349  </w:t>
            </w:r>
          </w:p>
        </w:tc>
        <w:tc>
          <w:tcPr>
            <w:tcW w:w="1102" w:type="dxa"/>
            <w:tcBorders>
              <w:top w:val="nil"/>
              <w:left w:val="nil"/>
              <w:bottom w:val="nil"/>
              <w:right w:val="nil"/>
            </w:tcBorders>
          </w:tcPr>
          <w:p w14:paraId="7E3AD4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-3.1181  </w:t>
            </w:r>
          </w:p>
        </w:tc>
        <w:tc>
          <w:tcPr>
            <w:tcW w:w="1080" w:type="dxa"/>
            <w:tcBorders>
              <w:top w:val="nil"/>
              <w:left w:val="nil"/>
              <w:bottom w:val="nil"/>
              <w:right w:val="nil"/>
            </w:tcBorders>
          </w:tcPr>
          <w:p w14:paraId="16395EE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0.6423  </w:t>
            </w:r>
          </w:p>
        </w:tc>
        <w:tc>
          <w:tcPr>
            <w:tcW w:w="1140" w:type="dxa"/>
            <w:tcBorders>
              <w:top w:val="nil"/>
              <w:left w:val="nil"/>
              <w:bottom w:val="nil"/>
              <w:right w:val="nil"/>
            </w:tcBorders>
          </w:tcPr>
          <w:p w14:paraId="68B2C0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4.87569 </w:t>
            </w:r>
          </w:p>
        </w:tc>
        <w:tc>
          <w:tcPr>
            <w:tcW w:w="1148" w:type="dxa"/>
            <w:tcBorders>
              <w:top w:val="nil"/>
              <w:left w:val="nil"/>
              <w:bottom w:val="nil"/>
              <w:right w:val="nil"/>
            </w:tcBorders>
          </w:tcPr>
          <w:p w14:paraId="0214D8C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12.54246</w:t>
            </w:r>
          </w:p>
        </w:tc>
      </w:tr>
      <w:tr w14:paraId="7AC90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tcBorders>
              <w:top w:val="nil"/>
              <w:left w:val="nil"/>
              <w:bottom w:val="nil"/>
              <w:right w:val="nil"/>
            </w:tcBorders>
          </w:tcPr>
          <w:p w14:paraId="755EB2C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Female ratio</w:t>
            </w:r>
          </w:p>
        </w:tc>
        <w:tc>
          <w:tcPr>
            <w:tcW w:w="1125" w:type="dxa"/>
            <w:tcBorders>
              <w:top w:val="nil"/>
              <w:left w:val="nil"/>
              <w:bottom w:val="nil"/>
              <w:right w:val="nil"/>
            </w:tcBorders>
          </w:tcPr>
          <w:p w14:paraId="3643CD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0.2535</w:t>
            </w:r>
          </w:p>
        </w:tc>
        <w:tc>
          <w:tcPr>
            <w:tcW w:w="908" w:type="dxa"/>
            <w:tcBorders>
              <w:top w:val="nil"/>
              <w:left w:val="nil"/>
              <w:bottom w:val="nil"/>
              <w:right w:val="nil"/>
            </w:tcBorders>
          </w:tcPr>
          <w:p w14:paraId="1ED6DB9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6.092</w:t>
            </w:r>
          </w:p>
        </w:tc>
        <w:tc>
          <w:tcPr>
            <w:tcW w:w="1020" w:type="dxa"/>
            <w:tcBorders>
              <w:top w:val="nil"/>
              <w:left w:val="nil"/>
              <w:bottom w:val="nil"/>
              <w:right w:val="nil"/>
            </w:tcBorders>
          </w:tcPr>
          <w:p w14:paraId="251BA81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-11.666  </w:t>
            </w:r>
          </w:p>
        </w:tc>
        <w:tc>
          <w:tcPr>
            <w:tcW w:w="1102" w:type="dxa"/>
            <w:tcBorders>
              <w:top w:val="nil"/>
              <w:left w:val="nil"/>
              <w:bottom w:val="nil"/>
              <w:right w:val="nil"/>
            </w:tcBorders>
          </w:tcPr>
          <w:p w14:paraId="0BC4AC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-3.678  </w:t>
            </w:r>
          </w:p>
        </w:tc>
        <w:tc>
          <w:tcPr>
            <w:tcW w:w="1080" w:type="dxa"/>
            <w:tcBorders>
              <w:top w:val="nil"/>
              <w:left w:val="nil"/>
              <w:bottom w:val="nil"/>
              <w:right w:val="nil"/>
            </w:tcBorders>
          </w:tcPr>
          <w:p w14:paraId="24E6FD7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0.1927     </w:t>
            </w:r>
          </w:p>
        </w:tc>
        <w:tc>
          <w:tcPr>
            <w:tcW w:w="1140" w:type="dxa"/>
            <w:tcBorders>
              <w:top w:val="nil"/>
              <w:left w:val="nil"/>
              <w:bottom w:val="nil"/>
              <w:right w:val="nil"/>
            </w:tcBorders>
          </w:tcPr>
          <w:p w14:paraId="0482D21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4.0795</w:t>
            </w:r>
          </w:p>
        </w:tc>
        <w:tc>
          <w:tcPr>
            <w:tcW w:w="1148" w:type="dxa"/>
            <w:tcBorders>
              <w:top w:val="nil"/>
              <w:left w:val="nil"/>
              <w:bottom w:val="nil"/>
              <w:right w:val="nil"/>
            </w:tcBorders>
          </w:tcPr>
          <w:p w14:paraId="4CA123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12.6162</w:t>
            </w:r>
          </w:p>
        </w:tc>
      </w:tr>
      <w:tr w14:paraId="01A5E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tcBorders>
              <w:top w:val="nil"/>
              <w:left w:val="nil"/>
              <w:bottom w:val="nil"/>
              <w:right w:val="nil"/>
            </w:tcBorders>
            <w:shd w:val="clear" w:color="auto" w:fill="auto"/>
            <w:vAlign w:val="top"/>
          </w:tcPr>
          <w:p w14:paraId="373236F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4"/>
                <w:szCs w:val="32"/>
                <w:vertAlign w:val="baseline"/>
                <w:lang w:val="en-US" w:eastAsia="zh-CN" w:bidi="ar-SA"/>
              </w:rPr>
            </w:pPr>
            <w:r>
              <w:rPr>
                <w:rFonts w:hint="default" w:ascii="Times New Roman" w:hAnsi="Times New Roman" w:cs="Times New Roman"/>
                <w:sz w:val="24"/>
                <w:szCs w:val="32"/>
                <w:vertAlign w:val="baseline"/>
                <w:lang w:val="en-US" w:eastAsia="zh-CN"/>
              </w:rPr>
              <w:t>Duration</w:t>
            </w:r>
          </w:p>
        </w:tc>
        <w:tc>
          <w:tcPr>
            <w:tcW w:w="1125" w:type="dxa"/>
            <w:tcBorders>
              <w:top w:val="nil"/>
              <w:left w:val="nil"/>
              <w:bottom w:val="nil"/>
              <w:right w:val="nil"/>
            </w:tcBorders>
          </w:tcPr>
          <w:p w14:paraId="7D100D3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2.9399</w:t>
            </w:r>
          </w:p>
        </w:tc>
        <w:tc>
          <w:tcPr>
            <w:tcW w:w="908" w:type="dxa"/>
            <w:tcBorders>
              <w:top w:val="nil"/>
              <w:left w:val="nil"/>
              <w:bottom w:val="nil"/>
              <w:right w:val="nil"/>
            </w:tcBorders>
          </w:tcPr>
          <w:p w14:paraId="5049483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4.006</w:t>
            </w:r>
          </w:p>
        </w:tc>
        <w:tc>
          <w:tcPr>
            <w:tcW w:w="1020" w:type="dxa"/>
            <w:tcBorders>
              <w:top w:val="nil"/>
              <w:left w:val="nil"/>
              <w:bottom w:val="nil"/>
              <w:right w:val="nil"/>
            </w:tcBorders>
          </w:tcPr>
          <w:p w14:paraId="48273FA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-5.6515</w:t>
            </w:r>
          </w:p>
        </w:tc>
        <w:tc>
          <w:tcPr>
            <w:tcW w:w="1102" w:type="dxa"/>
            <w:tcBorders>
              <w:top w:val="nil"/>
              <w:left w:val="nil"/>
              <w:bottom w:val="nil"/>
              <w:right w:val="nil"/>
            </w:tcBorders>
          </w:tcPr>
          <w:p w14:paraId="049A42D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0.5271  </w:t>
            </w:r>
          </w:p>
        </w:tc>
        <w:tc>
          <w:tcPr>
            <w:tcW w:w="1080" w:type="dxa"/>
            <w:tcBorders>
              <w:top w:val="nil"/>
              <w:left w:val="nil"/>
              <w:bottom w:val="nil"/>
              <w:right w:val="nil"/>
            </w:tcBorders>
          </w:tcPr>
          <w:p w14:paraId="1FFBBB7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2.7317  </w:t>
            </w:r>
          </w:p>
        </w:tc>
        <w:tc>
          <w:tcPr>
            <w:tcW w:w="1140" w:type="dxa"/>
            <w:tcBorders>
              <w:top w:val="nil"/>
              <w:left w:val="nil"/>
              <w:bottom w:val="nil"/>
              <w:right w:val="nil"/>
            </w:tcBorders>
          </w:tcPr>
          <w:p w14:paraId="2486C1F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5.105  </w:t>
            </w:r>
          </w:p>
        </w:tc>
        <w:tc>
          <w:tcPr>
            <w:tcW w:w="1148" w:type="dxa"/>
            <w:tcBorders>
              <w:top w:val="nil"/>
              <w:left w:val="nil"/>
              <w:bottom w:val="nil"/>
              <w:right w:val="nil"/>
            </w:tcBorders>
          </w:tcPr>
          <w:p w14:paraId="13B551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12.8725</w:t>
            </w:r>
          </w:p>
        </w:tc>
      </w:tr>
      <w:tr w14:paraId="0682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tcBorders>
              <w:top w:val="nil"/>
              <w:left w:val="nil"/>
              <w:bottom w:val="nil"/>
              <w:right w:val="nil"/>
            </w:tcBorders>
            <w:shd w:val="clear" w:color="auto" w:fill="auto"/>
            <w:vAlign w:val="top"/>
          </w:tcPr>
          <w:p w14:paraId="48CB682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4"/>
                <w:szCs w:val="32"/>
                <w:vertAlign w:val="baseline"/>
                <w:lang w:val="en-US" w:eastAsia="zh-CN" w:bidi="ar-SA"/>
              </w:rPr>
            </w:pPr>
            <w:r>
              <w:rPr>
                <w:rFonts w:hint="default" w:ascii="Times New Roman" w:hAnsi="Times New Roman" w:cs="Times New Roman"/>
                <w:sz w:val="24"/>
                <w:szCs w:val="32"/>
                <w:vertAlign w:val="baseline"/>
                <w:lang w:val="en-US" w:eastAsia="zh-CN"/>
              </w:rPr>
              <w:t>Frequency</w:t>
            </w:r>
          </w:p>
        </w:tc>
        <w:tc>
          <w:tcPr>
            <w:tcW w:w="1125" w:type="dxa"/>
            <w:tcBorders>
              <w:top w:val="nil"/>
              <w:left w:val="nil"/>
              <w:bottom w:val="nil"/>
              <w:right w:val="nil"/>
            </w:tcBorders>
          </w:tcPr>
          <w:p w14:paraId="3C9509B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10.2804 </w:t>
            </w:r>
          </w:p>
        </w:tc>
        <w:tc>
          <w:tcPr>
            <w:tcW w:w="908" w:type="dxa"/>
            <w:tcBorders>
              <w:top w:val="nil"/>
              <w:left w:val="nil"/>
              <w:bottom w:val="nil"/>
              <w:right w:val="nil"/>
            </w:tcBorders>
          </w:tcPr>
          <w:p w14:paraId="28D32E5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17.653</w:t>
            </w:r>
          </w:p>
        </w:tc>
        <w:tc>
          <w:tcPr>
            <w:tcW w:w="1020" w:type="dxa"/>
            <w:tcBorders>
              <w:top w:val="nil"/>
              <w:left w:val="nil"/>
              <w:bottom w:val="nil"/>
              <w:right w:val="nil"/>
            </w:tcBorders>
          </w:tcPr>
          <w:p w14:paraId="56EC71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-16.319          </w:t>
            </w:r>
          </w:p>
        </w:tc>
        <w:tc>
          <w:tcPr>
            <w:tcW w:w="1102" w:type="dxa"/>
            <w:tcBorders>
              <w:top w:val="nil"/>
              <w:left w:val="nil"/>
              <w:bottom w:val="nil"/>
              <w:right w:val="nil"/>
            </w:tcBorders>
          </w:tcPr>
          <w:p w14:paraId="6FBE76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-0.2284  </w:t>
            </w:r>
          </w:p>
        </w:tc>
        <w:tc>
          <w:tcPr>
            <w:tcW w:w="1080" w:type="dxa"/>
            <w:tcBorders>
              <w:top w:val="nil"/>
              <w:left w:val="nil"/>
              <w:bottom w:val="nil"/>
              <w:right w:val="nil"/>
            </w:tcBorders>
          </w:tcPr>
          <w:p w14:paraId="3AF31ED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5.0104  </w:t>
            </w:r>
          </w:p>
        </w:tc>
        <w:tc>
          <w:tcPr>
            <w:tcW w:w="1140" w:type="dxa"/>
            <w:tcBorders>
              <w:top w:val="nil"/>
              <w:left w:val="nil"/>
              <w:bottom w:val="nil"/>
              <w:right w:val="nil"/>
            </w:tcBorders>
          </w:tcPr>
          <w:p w14:paraId="5EDD2FA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21.5716  </w:t>
            </w:r>
          </w:p>
        </w:tc>
        <w:tc>
          <w:tcPr>
            <w:tcW w:w="1148" w:type="dxa"/>
            <w:tcBorders>
              <w:top w:val="nil"/>
              <w:left w:val="nil"/>
              <w:bottom w:val="nil"/>
              <w:right w:val="nil"/>
            </w:tcBorders>
          </w:tcPr>
          <w:p w14:paraId="6D70EED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47.0923</w:t>
            </w:r>
          </w:p>
        </w:tc>
      </w:tr>
      <w:tr w14:paraId="551EE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7" w:type="dxa"/>
            <w:gridSpan w:val="5"/>
            <w:tcBorders>
              <w:top w:val="nil"/>
              <w:left w:val="nil"/>
              <w:bottom w:val="nil"/>
              <w:right w:val="nil"/>
            </w:tcBorders>
            <w:shd w:val="clear" w:color="auto" w:fill="auto"/>
            <w:vAlign w:val="top"/>
          </w:tcPr>
          <w:p w14:paraId="6AC09D51">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DBP</w:t>
            </w:r>
          </w:p>
        </w:tc>
        <w:tc>
          <w:tcPr>
            <w:tcW w:w="1080" w:type="dxa"/>
            <w:tcBorders>
              <w:top w:val="nil"/>
              <w:left w:val="nil"/>
              <w:bottom w:val="nil"/>
              <w:right w:val="nil"/>
            </w:tcBorders>
            <w:shd w:val="clear" w:color="auto" w:fill="auto"/>
            <w:vAlign w:val="top"/>
          </w:tcPr>
          <w:p w14:paraId="7411C908">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sz w:val="24"/>
                <w:szCs w:val="32"/>
                <w:vertAlign w:val="baseline"/>
                <w:lang w:val="en-US" w:eastAsia="zh-CN"/>
              </w:rPr>
            </w:pPr>
          </w:p>
        </w:tc>
        <w:tc>
          <w:tcPr>
            <w:tcW w:w="1140" w:type="dxa"/>
            <w:tcBorders>
              <w:top w:val="nil"/>
              <w:left w:val="nil"/>
              <w:bottom w:val="nil"/>
              <w:right w:val="nil"/>
            </w:tcBorders>
            <w:shd w:val="clear" w:color="auto" w:fill="auto"/>
            <w:vAlign w:val="top"/>
          </w:tcPr>
          <w:p w14:paraId="5E0CA4CD">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sz w:val="24"/>
                <w:szCs w:val="32"/>
                <w:vertAlign w:val="baseline"/>
                <w:lang w:val="en-US" w:eastAsia="zh-CN"/>
              </w:rPr>
            </w:pPr>
          </w:p>
        </w:tc>
        <w:tc>
          <w:tcPr>
            <w:tcW w:w="1148" w:type="dxa"/>
            <w:tcBorders>
              <w:top w:val="nil"/>
              <w:left w:val="nil"/>
              <w:bottom w:val="nil"/>
              <w:right w:val="nil"/>
            </w:tcBorders>
            <w:shd w:val="clear" w:color="auto" w:fill="auto"/>
            <w:vAlign w:val="top"/>
          </w:tcPr>
          <w:p w14:paraId="6BE7C192">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sz w:val="24"/>
                <w:szCs w:val="32"/>
                <w:vertAlign w:val="baseline"/>
                <w:lang w:val="en-US" w:eastAsia="zh-CN"/>
              </w:rPr>
            </w:pPr>
          </w:p>
        </w:tc>
      </w:tr>
      <w:tr w14:paraId="5AD4A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tcBorders>
              <w:top w:val="nil"/>
              <w:left w:val="nil"/>
              <w:bottom w:val="nil"/>
              <w:right w:val="nil"/>
            </w:tcBorders>
            <w:shd w:val="clear" w:color="auto" w:fill="auto"/>
            <w:vAlign w:val="top"/>
          </w:tcPr>
          <w:p w14:paraId="4928D8E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4"/>
                <w:szCs w:val="32"/>
                <w:vertAlign w:val="baseline"/>
                <w:lang w:val="en-US" w:eastAsia="zh-CN" w:bidi="ar-SA"/>
              </w:rPr>
            </w:pPr>
            <w:r>
              <w:rPr>
                <w:rFonts w:hint="default" w:ascii="Times New Roman" w:hAnsi="Times New Roman" w:cs="Times New Roman"/>
                <w:sz w:val="24"/>
                <w:szCs w:val="32"/>
                <w:vertAlign w:val="baseline"/>
                <w:lang w:val="en-US" w:eastAsia="zh-CN"/>
              </w:rPr>
              <w:t>year</w:t>
            </w:r>
          </w:p>
        </w:tc>
        <w:tc>
          <w:tcPr>
            <w:tcW w:w="1125" w:type="dxa"/>
            <w:tcBorders>
              <w:top w:val="nil"/>
              <w:left w:val="nil"/>
              <w:bottom w:val="nil"/>
              <w:right w:val="nil"/>
            </w:tcBorders>
          </w:tcPr>
          <w:p w14:paraId="2604BFD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10.3841</w:t>
            </w:r>
          </w:p>
        </w:tc>
        <w:tc>
          <w:tcPr>
            <w:tcW w:w="908" w:type="dxa"/>
            <w:tcBorders>
              <w:top w:val="nil"/>
              <w:left w:val="nil"/>
              <w:bottom w:val="nil"/>
              <w:right w:val="nil"/>
            </w:tcBorders>
          </w:tcPr>
          <w:p w14:paraId="711EF6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11.513</w:t>
            </w:r>
          </w:p>
        </w:tc>
        <w:tc>
          <w:tcPr>
            <w:tcW w:w="1020" w:type="dxa"/>
            <w:tcBorders>
              <w:top w:val="nil"/>
              <w:left w:val="nil"/>
              <w:bottom w:val="nil"/>
              <w:right w:val="nil"/>
            </w:tcBorders>
          </w:tcPr>
          <w:p w14:paraId="3F089E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-9.609   </w:t>
            </w:r>
          </w:p>
        </w:tc>
        <w:tc>
          <w:tcPr>
            <w:tcW w:w="1102" w:type="dxa"/>
            <w:tcBorders>
              <w:top w:val="nil"/>
              <w:left w:val="nil"/>
              <w:bottom w:val="nil"/>
              <w:right w:val="nil"/>
            </w:tcBorders>
          </w:tcPr>
          <w:p w14:paraId="596FFE8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1.2549 </w:t>
            </w:r>
          </w:p>
        </w:tc>
        <w:tc>
          <w:tcPr>
            <w:tcW w:w="1080" w:type="dxa"/>
            <w:tcBorders>
              <w:top w:val="nil"/>
              <w:left w:val="nil"/>
              <w:bottom w:val="nil"/>
              <w:right w:val="nil"/>
            </w:tcBorders>
          </w:tcPr>
          <w:p w14:paraId="1FF850F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10.8982  </w:t>
            </w:r>
          </w:p>
        </w:tc>
        <w:tc>
          <w:tcPr>
            <w:tcW w:w="1140" w:type="dxa"/>
            <w:tcBorders>
              <w:top w:val="nil"/>
              <w:left w:val="nil"/>
              <w:bottom w:val="nil"/>
              <w:right w:val="nil"/>
            </w:tcBorders>
          </w:tcPr>
          <w:p w14:paraId="4915A25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19.65283 </w:t>
            </w:r>
          </w:p>
        </w:tc>
        <w:tc>
          <w:tcPr>
            <w:tcW w:w="1148" w:type="dxa"/>
            <w:tcBorders>
              <w:top w:val="nil"/>
              <w:left w:val="nil"/>
              <w:bottom w:val="nil"/>
              <w:right w:val="nil"/>
            </w:tcBorders>
          </w:tcPr>
          <w:p w14:paraId="7D27FE3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33.8871</w:t>
            </w:r>
          </w:p>
        </w:tc>
      </w:tr>
      <w:tr w14:paraId="34366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tcBorders>
              <w:top w:val="nil"/>
              <w:left w:val="nil"/>
              <w:bottom w:val="nil"/>
              <w:right w:val="nil"/>
            </w:tcBorders>
            <w:shd w:val="clear" w:color="auto" w:fill="auto"/>
            <w:vAlign w:val="top"/>
          </w:tcPr>
          <w:p w14:paraId="5B04CAA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4"/>
                <w:szCs w:val="32"/>
                <w:vertAlign w:val="baseline"/>
                <w:lang w:val="en-US" w:eastAsia="zh-CN" w:bidi="ar-SA"/>
              </w:rPr>
            </w:pPr>
            <w:r>
              <w:rPr>
                <w:rFonts w:hint="default" w:ascii="Times New Roman" w:hAnsi="Times New Roman" w:cs="Times New Roman"/>
                <w:sz w:val="24"/>
                <w:szCs w:val="32"/>
                <w:vertAlign w:val="baseline"/>
                <w:lang w:val="en-US" w:eastAsia="zh-CN"/>
              </w:rPr>
              <w:t>Age</w:t>
            </w:r>
          </w:p>
        </w:tc>
        <w:tc>
          <w:tcPr>
            <w:tcW w:w="1125" w:type="dxa"/>
            <w:tcBorders>
              <w:top w:val="nil"/>
              <w:left w:val="nil"/>
              <w:bottom w:val="nil"/>
              <w:right w:val="nil"/>
            </w:tcBorders>
          </w:tcPr>
          <w:p w14:paraId="788810E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4.8070</w:t>
            </w:r>
          </w:p>
        </w:tc>
        <w:tc>
          <w:tcPr>
            <w:tcW w:w="908" w:type="dxa"/>
            <w:tcBorders>
              <w:top w:val="nil"/>
              <w:left w:val="nil"/>
              <w:bottom w:val="nil"/>
              <w:right w:val="nil"/>
            </w:tcBorders>
          </w:tcPr>
          <w:p w14:paraId="725EB51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4.0771</w:t>
            </w:r>
          </w:p>
        </w:tc>
        <w:tc>
          <w:tcPr>
            <w:tcW w:w="1020" w:type="dxa"/>
            <w:tcBorders>
              <w:top w:val="nil"/>
              <w:left w:val="nil"/>
              <w:bottom w:val="nil"/>
              <w:right w:val="nil"/>
            </w:tcBorders>
          </w:tcPr>
          <w:p w14:paraId="39516F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-2.980   </w:t>
            </w:r>
          </w:p>
        </w:tc>
        <w:tc>
          <w:tcPr>
            <w:tcW w:w="1102" w:type="dxa"/>
            <w:tcBorders>
              <w:top w:val="nil"/>
              <w:left w:val="nil"/>
              <w:bottom w:val="nil"/>
              <w:right w:val="nil"/>
            </w:tcBorders>
          </w:tcPr>
          <w:p w14:paraId="6037DCA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2.0484  </w:t>
            </w:r>
          </w:p>
        </w:tc>
        <w:tc>
          <w:tcPr>
            <w:tcW w:w="1080" w:type="dxa"/>
            <w:tcBorders>
              <w:top w:val="nil"/>
              <w:left w:val="nil"/>
              <w:bottom w:val="nil"/>
              <w:right w:val="nil"/>
            </w:tcBorders>
          </w:tcPr>
          <w:p w14:paraId="188BA1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4.6834  </w:t>
            </w:r>
          </w:p>
        </w:tc>
        <w:tc>
          <w:tcPr>
            <w:tcW w:w="1140" w:type="dxa"/>
            <w:tcBorders>
              <w:top w:val="nil"/>
              <w:left w:val="nil"/>
              <w:bottom w:val="nil"/>
              <w:right w:val="nil"/>
            </w:tcBorders>
          </w:tcPr>
          <w:p w14:paraId="0F1AD96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7.329 </w:t>
            </w:r>
          </w:p>
        </w:tc>
        <w:tc>
          <w:tcPr>
            <w:tcW w:w="1148" w:type="dxa"/>
            <w:tcBorders>
              <w:top w:val="nil"/>
              <w:left w:val="nil"/>
              <w:bottom w:val="nil"/>
              <w:right w:val="nil"/>
            </w:tcBorders>
          </w:tcPr>
          <w:p w14:paraId="0DE180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13.6710</w:t>
            </w:r>
          </w:p>
        </w:tc>
      </w:tr>
      <w:tr w14:paraId="33649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tcBorders>
              <w:top w:val="nil"/>
              <w:left w:val="nil"/>
              <w:bottom w:val="nil"/>
              <w:right w:val="nil"/>
            </w:tcBorders>
            <w:shd w:val="clear" w:color="auto" w:fill="auto"/>
            <w:vAlign w:val="top"/>
          </w:tcPr>
          <w:p w14:paraId="6335620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4"/>
                <w:szCs w:val="32"/>
                <w:vertAlign w:val="baseline"/>
                <w:lang w:val="en-US" w:eastAsia="zh-CN" w:bidi="ar-SA"/>
              </w:rPr>
            </w:pPr>
            <w:r>
              <w:rPr>
                <w:rFonts w:hint="default" w:ascii="Times New Roman" w:hAnsi="Times New Roman" w:cs="Times New Roman"/>
                <w:sz w:val="24"/>
                <w:szCs w:val="32"/>
                <w:vertAlign w:val="baseline"/>
                <w:lang w:val="en-US" w:eastAsia="zh-CN"/>
              </w:rPr>
              <w:t>Female ratio</w:t>
            </w:r>
          </w:p>
        </w:tc>
        <w:tc>
          <w:tcPr>
            <w:tcW w:w="1125" w:type="dxa"/>
            <w:tcBorders>
              <w:top w:val="nil"/>
              <w:left w:val="nil"/>
              <w:bottom w:val="nil"/>
              <w:right w:val="nil"/>
            </w:tcBorders>
          </w:tcPr>
          <w:p w14:paraId="73651E1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3.6761   </w:t>
            </w:r>
          </w:p>
        </w:tc>
        <w:tc>
          <w:tcPr>
            <w:tcW w:w="908" w:type="dxa"/>
            <w:tcBorders>
              <w:top w:val="nil"/>
              <w:left w:val="nil"/>
              <w:bottom w:val="nil"/>
              <w:right w:val="nil"/>
            </w:tcBorders>
          </w:tcPr>
          <w:p w14:paraId="1E61EF5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5.434</w:t>
            </w:r>
          </w:p>
        </w:tc>
        <w:tc>
          <w:tcPr>
            <w:tcW w:w="1020" w:type="dxa"/>
            <w:tcBorders>
              <w:top w:val="nil"/>
              <w:left w:val="nil"/>
              <w:bottom w:val="nil"/>
              <w:right w:val="nil"/>
            </w:tcBorders>
          </w:tcPr>
          <w:p w14:paraId="74E2D7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-6.683   </w:t>
            </w:r>
          </w:p>
        </w:tc>
        <w:tc>
          <w:tcPr>
            <w:tcW w:w="1102" w:type="dxa"/>
            <w:tcBorders>
              <w:top w:val="nil"/>
              <w:left w:val="nil"/>
              <w:bottom w:val="nil"/>
              <w:right w:val="nil"/>
            </w:tcBorders>
          </w:tcPr>
          <w:p w14:paraId="1A34D6C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0.1561  </w:t>
            </w:r>
          </w:p>
        </w:tc>
        <w:tc>
          <w:tcPr>
            <w:tcW w:w="1080" w:type="dxa"/>
            <w:tcBorders>
              <w:top w:val="nil"/>
              <w:left w:val="nil"/>
              <w:bottom w:val="nil"/>
              <w:right w:val="nil"/>
            </w:tcBorders>
          </w:tcPr>
          <w:p w14:paraId="6FE837A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3.5517   </w:t>
            </w:r>
          </w:p>
        </w:tc>
        <w:tc>
          <w:tcPr>
            <w:tcW w:w="1140" w:type="dxa"/>
            <w:tcBorders>
              <w:top w:val="nil"/>
              <w:left w:val="nil"/>
              <w:bottom w:val="nil"/>
              <w:right w:val="nil"/>
            </w:tcBorders>
          </w:tcPr>
          <w:p w14:paraId="4534F9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7.0461 </w:t>
            </w:r>
          </w:p>
        </w:tc>
        <w:tc>
          <w:tcPr>
            <w:tcW w:w="1148" w:type="dxa"/>
            <w:tcBorders>
              <w:top w:val="nil"/>
              <w:left w:val="nil"/>
              <w:bottom w:val="nil"/>
              <w:right w:val="nil"/>
            </w:tcBorders>
          </w:tcPr>
          <w:p w14:paraId="5B5E2B2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14.89300</w:t>
            </w:r>
          </w:p>
        </w:tc>
      </w:tr>
      <w:tr w14:paraId="0D339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tcBorders>
              <w:top w:val="nil"/>
              <w:left w:val="nil"/>
              <w:bottom w:val="nil"/>
              <w:right w:val="nil"/>
            </w:tcBorders>
            <w:shd w:val="clear" w:color="auto" w:fill="auto"/>
            <w:vAlign w:val="top"/>
          </w:tcPr>
          <w:p w14:paraId="38F944E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4"/>
                <w:szCs w:val="32"/>
                <w:vertAlign w:val="baseline"/>
                <w:lang w:val="en-US" w:eastAsia="zh-CN" w:bidi="ar-SA"/>
              </w:rPr>
            </w:pPr>
            <w:r>
              <w:rPr>
                <w:rFonts w:hint="default" w:ascii="Times New Roman" w:hAnsi="Times New Roman" w:cs="Times New Roman"/>
                <w:sz w:val="24"/>
                <w:szCs w:val="32"/>
                <w:vertAlign w:val="baseline"/>
                <w:lang w:val="en-US" w:eastAsia="zh-CN"/>
              </w:rPr>
              <w:t>Duration</w:t>
            </w:r>
          </w:p>
        </w:tc>
        <w:tc>
          <w:tcPr>
            <w:tcW w:w="1125" w:type="dxa"/>
            <w:tcBorders>
              <w:top w:val="nil"/>
              <w:left w:val="nil"/>
              <w:bottom w:val="nil"/>
              <w:right w:val="nil"/>
            </w:tcBorders>
          </w:tcPr>
          <w:p w14:paraId="58D1B73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6.7802 </w:t>
            </w:r>
          </w:p>
        </w:tc>
        <w:tc>
          <w:tcPr>
            <w:tcW w:w="908" w:type="dxa"/>
            <w:tcBorders>
              <w:top w:val="nil"/>
              <w:left w:val="nil"/>
              <w:bottom w:val="nil"/>
              <w:right w:val="nil"/>
            </w:tcBorders>
          </w:tcPr>
          <w:p w14:paraId="501F454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10.462</w:t>
            </w:r>
          </w:p>
        </w:tc>
        <w:tc>
          <w:tcPr>
            <w:tcW w:w="1020" w:type="dxa"/>
            <w:tcBorders>
              <w:top w:val="nil"/>
              <w:left w:val="nil"/>
              <w:bottom w:val="nil"/>
              <w:right w:val="nil"/>
            </w:tcBorders>
          </w:tcPr>
          <w:p w14:paraId="1970367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-9.049        </w:t>
            </w:r>
          </w:p>
        </w:tc>
        <w:tc>
          <w:tcPr>
            <w:tcW w:w="1102" w:type="dxa"/>
            <w:tcBorders>
              <w:top w:val="nil"/>
              <w:left w:val="nil"/>
              <w:bottom w:val="nil"/>
              <w:right w:val="nil"/>
            </w:tcBorders>
          </w:tcPr>
          <w:p w14:paraId="6940E65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0.8268</w:t>
            </w:r>
          </w:p>
        </w:tc>
        <w:tc>
          <w:tcPr>
            <w:tcW w:w="1080" w:type="dxa"/>
            <w:tcBorders>
              <w:top w:val="nil"/>
              <w:left w:val="nil"/>
              <w:bottom w:val="nil"/>
              <w:right w:val="nil"/>
            </w:tcBorders>
          </w:tcPr>
          <w:p w14:paraId="081355E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5.2591</w:t>
            </w:r>
          </w:p>
        </w:tc>
        <w:tc>
          <w:tcPr>
            <w:tcW w:w="1140" w:type="dxa"/>
            <w:tcBorders>
              <w:top w:val="nil"/>
              <w:left w:val="nil"/>
              <w:bottom w:val="nil"/>
              <w:right w:val="nil"/>
            </w:tcBorders>
          </w:tcPr>
          <w:p w14:paraId="59486A3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12.2010</w:t>
            </w:r>
          </w:p>
        </w:tc>
        <w:tc>
          <w:tcPr>
            <w:tcW w:w="1148" w:type="dxa"/>
            <w:tcBorders>
              <w:top w:val="nil"/>
              <w:left w:val="nil"/>
              <w:bottom w:val="nil"/>
              <w:right w:val="nil"/>
            </w:tcBorders>
          </w:tcPr>
          <w:p w14:paraId="090B5DB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27.976</w:t>
            </w:r>
          </w:p>
        </w:tc>
      </w:tr>
      <w:tr w14:paraId="3FEA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tcBorders>
              <w:top w:val="nil"/>
              <w:left w:val="nil"/>
              <w:bottom w:val="single" w:color="auto" w:sz="4" w:space="0"/>
              <w:right w:val="nil"/>
            </w:tcBorders>
            <w:shd w:val="clear" w:color="auto" w:fill="auto"/>
            <w:vAlign w:val="top"/>
          </w:tcPr>
          <w:p w14:paraId="7AC0D9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4"/>
                <w:szCs w:val="32"/>
                <w:vertAlign w:val="baseline"/>
                <w:lang w:val="en-US" w:eastAsia="zh-CN" w:bidi="ar-SA"/>
              </w:rPr>
            </w:pPr>
            <w:r>
              <w:rPr>
                <w:rFonts w:hint="default" w:ascii="Times New Roman" w:hAnsi="Times New Roman" w:cs="Times New Roman"/>
                <w:sz w:val="24"/>
                <w:szCs w:val="32"/>
                <w:vertAlign w:val="baseline"/>
                <w:lang w:val="en-US" w:eastAsia="zh-CN"/>
              </w:rPr>
              <w:t>Frequency</w:t>
            </w:r>
          </w:p>
        </w:tc>
        <w:tc>
          <w:tcPr>
            <w:tcW w:w="1125" w:type="dxa"/>
            <w:tcBorders>
              <w:top w:val="nil"/>
              <w:left w:val="nil"/>
              <w:bottom w:val="single" w:color="auto" w:sz="4" w:space="0"/>
              <w:right w:val="nil"/>
            </w:tcBorders>
          </w:tcPr>
          <w:p w14:paraId="58E3DF0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27.3118 </w:t>
            </w:r>
          </w:p>
        </w:tc>
        <w:tc>
          <w:tcPr>
            <w:tcW w:w="908" w:type="dxa"/>
            <w:tcBorders>
              <w:top w:val="nil"/>
              <w:left w:val="nil"/>
              <w:bottom w:val="single" w:color="auto" w:sz="4" w:space="0"/>
              <w:right w:val="nil"/>
            </w:tcBorders>
          </w:tcPr>
          <w:p w14:paraId="0D6512E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39.928</w:t>
            </w:r>
          </w:p>
        </w:tc>
        <w:tc>
          <w:tcPr>
            <w:tcW w:w="1020" w:type="dxa"/>
            <w:tcBorders>
              <w:top w:val="nil"/>
              <w:left w:val="nil"/>
              <w:bottom w:val="single" w:color="auto" w:sz="4" w:space="0"/>
              <w:right w:val="nil"/>
            </w:tcBorders>
          </w:tcPr>
          <w:p w14:paraId="18B11A0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-10.274  </w:t>
            </w:r>
          </w:p>
        </w:tc>
        <w:tc>
          <w:tcPr>
            <w:tcW w:w="1102" w:type="dxa"/>
            <w:tcBorders>
              <w:top w:val="nil"/>
              <w:left w:val="nil"/>
              <w:bottom w:val="single" w:color="auto" w:sz="4" w:space="0"/>
              <w:right w:val="nil"/>
            </w:tcBorders>
          </w:tcPr>
          <w:p w14:paraId="77C75B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-1.0061  </w:t>
            </w:r>
          </w:p>
        </w:tc>
        <w:tc>
          <w:tcPr>
            <w:tcW w:w="1080" w:type="dxa"/>
            <w:tcBorders>
              <w:top w:val="nil"/>
              <w:left w:val="nil"/>
              <w:bottom w:val="single" w:color="auto" w:sz="4" w:space="0"/>
              <w:right w:val="nil"/>
            </w:tcBorders>
          </w:tcPr>
          <w:p w14:paraId="6EB4E58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7.4733 </w:t>
            </w:r>
          </w:p>
        </w:tc>
        <w:tc>
          <w:tcPr>
            <w:tcW w:w="1140" w:type="dxa"/>
            <w:tcBorders>
              <w:top w:val="nil"/>
              <w:left w:val="nil"/>
              <w:bottom w:val="single" w:color="auto" w:sz="4" w:space="0"/>
              <w:right w:val="nil"/>
            </w:tcBorders>
          </w:tcPr>
          <w:p w14:paraId="36BC0D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 xml:space="preserve">43.7895 </w:t>
            </w:r>
          </w:p>
        </w:tc>
        <w:tc>
          <w:tcPr>
            <w:tcW w:w="1148" w:type="dxa"/>
            <w:tcBorders>
              <w:top w:val="nil"/>
              <w:left w:val="nil"/>
              <w:bottom w:val="single" w:color="auto" w:sz="4" w:space="0"/>
              <w:right w:val="nil"/>
            </w:tcBorders>
          </w:tcPr>
          <w:p w14:paraId="1EEDB04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vertAlign w:val="baseline"/>
                <w:lang w:val="en-US" w:eastAsia="zh-CN"/>
              </w:rPr>
            </w:pPr>
            <w:r>
              <w:rPr>
                <w:rFonts w:hint="default" w:ascii="Times New Roman" w:hAnsi="Times New Roman" w:cs="Times New Roman"/>
                <w:sz w:val="24"/>
                <w:szCs w:val="32"/>
                <w:vertAlign w:val="baseline"/>
                <w:lang w:val="en-US" w:eastAsia="zh-CN"/>
              </w:rPr>
              <w:t>109.0319</w:t>
            </w:r>
          </w:p>
        </w:tc>
      </w:tr>
    </w:tbl>
    <w:p w14:paraId="3E594012">
      <w:pPr>
        <w:rPr>
          <w:rFonts w:hint="default" w:ascii="Times New Roman" w:hAnsi="Times New Roman" w:cs="Times New Roman"/>
          <w:sz w:val="24"/>
          <w:szCs w:val="24"/>
          <w:vertAlign w:val="baseline"/>
          <w:lang w:val="en-US" w:eastAsia="zh-CN"/>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cs="Times New Roman"/>
          <w:sz w:val="24"/>
          <w:szCs w:val="24"/>
          <w:vertAlign w:val="baseline"/>
          <w:lang w:val="en-US" w:eastAsia="zh-CN"/>
        </w:rPr>
        <w:br w:type="page"/>
      </w:r>
    </w:p>
    <w:p w14:paraId="54080303">
      <w:pPr>
        <w:rPr>
          <w:rFonts w:hint="default" w:ascii="Times New Roman" w:hAnsi="Times New Roman" w:cs="Times New Roman"/>
          <w:b/>
          <w:bCs/>
          <w:sz w:val="28"/>
          <w:szCs w:val="36"/>
          <w:lang w:val="en-US" w:eastAsia="zh-CN"/>
        </w:rPr>
      </w:pPr>
      <w:r>
        <w:rPr>
          <w:rFonts w:hint="default" w:ascii="Times New Roman" w:hAnsi="Times New Roman" w:cs="Times New Roman"/>
          <w:b/>
          <w:bCs/>
          <w:sz w:val="28"/>
          <w:szCs w:val="36"/>
          <w:lang w:val="en-US" w:eastAsia="zh-CN"/>
        </w:rPr>
        <w:t>Supplementary Table 6. CINeMA confidence rating</w:t>
      </w:r>
    </w:p>
    <w:p w14:paraId="66F94B6A">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CINeMA results for SBP</w:t>
      </w:r>
    </w:p>
    <w:tbl>
      <w:tblPr>
        <w:tblStyle w:val="6"/>
        <w:tblW w:w="1407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Layout w:type="fixed"/>
        <w:tblCellMar>
          <w:top w:w="0" w:type="dxa"/>
          <w:left w:w="0" w:type="dxa"/>
          <w:bottom w:w="0" w:type="dxa"/>
          <w:right w:w="0" w:type="dxa"/>
        </w:tblCellMar>
      </w:tblPr>
      <w:tblGrid>
        <w:gridCol w:w="1264"/>
        <w:gridCol w:w="1177"/>
        <w:gridCol w:w="1283"/>
        <w:gridCol w:w="997"/>
        <w:gridCol w:w="1230"/>
        <w:gridCol w:w="1133"/>
        <w:gridCol w:w="1380"/>
        <w:gridCol w:w="1192"/>
        <w:gridCol w:w="1553"/>
        <w:gridCol w:w="2869"/>
      </w:tblGrid>
      <w:tr w14:paraId="3241B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CellMar>
            <w:top w:w="0" w:type="dxa"/>
            <w:left w:w="0" w:type="dxa"/>
            <w:bottom w:w="0" w:type="dxa"/>
            <w:right w:w="0" w:type="dxa"/>
          </w:tblCellMar>
        </w:tblPrEx>
        <w:trPr>
          <w:trHeight w:val="23" w:hRule="atLeast"/>
        </w:trPr>
        <w:tc>
          <w:tcPr>
            <w:tcW w:w="1264" w:type="dxa"/>
            <w:tcBorders>
              <w:top w:val="nil"/>
              <w:bottom w:val="single" w:color="DDDDDD" w:sz="6" w:space="0"/>
            </w:tcBorders>
            <w:shd w:val="clear" w:color="auto" w:fill="FAFAFA"/>
            <w:tcMar>
              <w:top w:w="60" w:type="dxa"/>
              <w:left w:w="60" w:type="dxa"/>
              <w:bottom w:w="60" w:type="dxa"/>
              <w:right w:w="60" w:type="dxa"/>
            </w:tcMar>
            <w:vAlign w:val="center"/>
          </w:tcPr>
          <w:p w14:paraId="1D5E6DF4">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Comparison</w:t>
            </w:r>
          </w:p>
        </w:tc>
        <w:tc>
          <w:tcPr>
            <w:tcW w:w="1177" w:type="dxa"/>
            <w:tcBorders>
              <w:top w:val="nil"/>
              <w:bottom w:val="single" w:color="DDDDDD" w:sz="6" w:space="0"/>
            </w:tcBorders>
            <w:shd w:val="clear" w:color="auto" w:fill="FAFAFA"/>
            <w:tcMar>
              <w:top w:w="60" w:type="dxa"/>
              <w:left w:w="60" w:type="dxa"/>
              <w:bottom w:w="60" w:type="dxa"/>
              <w:right w:w="60" w:type="dxa"/>
            </w:tcMar>
            <w:vAlign w:val="center"/>
          </w:tcPr>
          <w:p w14:paraId="1E26B799">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Number of Studies</w:t>
            </w:r>
          </w:p>
        </w:tc>
        <w:tc>
          <w:tcPr>
            <w:tcW w:w="1283" w:type="dxa"/>
            <w:tcBorders>
              <w:top w:val="nil"/>
              <w:bottom w:val="single" w:color="DDDDDD" w:sz="6" w:space="0"/>
            </w:tcBorders>
            <w:shd w:val="clear" w:color="auto" w:fill="FAFAFA"/>
            <w:tcMar>
              <w:top w:w="60" w:type="dxa"/>
              <w:left w:w="60" w:type="dxa"/>
              <w:bottom w:w="60" w:type="dxa"/>
              <w:right w:w="60" w:type="dxa"/>
            </w:tcMar>
            <w:vAlign w:val="center"/>
          </w:tcPr>
          <w:p w14:paraId="6901271A">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Within-study bias</w:t>
            </w:r>
          </w:p>
        </w:tc>
        <w:tc>
          <w:tcPr>
            <w:tcW w:w="997" w:type="dxa"/>
            <w:tcBorders>
              <w:top w:val="nil"/>
              <w:bottom w:val="single" w:color="DDDDDD" w:sz="6" w:space="0"/>
            </w:tcBorders>
            <w:shd w:val="clear" w:color="auto" w:fill="FAFAFA"/>
            <w:tcMar>
              <w:top w:w="60" w:type="dxa"/>
              <w:left w:w="60" w:type="dxa"/>
              <w:bottom w:w="60" w:type="dxa"/>
              <w:right w:w="60" w:type="dxa"/>
            </w:tcMar>
            <w:vAlign w:val="center"/>
          </w:tcPr>
          <w:p w14:paraId="4C9E616D">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Reporting bias</w:t>
            </w:r>
          </w:p>
        </w:tc>
        <w:tc>
          <w:tcPr>
            <w:tcW w:w="1230" w:type="dxa"/>
            <w:tcBorders>
              <w:top w:val="nil"/>
              <w:bottom w:val="single" w:color="DDDDDD" w:sz="6" w:space="0"/>
            </w:tcBorders>
            <w:shd w:val="clear" w:color="auto" w:fill="FAFAFA"/>
            <w:tcMar>
              <w:top w:w="60" w:type="dxa"/>
              <w:left w:w="60" w:type="dxa"/>
              <w:bottom w:w="60" w:type="dxa"/>
              <w:right w:w="60" w:type="dxa"/>
            </w:tcMar>
            <w:vAlign w:val="center"/>
          </w:tcPr>
          <w:p w14:paraId="56E8FC21">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Indirectness</w:t>
            </w:r>
          </w:p>
        </w:tc>
        <w:tc>
          <w:tcPr>
            <w:tcW w:w="1133" w:type="dxa"/>
            <w:tcBorders>
              <w:top w:val="nil"/>
              <w:bottom w:val="single" w:color="DDDDDD" w:sz="6" w:space="0"/>
            </w:tcBorders>
            <w:shd w:val="clear" w:color="auto" w:fill="FAFAFA"/>
            <w:tcMar>
              <w:top w:w="60" w:type="dxa"/>
              <w:left w:w="60" w:type="dxa"/>
              <w:bottom w:w="60" w:type="dxa"/>
              <w:right w:w="60" w:type="dxa"/>
            </w:tcMar>
            <w:vAlign w:val="center"/>
          </w:tcPr>
          <w:p w14:paraId="3216D67F">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Imprecision</w:t>
            </w:r>
          </w:p>
        </w:tc>
        <w:tc>
          <w:tcPr>
            <w:tcW w:w="1380" w:type="dxa"/>
            <w:tcBorders>
              <w:top w:val="nil"/>
              <w:bottom w:val="single" w:color="DDDDDD" w:sz="6" w:space="0"/>
            </w:tcBorders>
            <w:shd w:val="clear" w:color="auto" w:fill="FAFAFA"/>
            <w:tcMar>
              <w:top w:w="60" w:type="dxa"/>
              <w:left w:w="60" w:type="dxa"/>
              <w:bottom w:w="60" w:type="dxa"/>
              <w:right w:w="60" w:type="dxa"/>
            </w:tcMar>
            <w:vAlign w:val="center"/>
          </w:tcPr>
          <w:p w14:paraId="22863AFE">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Heterogeneity</w:t>
            </w:r>
          </w:p>
        </w:tc>
        <w:tc>
          <w:tcPr>
            <w:tcW w:w="1192" w:type="dxa"/>
            <w:tcBorders>
              <w:top w:val="nil"/>
              <w:bottom w:val="single" w:color="DDDDDD" w:sz="6" w:space="0"/>
            </w:tcBorders>
            <w:shd w:val="clear" w:color="auto" w:fill="FAFAFA"/>
            <w:tcMar>
              <w:top w:w="60" w:type="dxa"/>
              <w:left w:w="60" w:type="dxa"/>
              <w:bottom w:w="60" w:type="dxa"/>
              <w:right w:w="60" w:type="dxa"/>
            </w:tcMar>
            <w:vAlign w:val="center"/>
          </w:tcPr>
          <w:p w14:paraId="4FA9C80A">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Incoherence</w:t>
            </w:r>
          </w:p>
        </w:tc>
        <w:tc>
          <w:tcPr>
            <w:tcW w:w="1553" w:type="dxa"/>
            <w:tcBorders>
              <w:top w:val="nil"/>
              <w:bottom w:val="single" w:color="DDDDDD" w:sz="6" w:space="0"/>
            </w:tcBorders>
            <w:shd w:val="clear" w:color="auto" w:fill="FAFAFA"/>
            <w:tcMar>
              <w:top w:w="60" w:type="dxa"/>
              <w:left w:w="60" w:type="dxa"/>
              <w:bottom w:w="60" w:type="dxa"/>
              <w:right w:w="60" w:type="dxa"/>
            </w:tcMar>
            <w:vAlign w:val="center"/>
          </w:tcPr>
          <w:p w14:paraId="4AD452E8">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Confidence rating</w:t>
            </w:r>
          </w:p>
        </w:tc>
        <w:tc>
          <w:tcPr>
            <w:tcW w:w="2869" w:type="dxa"/>
            <w:tcBorders>
              <w:top w:val="nil"/>
              <w:bottom w:val="single" w:color="DDDDDD" w:sz="6" w:space="0"/>
            </w:tcBorders>
            <w:shd w:val="clear" w:color="auto" w:fill="FAFAFA"/>
            <w:tcMar>
              <w:top w:w="60" w:type="dxa"/>
              <w:left w:w="60" w:type="dxa"/>
              <w:bottom w:w="60" w:type="dxa"/>
              <w:right w:w="60" w:type="dxa"/>
            </w:tcMar>
            <w:vAlign w:val="center"/>
          </w:tcPr>
          <w:p w14:paraId="6E8FB919">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Reason(s) for downgrading</w:t>
            </w:r>
          </w:p>
        </w:tc>
      </w:tr>
      <w:tr w14:paraId="0C796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CellMar>
            <w:top w:w="0" w:type="dxa"/>
            <w:left w:w="0" w:type="dxa"/>
            <w:bottom w:w="0" w:type="dxa"/>
            <w:right w:w="0" w:type="dxa"/>
          </w:tblCellMar>
        </w:tblPrEx>
        <w:trPr>
          <w:trHeight w:val="23" w:hRule="atLeast"/>
        </w:trPr>
        <w:tc>
          <w:tcPr>
            <w:tcW w:w="11209" w:type="dxa"/>
            <w:gridSpan w:val="9"/>
            <w:tcBorders>
              <w:top w:val="single" w:color="DDDDDD" w:sz="2" w:space="0"/>
            </w:tcBorders>
            <w:shd w:val="clear" w:color="auto" w:fill="FAFAFA"/>
            <w:tcMar>
              <w:top w:w="60" w:type="dxa"/>
              <w:left w:w="60" w:type="dxa"/>
              <w:bottom w:w="60" w:type="dxa"/>
              <w:right w:w="60" w:type="dxa"/>
            </w:tcMar>
            <w:vAlign w:val="center"/>
          </w:tcPr>
          <w:p w14:paraId="3D97394E">
            <w:pPr>
              <w:pStyle w:val="2"/>
              <w:keepNext w:val="0"/>
              <w:keepLines w:val="0"/>
              <w:widowControl/>
              <w:suppressLineNumbers w:val="0"/>
              <w:spacing w:before="75" w:beforeAutospacing="0" w:after="75" w:afterAutospacing="0" w:line="8" w:lineRule="atLeast"/>
              <w:jc w:val="center"/>
              <w:rPr>
                <w:rFonts w:hint="default" w:ascii="Times New Roman" w:hAnsi="Times New Roman" w:cs="Times New Roman"/>
                <w:b w:val="0"/>
                <w:bCs w:val="0"/>
                <w:sz w:val="21"/>
                <w:szCs w:val="21"/>
              </w:rPr>
            </w:pPr>
            <w:r>
              <w:rPr>
                <w:rFonts w:hint="default" w:ascii="Times New Roman" w:hAnsi="Times New Roman" w:cs="Times New Roman"/>
                <w:b w:val="0"/>
                <w:bCs w:val="0"/>
                <w:i w:val="0"/>
                <w:iCs w:val="0"/>
                <w:caps w:val="0"/>
                <w:color w:val="333333"/>
                <w:spacing w:val="0"/>
                <w:sz w:val="21"/>
                <w:szCs w:val="21"/>
              </w:rPr>
              <w:t>Mixed evidence</w:t>
            </w:r>
          </w:p>
        </w:tc>
        <w:tc>
          <w:tcPr>
            <w:tcW w:w="2869" w:type="dxa"/>
            <w:shd w:val="clear" w:color="auto" w:fill="FAFAFA"/>
            <w:vAlign w:val="center"/>
          </w:tcPr>
          <w:p w14:paraId="55E9C416">
            <w:pPr>
              <w:jc w:val="center"/>
              <w:rPr>
                <w:rFonts w:hint="default" w:ascii="Times New Roman" w:hAnsi="Times New Roman" w:eastAsia="sans-serif" w:cs="Times New Roman"/>
                <w:b w:val="0"/>
                <w:bCs w:val="0"/>
                <w:i w:val="0"/>
                <w:iCs w:val="0"/>
                <w:caps w:val="0"/>
                <w:color w:val="333333"/>
                <w:spacing w:val="0"/>
                <w:sz w:val="21"/>
                <w:szCs w:val="21"/>
              </w:rPr>
            </w:pPr>
          </w:p>
        </w:tc>
      </w:tr>
      <w:tr w14:paraId="04446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720C828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ATRT vs MICT</w:t>
            </w:r>
          </w:p>
        </w:tc>
        <w:tc>
          <w:tcPr>
            <w:tcW w:w="1177" w:type="dxa"/>
            <w:tcBorders>
              <w:top w:val="single" w:color="DDDDDD" w:sz="2" w:space="0"/>
            </w:tcBorders>
            <w:shd w:val="clear" w:color="auto" w:fill="FAFAFA"/>
            <w:tcMar>
              <w:top w:w="60" w:type="dxa"/>
              <w:left w:w="60" w:type="dxa"/>
              <w:bottom w:w="60" w:type="dxa"/>
              <w:right w:w="60" w:type="dxa"/>
            </w:tcMar>
            <w:vAlign w:val="center"/>
          </w:tcPr>
          <w:p w14:paraId="3388878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1</w:t>
            </w:r>
          </w:p>
        </w:tc>
        <w:tc>
          <w:tcPr>
            <w:tcW w:w="1283" w:type="dxa"/>
            <w:tcBorders>
              <w:top w:val="single" w:color="DDDDDD" w:sz="2" w:space="0"/>
            </w:tcBorders>
            <w:shd w:val="clear" w:color="auto" w:fill="02C000"/>
            <w:tcMar>
              <w:top w:w="60" w:type="dxa"/>
              <w:left w:w="60" w:type="dxa"/>
              <w:bottom w:w="60" w:type="dxa"/>
              <w:right w:w="60" w:type="dxa"/>
            </w:tcMar>
            <w:vAlign w:val="center"/>
          </w:tcPr>
          <w:p w14:paraId="250AC49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517726D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2A1A367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E0DF02"/>
            <w:tcMar>
              <w:top w:w="60" w:type="dxa"/>
              <w:left w:w="60" w:type="dxa"/>
              <w:bottom w:w="60" w:type="dxa"/>
              <w:right w:w="60" w:type="dxa"/>
            </w:tcMar>
            <w:vAlign w:val="center"/>
          </w:tcPr>
          <w:p w14:paraId="03F0F30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0" w:type="dxa"/>
            <w:tcBorders>
              <w:top w:val="single" w:color="DDDDDD" w:sz="2" w:space="0"/>
            </w:tcBorders>
            <w:shd w:val="clear" w:color="auto" w:fill="E0DF02"/>
            <w:tcMar>
              <w:top w:w="60" w:type="dxa"/>
              <w:left w:w="60" w:type="dxa"/>
              <w:bottom w:w="60" w:type="dxa"/>
              <w:right w:w="60" w:type="dxa"/>
            </w:tcMar>
            <w:vAlign w:val="center"/>
          </w:tcPr>
          <w:p w14:paraId="2F2B5D4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7A17FD5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10D8DF8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5A44425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Imprecision | Heterogeneity |</w:t>
            </w:r>
          </w:p>
        </w:tc>
      </w:tr>
      <w:tr w14:paraId="52191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5B01A1C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ATRT vs RT</w:t>
            </w:r>
          </w:p>
        </w:tc>
        <w:tc>
          <w:tcPr>
            <w:tcW w:w="1177" w:type="dxa"/>
            <w:tcBorders>
              <w:top w:val="single" w:color="DDDDDD" w:sz="2" w:space="0"/>
            </w:tcBorders>
            <w:shd w:val="clear" w:color="auto" w:fill="FAFAFA"/>
            <w:tcMar>
              <w:top w:w="60" w:type="dxa"/>
              <w:left w:w="60" w:type="dxa"/>
              <w:bottom w:w="60" w:type="dxa"/>
              <w:right w:w="60" w:type="dxa"/>
            </w:tcMar>
            <w:vAlign w:val="center"/>
          </w:tcPr>
          <w:p w14:paraId="2C0CE30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1</w:t>
            </w:r>
          </w:p>
        </w:tc>
        <w:tc>
          <w:tcPr>
            <w:tcW w:w="1283" w:type="dxa"/>
            <w:tcBorders>
              <w:top w:val="single" w:color="DDDDDD" w:sz="2" w:space="0"/>
            </w:tcBorders>
            <w:shd w:val="clear" w:color="auto" w:fill="02C000"/>
            <w:tcMar>
              <w:top w:w="60" w:type="dxa"/>
              <w:left w:w="60" w:type="dxa"/>
              <w:bottom w:w="60" w:type="dxa"/>
              <w:right w:w="60" w:type="dxa"/>
            </w:tcMar>
            <w:vAlign w:val="center"/>
          </w:tcPr>
          <w:p w14:paraId="103963A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60874DD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54C6EF6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E0DF02"/>
            <w:tcMar>
              <w:top w:w="60" w:type="dxa"/>
              <w:left w:w="60" w:type="dxa"/>
              <w:bottom w:w="60" w:type="dxa"/>
              <w:right w:w="60" w:type="dxa"/>
            </w:tcMar>
            <w:vAlign w:val="center"/>
          </w:tcPr>
          <w:p w14:paraId="27FBDB3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0" w:type="dxa"/>
            <w:tcBorders>
              <w:top w:val="single" w:color="DDDDDD" w:sz="2" w:space="0"/>
            </w:tcBorders>
            <w:shd w:val="clear" w:color="auto" w:fill="E0DF02"/>
            <w:tcMar>
              <w:top w:w="60" w:type="dxa"/>
              <w:left w:w="60" w:type="dxa"/>
              <w:bottom w:w="60" w:type="dxa"/>
              <w:right w:w="60" w:type="dxa"/>
            </w:tcMar>
            <w:vAlign w:val="center"/>
          </w:tcPr>
          <w:p w14:paraId="4AB2CF3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92" w:type="dxa"/>
            <w:tcBorders>
              <w:top w:val="single" w:color="DDDDDD" w:sz="2" w:space="0"/>
            </w:tcBorders>
            <w:shd w:val="clear" w:color="auto" w:fill="C00000"/>
            <w:tcMar>
              <w:top w:w="60" w:type="dxa"/>
              <w:left w:w="60" w:type="dxa"/>
              <w:bottom w:w="60" w:type="dxa"/>
              <w:right w:w="60" w:type="dxa"/>
            </w:tcMar>
            <w:vAlign w:val="center"/>
          </w:tcPr>
          <w:p w14:paraId="15BA2A7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10E999A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1508190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Imprecision | Heterogeneity | Incoherence |</w:t>
            </w:r>
          </w:p>
        </w:tc>
      </w:tr>
      <w:tr w14:paraId="307E4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3079516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ATRT vs control</w:t>
            </w:r>
          </w:p>
        </w:tc>
        <w:tc>
          <w:tcPr>
            <w:tcW w:w="1177" w:type="dxa"/>
            <w:tcBorders>
              <w:top w:val="single" w:color="DDDDDD" w:sz="2" w:space="0"/>
            </w:tcBorders>
            <w:shd w:val="clear" w:color="auto" w:fill="FAFAFA"/>
            <w:tcMar>
              <w:top w:w="60" w:type="dxa"/>
              <w:left w:w="60" w:type="dxa"/>
              <w:bottom w:w="60" w:type="dxa"/>
              <w:right w:w="60" w:type="dxa"/>
            </w:tcMar>
            <w:vAlign w:val="center"/>
          </w:tcPr>
          <w:p w14:paraId="790176F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2</w:t>
            </w:r>
          </w:p>
        </w:tc>
        <w:tc>
          <w:tcPr>
            <w:tcW w:w="1283" w:type="dxa"/>
            <w:tcBorders>
              <w:top w:val="single" w:color="DDDDDD" w:sz="2" w:space="0"/>
            </w:tcBorders>
            <w:shd w:val="clear" w:color="auto" w:fill="02C000"/>
            <w:tcMar>
              <w:top w:w="60" w:type="dxa"/>
              <w:left w:w="60" w:type="dxa"/>
              <w:bottom w:w="60" w:type="dxa"/>
              <w:right w:w="60" w:type="dxa"/>
            </w:tcMar>
            <w:vAlign w:val="center"/>
          </w:tcPr>
          <w:p w14:paraId="45ADFBB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118D774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7C5D349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02C000"/>
            <w:tcMar>
              <w:top w:w="60" w:type="dxa"/>
              <w:left w:w="60" w:type="dxa"/>
              <w:bottom w:w="60" w:type="dxa"/>
              <w:right w:w="60" w:type="dxa"/>
            </w:tcMar>
            <w:vAlign w:val="center"/>
          </w:tcPr>
          <w:p w14:paraId="1370A53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80" w:type="dxa"/>
            <w:tcBorders>
              <w:top w:val="single" w:color="DDDDDD" w:sz="2" w:space="0"/>
            </w:tcBorders>
            <w:shd w:val="clear" w:color="auto" w:fill="E0DF02"/>
            <w:tcMar>
              <w:top w:w="60" w:type="dxa"/>
              <w:left w:w="60" w:type="dxa"/>
              <w:bottom w:w="60" w:type="dxa"/>
              <w:right w:w="60" w:type="dxa"/>
            </w:tcMar>
            <w:vAlign w:val="center"/>
          </w:tcPr>
          <w:p w14:paraId="4991687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3CBCF18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47CC8B2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cyan"/>
                <w:bdr w:val="single" w:color="0C8CE7" w:sz="2" w:space="0"/>
                <w:shd w:val="clear" w:fill="FFFFFF"/>
                <w:lang w:val="en-US" w:eastAsia="zh-CN" w:bidi="ar"/>
              </w:rPr>
              <w:t>Moderate</w:t>
            </w:r>
          </w:p>
        </w:tc>
        <w:tc>
          <w:tcPr>
            <w:tcW w:w="2869" w:type="dxa"/>
            <w:tcBorders>
              <w:top w:val="single" w:color="DDDDDD" w:sz="2" w:space="0"/>
            </w:tcBorders>
            <w:shd w:val="clear" w:color="auto" w:fill="FAFAFA"/>
            <w:tcMar>
              <w:top w:w="60" w:type="dxa"/>
              <w:left w:w="60" w:type="dxa"/>
              <w:bottom w:w="60" w:type="dxa"/>
              <w:right w:w="60" w:type="dxa"/>
            </w:tcMar>
            <w:vAlign w:val="center"/>
          </w:tcPr>
          <w:p w14:paraId="3F52C3E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Heterogeneity |</w:t>
            </w:r>
          </w:p>
        </w:tc>
      </w:tr>
      <w:tr w14:paraId="0DB7E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0BF2E25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HIIT vs MICT</w:t>
            </w:r>
          </w:p>
        </w:tc>
        <w:tc>
          <w:tcPr>
            <w:tcW w:w="1177" w:type="dxa"/>
            <w:tcBorders>
              <w:top w:val="single" w:color="DDDDDD" w:sz="2" w:space="0"/>
            </w:tcBorders>
            <w:shd w:val="clear" w:color="auto" w:fill="FAFAFA"/>
            <w:tcMar>
              <w:top w:w="60" w:type="dxa"/>
              <w:left w:w="60" w:type="dxa"/>
              <w:bottom w:w="60" w:type="dxa"/>
              <w:right w:w="60" w:type="dxa"/>
            </w:tcMar>
            <w:vAlign w:val="center"/>
          </w:tcPr>
          <w:p w14:paraId="23A01D0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1</w:t>
            </w:r>
          </w:p>
        </w:tc>
        <w:tc>
          <w:tcPr>
            <w:tcW w:w="1283" w:type="dxa"/>
            <w:tcBorders>
              <w:top w:val="single" w:color="DDDDDD" w:sz="2" w:space="0"/>
            </w:tcBorders>
            <w:shd w:val="clear" w:color="auto" w:fill="E0DF02"/>
            <w:tcMar>
              <w:top w:w="60" w:type="dxa"/>
              <w:left w:w="60" w:type="dxa"/>
              <w:bottom w:w="60" w:type="dxa"/>
              <w:right w:w="60" w:type="dxa"/>
            </w:tcMar>
            <w:vAlign w:val="center"/>
          </w:tcPr>
          <w:p w14:paraId="2682F50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549BD2E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1D315F3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C00000"/>
            <w:tcMar>
              <w:top w:w="60" w:type="dxa"/>
              <w:left w:w="60" w:type="dxa"/>
              <w:bottom w:w="60" w:type="dxa"/>
              <w:right w:w="60" w:type="dxa"/>
            </w:tcMar>
            <w:vAlign w:val="center"/>
          </w:tcPr>
          <w:p w14:paraId="0D8F82C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w:t>
            </w:r>
          </w:p>
        </w:tc>
        <w:tc>
          <w:tcPr>
            <w:tcW w:w="1380" w:type="dxa"/>
            <w:tcBorders>
              <w:top w:val="single" w:color="DDDDDD" w:sz="2" w:space="0"/>
            </w:tcBorders>
            <w:shd w:val="clear" w:color="auto" w:fill="02C000"/>
            <w:tcMar>
              <w:top w:w="60" w:type="dxa"/>
              <w:left w:w="60" w:type="dxa"/>
              <w:bottom w:w="60" w:type="dxa"/>
              <w:right w:w="60" w:type="dxa"/>
            </w:tcMar>
            <w:vAlign w:val="center"/>
          </w:tcPr>
          <w:p w14:paraId="59AEF2A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4E03795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0234C55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0B6767B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w:t>
            </w:r>
          </w:p>
        </w:tc>
      </w:tr>
      <w:tr w14:paraId="529C0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7DA28F9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HIIT vs control</w:t>
            </w:r>
          </w:p>
        </w:tc>
        <w:tc>
          <w:tcPr>
            <w:tcW w:w="1177" w:type="dxa"/>
            <w:tcBorders>
              <w:top w:val="single" w:color="DDDDDD" w:sz="2" w:space="0"/>
            </w:tcBorders>
            <w:shd w:val="clear" w:color="auto" w:fill="FAFAFA"/>
            <w:tcMar>
              <w:top w:w="60" w:type="dxa"/>
              <w:left w:w="60" w:type="dxa"/>
              <w:bottom w:w="60" w:type="dxa"/>
              <w:right w:w="60" w:type="dxa"/>
            </w:tcMar>
            <w:vAlign w:val="center"/>
          </w:tcPr>
          <w:p w14:paraId="1C65247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1</w:t>
            </w:r>
          </w:p>
        </w:tc>
        <w:tc>
          <w:tcPr>
            <w:tcW w:w="1283" w:type="dxa"/>
            <w:tcBorders>
              <w:top w:val="single" w:color="DDDDDD" w:sz="2" w:space="0"/>
            </w:tcBorders>
            <w:shd w:val="clear" w:color="auto" w:fill="E0DF02"/>
            <w:tcMar>
              <w:top w:w="60" w:type="dxa"/>
              <w:left w:w="60" w:type="dxa"/>
              <w:bottom w:w="60" w:type="dxa"/>
              <w:right w:w="60" w:type="dxa"/>
            </w:tcMar>
            <w:vAlign w:val="center"/>
          </w:tcPr>
          <w:p w14:paraId="53BB079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65752D0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61FCA7A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E0DF02"/>
            <w:tcMar>
              <w:top w:w="60" w:type="dxa"/>
              <w:left w:w="60" w:type="dxa"/>
              <w:bottom w:w="60" w:type="dxa"/>
              <w:right w:w="60" w:type="dxa"/>
            </w:tcMar>
            <w:vAlign w:val="center"/>
          </w:tcPr>
          <w:p w14:paraId="434FFB7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0" w:type="dxa"/>
            <w:tcBorders>
              <w:top w:val="single" w:color="DDDDDD" w:sz="2" w:space="0"/>
            </w:tcBorders>
            <w:shd w:val="clear" w:color="auto" w:fill="02C000"/>
            <w:tcMar>
              <w:top w:w="60" w:type="dxa"/>
              <w:left w:w="60" w:type="dxa"/>
              <w:bottom w:w="60" w:type="dxa"/>
              <w:right w:w="60" w:type="dxa"/>
            </w:tcMar>
            <w:vAlign w:val="center"/>
          </w:tcPr>
          <w:p w14:paraId="1FC0838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06118DB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03E499F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7BED76A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w:t>
            </w:r>
          </w:p>
        </w:tc>
      </w:tr>
      <w:tr w14:paraId="38645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0F877A2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IET vs control</w:t>
            </w:r>
          </w:p>
        </w:tc>
        <w:tc>
          <w:tcPr>
            <w:tcW w:w="1177" w:type="dxa"/>
            <w:tcBorders>
              <w:top w:val="single" w:color="DDDDDD" w:sz="2" w:space="0"/>
            </w:tcBorders>
            <w:shd w:val="clear" w:color="auto" w:fill="FAFAFA"/>
            <w:tcMar>
              <w:top w:w="60" w:type="dxa"/>
              <w:left w:w="60" w:type="dxa"/>
              <w:bottom w:w="60" w:type="dxa"/>
              <w:right w:w="60" w:type="dxa"/>
            </w:tcMar>
            <w:vAlign w:val="center"/>
          </w:tcPr>
          <w:p w14:paraId="0667070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3</w:t>
            </w:r>
          </w:p>
        </w:tc>
        <w:tc>
          <w:tcPr>
            <w:tcW w:w="1283" w:type="dxa"/>
            <w:tcBorders>
              <w:top w:val="single" w:color="DDDDDD" w:sz="2" w:space="0"/>
            </w:tcBorders>
            <w:shd w:val="clear" w:color="auto" w:fill="02C000"/>
            <w:tcMar>
              <w:top w:w="60" w:type="dxa"/>
              <w:left w:w="60" w:type="dxa"/>
              <w:bottom w:w="60" w:type="dxa"/>
              <w:right w:w="60" w:type="dxa"/>
            </w:tcMar>
            <w:vAlign w:val="center"/>
          </w:tcPr>
          <w:p w14:paraId="115B1C8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56DB9E4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5CDFB81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02C000"/>
            <w:tcMar>
              <w:top w:w="60" w:type="dxa"/>
              <w:left w:w="60" w:type="dxa"/>
              <w:bottom w:w="60" w:type="dxa"/>
              <w:right w:w="60" w:type="dxa"/>
            </w:tcMar>
            <w:vAlign w:val="center"/>
          </w:tcPr>
          <w:p w14:paraId="3FF2E33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80" w:type="dxa"/>
            <w:tcBorders>
              <w:top w:val="single" w:color="DDDDDD" w:sz="2" w:space="0"/>
            </w:tcBorders>
            <w:shd w:val="clear" w:color="auto" w:fill="E0DF02"/>
            <w:tcMar>
              <w:top w:w="60" w:type="dxa"/>
              <w:left w:w="60" w:type="dxa"/>
              <w:bottom w:w="60" w:type="dxa"/>
              <w:right w:w="60" w:type="dxa"/>
            </w:tcMar>
            <w:vAlign w:val="center"/>
          </w:tcPr>
          <w:p w14:paraId="205F44B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571FCB7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0EEE2C6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highlight w:val="cyan"/>
                <w:bdr w:val="single" w:color="0C8CE7" w:sz="2" w:space="0"/>
                <w:shd w:val="clear" w:fill="FFFFFF"/>
                <w:lang w:val="en-US" w:eastAsia="zh-CN" w:bidi="ar"/>
              </w:rPr>
              <w:t>Moderate</w:t>
            </w:r>
          </w:p>
        </w:tc>
        <w:tc>
          <w:tcPr>
            <w:tcW w:w="2869" w:type="dxa"/>
            <w:tcBorders>
              <w:top w:val="single" w:color="DDDDDD" w:sz="2" w:space="0"/>
            </w:tcBorders>
            <w:shd w:val="clear" w:color="auto" w:fill="FAFAFA"/>
            <w:tcMar>
              <w:top w:w="60" w:type="dxa"/>
              <w:left w:w="60" w:type="dxa"/>
              <w:bottom w:w="60" w:type="dxa"/>
              <w:right w:w="60" w:type="dxa"/>
            </w:tcMar>
            <w:vAlign w:val="center"/>
          </w:tcPr>
          <w:p w14:paraId="6C67D86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Heterogeneity |</w:t>
            </w:r>
          </w:p>
        </w:tc>
      </w:tr>
      <w:tr w14:paraId="43854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4845045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LIT vs Yoga</w:t>
            </w:r>
          </w:p>
        </w:tc>
        <w:tc>
          <w:tcPr>
            <w:tcW w:w="1177" w:type="dxa"/>
            <w:tcBorders>
              <w:top w:val="single" w:color="DDDDDD" w:sz="2" w:space="0"/>
            </w:tcBorders>
            <w:shd w:val="clear" w:color="auto" w:fill="FAFAFA"/>
            <w:tcMar>
              <w:top w:w="60" w:type="dxa"/>
              <w:left w:w="60" w:type="dxa"/>
              <w:bottom w:w="60" w:type="dxa"/>
              <w:right w:w="60" w:type="dxa"/>
            </w:tcMar>
            <w:vAlign w:val="center"/>
          </w:tcPr>
          <w:p w14:paraId="3B1E8A7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1</w:t>
            </w:r>
          </w:p>
        </w:tc>
        <w:tc>
          <w:tcPr>
            <w:tcW w:w="1283" w:type="dxa"/>
            <w:tcBorders>
              <w:top w:val="single" w:color="DDDDDD" w:sz="2" w:space="0"/>
            </w:tcBorders>
            <w:shd w:val="clear" w:color="auto" w:fill="E0DF02"/>
            <w:tcMar>
              <w:top w:w="60" w:type="dxa"/>
              <w:left w:w="60" w:type="dxa"/>
              <w:bottom w:w="60" w:type="dxa"/>
              <w:right w:w="60" w:type="dxa"/>
            </w:tcMar>
            <w:vAlign w:val="center"/>
          </w:tcPr>
          <w:p w14:paraId="53349E9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0C1EC86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522822F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02C000"/>
            <w:tcMar>
              <w:top w:w="60" w:type="dxa"/>
              <w:left w:w="60" w:type="dxa"/>
              <w:bottom w:w="60" w:type="dxa"/>
              <w:right w:w="60" w:type="dxa"/>
            </w:tcMar>
            <w:vAlign w:val="center"/>
          </w:tcPr>
          <w:p w14:paraId="47FCCC3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80" w:type="dxa"/>
            <w:tcBorders>
              <w:top w:val="single" w:color="DDDDDD" w:sz="2" w:space="0"/>
            </w:tcBorders>
            <w:shd w:val="clear" w:color="auto" w:fill="E0DF02"/>
            <w:tcMar>
              <w:top w:w="60" w:type="dxa"/>
              <w:left w:w="60" w:type="dxa"/>
              <w:bottom w:w="60" w:type="dxa"/>
              <w:right w:w="60" w:type="dxa"/>
            </w:tcMar>
            <w:vAlign w:val="center"/>
          </w:tcPr>
          <w:p w14:paraId="0EBC1A4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780C39F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262DB6D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37346E1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Heterogeneity |</w:t>
            </w:r>
          </w:p>
        </w:tc>
      </w:tr>
      <w:tr w14:paraId="19EE3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06FF244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LIT vs control</w:t>
            </w:r>
          </w:p>
        </w:tc>
        <w:tc>
          <w:tcPr>
            <w:tcW w:w="1177" w:type="dxa"/>
            <w:tcBorders>
              <w:top w:val="single" w:color="DDDDDD" w:sz="2" w:space="0"/>
            </w:tcBorders>
            <w:shd w:val="clear" w:color="auto" w:fill="FAFAFA"/>
            <w:tcMar>
              <w:top w:w="60" w:type="dxa"/>
              <w:left w:w="60" w:type="dxa"/>
              <w:bottom w:w="60" w:type="dxa"/>
              <w:right w:w="60" w:type="dxa"/>
            </w:tcMar>
            <w:vAlign w:val="center"/>
          </w:tcPr>
          <w:p w14:paraId="3F68FC2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1</w:t>
            </w:r>
          </w:p>
        </w:tc>
        <w:tc>
          <w:tcPr>
            <w:tcW w:w="1283" w:type="dxa"/>
            <w:tcBorders>
              <w:top w:val="single" w:color="DDDDDD" w:sz="2" w:space="0"/>
            </w:tcBorders>
            <w:shd w:val="clear" w:color="auto" w:fill="E0DF02"/>
            <w:tcMar>
              <w:top w:w="60" w:type="dxa"/>
              <w:left w:w="60" w:type="dxa"/>
              <w:bottom w:w="60" w:type="dxa"/>
              <w:right w:w="60" w:type="dxa"/>
            </w:tcMar>
            <w:vAlign w:val="center"/>
          </w:tcPr>
          <w:p w14:paraId="4F803F5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2B34298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0EF46FD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C00000"/>
            <w:tcMar>
              <w:top w:w="60" w:type="dxa"/>
              <w:left w:w="60" w:type="dxa"/>
              <w:bottom w:w="60" w:type="dxa"/>
              <w:right w:w="60" w:type="dxa"/>
            </w:tcMar>
            <w:vAlign w:val="center"/>
          </w:tcPr>
          <w:p w14:paraId="47A81FB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w:t>
            </w:r>
          </w:p>
        </w:tc>
        <w:tc>
          <w:tcPr>
            <w:tcW w:w="1380" w:type="dxa"/>
            <w:tcBorders>
              <w:top w:val="single" w:color="DDDDDD" w:sz="2" w:space="0"/>
            </w:tcBorders>
            <w:shd w:val="clear" w:color="auto" w:fill="02C000"/>
            <w:tcMar>
              <w:top w:w="60" w:type="dxa"/>
              <w:left w:w="60" w:type="dxa"/>
              <w:bottom w:w="60" w:type="dxa"/>
              <w:right w:w="60" w:type="dxa"/>
            </w:tcMar>
            <w:vAlign w:val="center"/>
          </w:tcPr>
          <w:p w14:paraId="6252C88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17B9FA8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074DEA9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62054CE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w:t>
            </w:r>
          </w:p>
        </w:tc>
      </w:tr>
      <w:tr w14:paraId="38035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0FF0FA2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MICT vs RT</w:t>
            </w:r>
          </w:p>
        </w:tc>
        <w:tc>
          <w:tcPr>
            <w:tcW w:w="1177" w:type="dxa"/>
            <w:tcBorders>
              <w:top w:val="single" w:color="DDDDDD" w:sz="2" w:space="0"/>
            </w:tcBorders>
            <w:shd w:val="clear" w:color="auto" w:fill="FAFAFA"/>
            <w:tcMar>
              <w:top w:w="60" w:type="dxa"/>
              <w:left w:w="60" w:type="dxa"/>
              <w:bottom w:w="60" w:type="dxa"/>
              <w:right w:w="60" w:type="dxa"/>
            </w:tcMar>
            <w:vAlign w:val="center"/>
          </w:tcPr>
          <w:p w14:paraId="55EA977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2</w:t>
            </w:r>
          </w:p>
        </w:tc>
        <w:tc>
          <w:tcPr>
            <w:tcW w:w="1283" w:type="dxa"/>
            <w:tcBorders>
              <w:top w:val="single" w:color="DDDDDD" w:sz="2" w:space="0"/>
            </w:tcBorders>
            <w:shd w:val="clear" w:color="auto" w:fill="02C000"/>
            <w:tcMar>
              <w:top w:w="60" w:type="dxa"/>
              <w:left w:w="60" w:type="dxa"/>
              <w:bottom w:w="60" w:type="dxa"/>
              <w:right w:w="60" w:type="dxa"/>
            </w:tcMar>
            <w:vAlign w:val="center"/>
          </w:tcPr>
          <w:p w14:paraId="70302DD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4AD5566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14F8D23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E0DF02"/>
            <w:tcMar>
              <w:top w:w="60" w:type="dxa"/>
              <w:left w:w="60" w:type="dxa"/>
              <w:bottom w:w="60" w:type="dxa"/>
              <w:right w:w="60" w:type="dxa"/>
            </w:tcMar>
            <w:vAlign w:val="center"/>
          </w:tcPr>
          <w:p w14:paraId="1BA7737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0" w:type="dxa"/>
            <w:tcBorders>
              <w:top w:val="single" w:color="DDDDDD" w:sz="2" w:space="0"/>
            </w:tcBorders>
            <w:shd w:val="clear" w:color="auto" w:fill="E0DF02"/>
            <w:tcMar>
              <w:top w:w="60" w:type="dxa"/>
              <w:left w:w="60" w:type="dxa"/>
              <w:bottom w:w="60" w:type="dxa"/>
              <w:right w:w="60" w:type="dxa"/>
            </w:tcMar>
            <w:vAlign w:val="center"/>
          </w:tcPr>
          <w:p w14:paraId="4FB3D4E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4EA9073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53FC227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66553CA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Imprecision | Heterogeneity |</w:t>
            </w:r>
          </w:p>
        </w:tc>
      </w:tr>
      <w:tr w14:paraId="562BC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772FA4D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MICT vs Tai chi</w:t>
            </w:r>
          </w:p>
        </w:tc>
        <w:tc>
          <w:tcPr>
            <w:tcW w:w="1177" w:type="dxa"/>
            <w:tcBorders>
              <w:top w:val="single" w:color="DDDDDD" w:sz="2" w:space="0"/>
            </w:tcBorders>
            <w:shd w:val="clear" w:color="auto" w:fill="FAFAFA"/>
            <w:tcMar>
              <w:top w:w="60" w:type="dxa"/>
              <w:left w:w="60" w:type="dxa"/>
              <w:bottom w:w="60" w:type="dxa"/>
              <w:right w:w="60" w:type="dxa"/>
            </w:tcMar>
            <w:vAlign w:val="center"/>
          </w:tcPr>
          <w:p w14:paraId="2AE48FB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1</w:t>
            </w:r>
          </w:p>
        </w:tc>
        <w:tc>
          <w:tcPr>
            <w:tcW w:w="1283" w:type="dxa"/>
            <w:tcBorders>
              <w:top w:val="single" w:color="DDDDDD" w:sz="2" w:space="0"/>
            </w:tcBorders>
            <w:shd w:val="clear" w:color="auto" w:fill="02C000"/>
            <w:tcMar>
              <w:top w:w="60" w:type="dxa"/>
              <w:left w:w="60" w:type="dxa"/>
              <w:bottom w:w="60" w:type="dxa"/>
              <w:right w:w="60" w:type="dxa"/>
            </w:tcMar>
            <w:vAlign w:val="center"/>
          </w:tcPr>
          <w:p w14:paraId="020461E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5AAC88C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4DD1C56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C00000"/>
            <w:tcMar>
              <w:top w:w="60" w:type="dxa"/>
              <w:left w:w="60" w:type="dxa"/>
              <w:bottom w:w="60" w:type="dxa"/>
              <w:right w:w="60" w:type="dxa"/>
            </w:tcMar>
            <w:vAlign w:val="center"/>
          </w:tcPr>
          <w:p w14:paraId="173310E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w:t>
            </w:r>
          </w:p>
        </w:tc>
        <w:tc>
          <w:tcPr>
            <w:tcW w:w="1380" w:type="dxa"/>
            <w:tcBorders>
              <w:top w:val="single" w:color="DDDDDD" w:sz="2" w:space="0"/>
            </w:tcBorders>
            <w:shd w:val="clear" w:color="auto" w:fill="02C000"/>
            <w:tcMar>
              <w:top w:w="60" w:type="dxa"/>
              <w:left w:w="60" w:type="dxa"/>
              <w:bottom w:w="60" w:type="dxa"/>
              <w:right w:w="60" w:type="dxa"/>
            </w:tcMar>
            <w:vAlign w:val="center"/>
          </w:tcPr>
          <w:p w14:paraId="0BD7AE6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48310B1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414C3CA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6470228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Imprecision |</w:t>
            </w:r>
          </w:p>
        </w:tc>
      </w:tr>
      <w:tr w14:paraId="7A9E0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2E376E5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MICT vs control</w:t>
            </w:r>
          </w:p>
        </w:tc>
        <w:tc>
          <w:tcPr>
            <w:tcW w:w="1177" w:type="dxa"/>
            <w:tcBorders>
              <w:top w:val="single" w:color="DDDDDD" w:sz="2" w:space="0"/>
            </w:tcBorders>
            <w:shd w:val="clear" w:color="auto" w:fill="FAFAFA"/>
            <w:tcMar>
              <w:top w:w="60" w:type="dxa"/>
              <w:left w:w="60" w:type="dxa"/>
              <w:bottom w:w="60" w:type="dxa"/>
              <w:right w:w="60" w:type="dxa"/>
            </w:tcMar>
            <w:vAlign w:val="center"/>
          </w:tcPr>
          <w:p w14:paraId="36BE6C5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6</w:t>
            </w:r>
          </w:p>
        </w:tc>
        <w:tc>
          <w:tcPr>
            <w:tcW w:w="1283" w:type="dxa"/>
            <w:tcBorders>
              <w:top w:val="single" w:color="DDDDDD" w:sz="2" w:space="0"/>
            </w:tcBorders>
            <w:shd w:val="clear" w:color="auto" w:fill="E0DF02"/>
            <w:tcMar>
              <w:top w:w="60" w:type="dxa"/>
              <w:left w:w="60" w:type="dxa"/>
              <w:bottom w:w="60" w:type="dxa"/>
              <w:right w:w="60" w:type="dxa"/>
            </w:tcMar>
            <w:vAlign w:val="center"/>
          </w:tcPr>
          <w:p w14:paraId="3D731E6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6252551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790E5F1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02C000"/>
            <w:tcMar>
              <w:top w:w="60" w:type="dxa"/>
              <w:left w:w="60" w:type="dxa"/>
              <w:bottom w:w="60" w:type="dxa"/>
              <w:right w:w="60" w:type="dxa"/>
            </w:tcMar>
            <w:vAlign w:val="center"/>
          </w:tcPr>
          <w:p w14:paraId="5699BEC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80" w:type="dxa"/>
            <w:tcBorders>
              <w:top w:val="single" w:color="DDDDDD" w:sz="2" w:space="0"/>
            </w:tcBorders>
            <w:shd w:val="clear" w:color="auto" w:fill="E0DF02"/>
            <w:tcMar>
              <w:top w:w="60" w:type="dxa"/>
              <w:left w:w="60" w:type="dxa"/>
              <w:bottom w:w="60" w:type="dxa"/>
              <w:right w:w="60" w:type="dxa"/>
            </w:tcMar>
            <w:vAlign w:val="center"/>
          </w:tcPr>
          <w:p w14:paraId="165F2B7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4A0B48D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36FC914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07D50EE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Heterogeneity |</w:t>
            </w:r>
          </w:p>
        </w:tc>
      </w:tr>
      <w:tr w14:paraId="69C2D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05EBBDA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RT vs control</w:t>
            </w:r>
          </w:p>
        </w:tc>
        <w:tc>
          <w:tcPr>
            <w:tcW w:w="1177" w:type="dxa"/>
            <w:tcBorders>
              <w:top w:val="single" w:color="DDDDDD" w:sz="2" w:space="0"/>
            </w:tcBorders>
            <w:shd w:val="clear" w:color="auto" w:fill="FAFAFA"/>
            <w:tcMar>
              <w:top w:w="60" w:type="dxa"/>
              <w:left w:w="60" w:type="dxa"/>
              <w:bottom w:w="60" w:type="dxa"/>
              <w:right w:w="60" w:type="dxa"/>
            </w:tcMar>
            <w:vAlign w:val="center"/>
          </w:tcPr>
          <w:p w14:paraId="5F7954C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3</w:t>
            </w:r>
          </w:p>
        </w:tc>
        <w:tc>
          <w:tcPr>
            <w:tcW w:w="1283" w:type="dxa"/>
            <w:tcBorders>
              <w:top w:val="single" w:color="DDDDDD" w:sz="2" w:space="0"/>
            </w:tcBorders>
            <w:shd w:val="clear" w:color="auto" w:fill="E0DF02"/>
            <w:tcMar>
              <w:top w:w="60" w:type="dxa"/>
              <w:left w:w="60" w:type="dxa"/>
              <w:bottom w:w="60" w:type="dxa"/>
              <w:right w:w="60" w:type="dxa"/>
            </w:tcMar>
            <w:vAlign w:val="center"/>
          </w:tcPr>
          <w:p w14:paraId="5B16D7D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78DB49B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1DFA19F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02C000"/>
            <w:tcMar>
              <w:top w:w="60" w:type="dxa"/>
              <w:left w:w="60" w:type="dxa"/>
              <w:bottom w:w="60" w:type="dxa"/>
              <w:right w:w="60" w:type="dxa"/>
            </w:tcMar>
            <w:vAlign w:val="center"/>
          </w:tcPr>
          <w:p w14:paraId="09AAF14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80" w:type="dxa"/>
            <w:tcBorders>
              <w:top w:val="single" w:color="DDDDDD" w:sz="2" w:space="0"/>
            </w:tcBorders>
            <w:shd w:val="clear" w:color="auto" w:fill="E0DF02"/>
            <w:tcMar>
              <w:top w:w="60" w:type="dxa"/>
              <w:left w:w="60" w:type="dxa"/>
              <w:bottom w:w="60" w:type="dxa"/>
              <w:right w:w="60" w:type="dxa"/>
            </w:tcMar>
            <w:vAlign w:val="center"/>
          </w:tcPr>
          <w:p w14:paraId="6A6E874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4719B75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7942250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42067C2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Heterogeneity |</w:t>
            </w:r>
          </w:p>
        </w:tc>
      </w:tr>
      <w:tr w14:paraId="06829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078843C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Yoga vs control</w:t>
            </w:r>
          </w:p>
        </w:tc>
        <w:tc>
          <w:tcPr>
            <w:tcW w:w="1177" w:type="dxa"/>
            <w:tcBorders>
              <w:top w:val="single" w:color="DDDDDD" w:sz="2" w:space="0"/>
            </w:tcBorders>
            <w:shd w:val="clear" w:color="auto" w:fill="FAFAFA"/>
            <w:tcMar>
              <w:top w:w="60" w:type="dxa"/>
              <w:left w:w="60" w:type="dxa"/>
              <w:bottom w:w="60" w:type="dxa"/>
              <w:right w:w="60" w:type="dxa"/>
            </w:tcMar>
            <w:vAlign w:val="center"/>
          </w:tcPr>
          <w:p w14:paraId="240DC4C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3</w:t>
            </w:r>
          </w:p>
        </w:tc>
        <w:tc>
          <w:tcPr>
            <w:tcW w:w="1283" w:type="dxa"/>
            <w:tcBorders>
              <w:top w:val="single" w:color="DDDDDD" w:sz="2" w:space="0"/>
            </w:tcBorders>
            <w:shd w:val="clear" w:color="auto" w:fill="E0DF02"/>
            <w:tcMar>
              <w:top w:w="60" w:type="dxa"/>
              <w:left w:w="60" w:type="dxa"/>
              <w:bottom w:w="60" w:type="dxa"/>
              <w:right w:w="60" w:type="dxa"/>
            </w:tcMar>
            <w:vAlign w:val="center"/>
          </w:tcPr>
          <w:p w14:paraId="1EE03A3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785F0CE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0E039BE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02C000"/>
            <w:tcMar>
              <w:top w:w="60" w:type="dxa"/>
              <w:left w:w="60" w:type="dxa"/>
              <w:bottom w:w="60" w:type="dxa"/>
              <w:right w:w="60" w:type="dxa"/>
            </w:tcMar>
            <w:vAlign w:val="center"/>
          </w:tcPr>
          <w:p w14:paraId="09C1EE9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80" w:type="dxa"/>
            <w:tcBorders>
              <w:top w:val="single" w:color="DDDDDD" w:sz="2" w:space="0"/>
            </w:tcBorders>
            <w:shd w:val="clear" w:color="auto" w:fill="E0DF02"/>
            <w:tcMar>
              <w:top w:w="60" w:type="dxa"/>
              <w:left w:w="60" w:type="dxa"/>
              <w:bottom w:w="60" w:type="dxa"/>
              <w:right w:w="60" w:type="dxa"/>
            </w:tcMar>
            <w:vAlign w:val="center"/>
          </w:tcPr>
          <w:p w14:paraId="4243BBE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1DEA768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74A8405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3F545B9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Heterogeneity |</w:t>
            </w:r>
          </w:p>
        </w:tc>
      </w:tr>
      <w:tr w14:paraId="07ED3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CellMar>
            <w:top w:w="0" w:type="dxa"/>
            <w:left w:w="0" w:type="dxa"/>
            <w:bottom w:w="0" w:type="dxa"/>
            <w:right w:w="0" w:type="dxa"/>
          </w:tblCellMar>
        </w:tblPrEx>
        <w:trPr>
          <w:trHeight w:val="23" w:hRule="atLeast"/>
        </w:trPr>
        <w:tc>
          <w:tcPr>
            <w:tcW w:w="11209" w:type="dxa"/>
            <w:gridSpan w:val="9"/>
            <w:tcBorders>
              <w:top w:val="single" w:color="DDDDDD" w:sz="2" w:space="0"/>
            </w:tcBorders>
            <w:shd w:val="clear" w:color="auto" w:fill="FAFAFA"/>
            <w:tcMar>
              <w:top w:w="60" w:type="dxa"/>
              <w:left w:w="60" w:type="dxa"/>
              <w:bottom w:w="60" w:type="dxa"/>
              <w:right w:w="60" w:type="dxa"/>
            </w:tcMar>
            <w:vAlign w:val="center"/>
          </w:tcPr>
          <w:p w14:paraId="03DFA9B0">
            <w:pPr>
              <w:pStyle w:val="2"/>
              <w:keepNext w:val="0"/>
              <w:keepLines w:val="0"/>
              <w:widowControl/>
              <w:suppressLineNumbers w:val="0"/>
              <w:spacing w:before="75" w:beforeAutospacing="0" w:after="75" w:afterAutospacing="0" w:line="8" w:lineRule="atLeast"/>
              <w:jc w:val="center"/>
              <w:rPr>
                <w:rFonts w:hint="default" w:ascii="Times New Roman" w:hAnsi="Times New Roman" w:cs="Times New Roman"/>
                <w:b w:val="0"/>
                <w:bCs w:val="0"/>
                <w:sz w:val="21"/>
                <w:szCs w:val="21"/>
              </w:rPr>
            </w:pPr>
            <w:r>
              <w:rPr>
                <w:rFonts w:hint="default" w:ascii="Times New Roman" w:hAnsi="Times New Roman" w:cs="Times New Roman"/>
                <w:b w:val="0"/>
                <w:bCs w:val="0"/>
                <w:i w:val="0"/>
                <w:iCs w:val="0"/>
                <w:caps w:val="0"/>
                <w:color w:val="333333"/>
                <w:spacing w:val="0"/>
                <w:sz w:val="21"/>
                <w:szCs w:val="21"/>
              </w:rPr>
              <w:t>Indirect evidence</w:t>
            </w:r>
          </w:p>
        </w:tc>
        <w:tc>
          <w:tcPr>
            <w:tcW w:w="2869" w:type="dxa"/>
            <w:shd w:val="clear" w:color="auto" w:fill="FAFAFA"/>
            <w:vAlign w:val="center"/>
          </w:tcPr>
          <w:p w14:paraId="7021216D">
            <w:pPr>
              <w:jc w:val="center"/>
              <w:rPr>
                <w:rFonts w:hint="default" w:ascii="Times New Roman" w:hAnsi="Times New Roman" w:eastAsia="sans-serif" w:cs="Times New Roman"/>
                <w:b w:val="0"/>
                <w:bCs w:val="0"/>
                <w:i w:val="0"/>
                <w:iCs w:val="0"/>
                <w:caps w:val="0"/>
                <w:color w:val="333333"/>
                <w:spacing w:val="0"/>
                <w:sz w:val="21"/>
                <w:szCs w:val="21"/>
              </w:rPr>
            </w:pPr>
          </w:p>
        </w:tc>
      </w:tr>
      <w:tr w14:paraId="271B0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5516F02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ATRT vs HIIT</w:t>
            </w:r>
          </w:p>
        </w:tc>
        <w:tc>
          <w:tcPr>
            <w:tcW w:w="1177" w:type="dxa"/>
            <w:tcBorders>
              <w:top w:val="single" w:color="DDDDDD" w:sz="2" w:space="0"/>
            </w:tcBorders>
            <w:shd w:val="clear" w:color="auto" w:fill="FAFAFA"/>
            <w:tcMar>
              <w:top w:w="60" w:type="dxa"/>
              <w:left w:w="60" w:type="dxa"/>
              <w:bottom w:w="60" w:type="dxa"/>
              <w:right w:w="60" w:type="dxa"/>
            </w:tcMar>
            <w:vAlign w:val="center"/>
          </w:tcPr>
          <w:p w14:paraId="5F9FB8B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83" w:type="dxa"/>
            <w:tcBorders>
              <w:top w:val="single" w:color="DDDDDD" w:sz="2" w:space="0"/>
            </w:tcBorders>
            <w:shd w:val="clear" w:color="auto" w:fill="E0DF02"/>
            <w:tcMar>
              <w:top w:w="60" w:type="dxa"/>
              <w:left w:w="60" w:type="dxa"/>
              <w:bottom w:w="60" w:type="dxa"/>
              <w:right w:w="60" w:type="dxa"/>
            </w:tcMar>
            <w:vAlign w:val="center"/>
          </w:tcPr>
          <w:p w14:paraId="668D52C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3F3158C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21C6C8D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C00000"/>
            <w:tcMar>
              <w:top w:w="60" w:type="dxa"/>
              <w:left w:w="60" w:type="dxa"/>
              <w:bottom w:w="60" w:type="dxa"/>
              <w:right w:w="60" w:type="dxa"/>
            </w:tcMar>
            <w:vAlign w:val="center"/>
          </w:tcPr>
          <w:p w14:paraId="58D1EA4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w:t>
            </w:r>
          </w:p>
        </w:tc>
        <w:tc>
          <w:tcPr>
            <w:tcW w:w="1380" w:type="dxa"/>
            <w:tcBorders>
              <w:top w:val="single" w:color="DDDDDD" w:sz="2" w:space="0"/>
            </w:tcBorders>
            <w:shd w:val="clear" w:color="auto" w:fill="02C000"/>
            <w:tcMar>
              <w:top w:w="60" w:type="dxa"/>
              <w:left w:w="60" w:type="dxa"/>
              <w:bottom w:w="60" w:type="dxa"/>
              <w:right w:w="60" w:type="dxa"/>
            </w:tcMar>
            <w:vAlign w:val="center"/>
          </w:tcPr>
          <w:p w14:paraId="7A12360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4B69B8F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55801F5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5C82AFD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w:t>
            </w:r>
          </w:p>
        </w:tc>
      </w:tr>
      <w:tr w14:paraId="4806E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48956E3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ATRT vs IET</w:t>
            </w:r>
          </w:p>
        </w:tc>
        <w:tc>
          <w:tcPr>
            <w:tcW w:w="1177" w:type="dxa"/>
            <w:tcBorders>
              <w:top w:val="single" w:color="DDDDDD" w:sz="2" w:space="0"/>
            </w:tcBorders>
            <w:shd w:val="clear" w:color="auto" w:fill="FAFAFA"/>
            <w:tcMar>
              <w:top w:w="60" w:type="dxa"/>
              <w:left w:w="60" w:type="dxa"/>
              <w:bottom w:w="60" w:type="dxa"/>
              <w:right w:w="60" w:type="dxa"/>
            </w:tcMar>
            <w:vAlign w:val="center"/>
          </w:tcPr>
          <w:p w14:paraId="66BB96F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83" w:type="dxa"/>
            <w:tcBorders>
              <w:top w:val="single" w:color="DDDDDD" w:sz="2" w:space="0"/>
            </w:tcBorders>
            <w:shd w:val="clear" w:color="auto" w:fill="02C000"/>
            <w:tcMar>
              <w:top w:w="60" w:type="dxa"/>
              <w:left w:w="60" w:type="dxa"/>
              <w:bottom w:w="60" w:type="dxa"/>
              <w:right w:w="60" w:type="dxa"/>
            </w:tcMar>
            <w:vAlign w:val="center"/>
          </w:tcPr>
          <w:p w14:paraId="2E07FC7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4DBE986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65B01D5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C00000"/>
            <w:tcMar>
              <w:top w:w="60" w:type="dxa"/>
              <w:left w:w="60" w:type="dxa"/>
              <w:bottom w:w="60" w:type="dxa"/>
              <w:right w:w="60" w:type="dxa"/>
            </w:tcMar>
            <w:vAlign w:val="center"/>
          </w:tcPr>
          <w:p w14:paraId="10741AB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w:t>
            </w:r>
          </w:p>
        </w:tc>
        <w:tc>
          <w:tcPr>
            <w:tcW w:w="1380" w:type="dxa"/>
            <w:tcBorders>
              <w:top w:val="single" w:color="DDDDDD" w:sz="2" w:space="0"/>
            </w:tcBorders>
            <w:shd w:val="clear" w:color="auto" w:fill="02C000"/>
            <w:tcMar>
              <w:top w:w="60" w:type="dxa"/>
              <w:left w:w="60" w:type="dxa"/>
              <w:bottom w:w="60" w:type="dxa"/>
              <w:right w:w="60" w:type="dxa"/>
            </w:tcMar>
            <w:vAlign w:val="center"/>
          </w:tcPr>
          <w:p w14:paraId="28B081A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6EA1C74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4F496E1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2872F46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Imprecision |</w:t>
            </w:r>
          </w:p>
        </w:tc>
      </w:tr>
      <w:tr w14:paraId="26E68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7C4633F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ATRT vs LIT</w:t>
            </w:r>
          </w:p>
        </w:tc>
        <w:tc>
          <w:tcPr>
            <w:tcW w:w="1177" w:type="dxa"/>
            <w:tcBorders>
              <w:top w:val="single" w:color="DDDDDD" w:sz="2" w:space="0"/>
            </w:tcBorders>
            <w:shd w:val="clear" w:color="auto" w:fill="FAFAFA"/>
            <w:tcMar>
              <w:top w:w="60" w:type="dxa"/>
              <w:left w:w="60" w:type="dxa"/>
              <w:bottom w:w="60" w:type="dxa"/>
              <w:right w:w="60" w:type="dxa"/>
            </w:tcMar>
            <w:vAlign w:val="center"/>
          </w:tcPr>
          <w:p w14:paraId="51EE8A9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83" w:type="dxa"/>
            <w:tcBorders>
              <w:top w:val="single" w:color="DDDDDD" w:sz="2" w:space="0"/>
            </w:tcBorders>
            <w:shd w:val="clear" w:color="auto" w:fill="E0DF02"/>
            <w:tcMar>
              <w:top w:w="60" w:type="dxa"/>
              <w:left w:w="60" w:type="dxa"/>
              <w:bottom w:w="60" w:type="dxa"/>
              <w:right w:w="60" w:type="dxa"/>
            </w:tcMar>
            <w:vAlign w:val="center"/>
          </w:tcPr>
          <w:p w14:paraId="27D2FB5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27DD5B4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7BF5CEB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02C000"/>
            <w:tcMar>
              <w:top w:w="60" w:type="dxa"/>
              <w:left w:w="60" w:type="dxa"/>
              <w:bottom w:w="60" w:type="dxa"/>
              <w:right w:w="60" w:type="dxa"/>
            </w:tcMar>
            <w:vAlign w:val="center"/>
          </w:tcPr>
          <w:p w14:paraId="560591F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80" w:type="dxa"/>
            <w:tcBorders>
              <w:top w:val="single" w:color="DDDDDD" w:sz="2" w:space="0"/>
            </w:tcBorders>
            <w:shd w:val="clear" w:color="auto" w:fill="E0DF02"/>
            <w:tcMar>
              <w:top w:w="60" w:type="dxa"/>
              <w:left w:w="60" w:type="dxa"/>
              <w:bottom w:w="60" w:type="dxa"/>
              <w:right w:w="60" w:type="dxa"/>
            </w:tcMar>
            <w:vAlign w:val="center"/>
          </w:tcPr>
          <w:p w14:paraId="677FD85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1340338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28ADEEB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59C39CB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Heterogeneity |</w:t>
            </w:r>
          </w:p>
        </w:tc>
      </w:tr>
      <w:tr w14:paraId="6956A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4E21953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ATRT vs Tai chi</w:t>
            </w:r>
          </w:p>
        </w:tc>
        <w:tc>
          <w:tcPr>
            <w:tcW w:w="1177" w:type="dxa"/>
            <w:tcBorders>
              <w:top w:val="single" w:color="DDDDDD" w:sz="2" w:space="0"/>
            </w:tcBorders>
            <w:shd w:val="clear" w:color="auto" w:fill="FAFAFA"/>
            <w:tcMar>
              <w:top w:w="60" w:type="dxa"/>
              <w:left w:w="60" w:type="dxa"/>
              <w:bottom w:w="60" w:type="dxa"/>
              <w:right w:w="60" w:type="dxa"/>
            </w:tcMar>
            <w:vAlign w:val="center"/>
          </w:tcPr>
          <w:p w14:paraId="0E76B19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83" w:type="dxa"/>
            <w:tcBorders>
              <w:top w:val="single" w:color="DDDDDD" w:sz="2" w:space="0"/>
            </w:tcBorders>
            <w:shd w:val="clear" w:color="auto" w:fill="02C000"/>
            <w:tcMar>
              <w:top w:w="60" w:type="dxa"/>
              <w:left w:w="60" w:type="dxa"/>
              <w:bottom w:w="60" w:type="dxa"/>
              <w:right w:w="60" w:type="dxa"/>
            </w:tcMar>
            <w:vAlign w:val="center"/>
          </w:tcPr>
          <w:p w14:paraId="55DC58D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7ACD153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23A1F16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C00000"/>
            <w:tcMar>
              <w:top w:w="60" w:type="dxa"/>
              <w:left w:w="60" w:type="dxa"/>
              <w:bottom w:w="60" w:type="dxa"/>
              <w:right w:w="60" w:type="dxa"/>
            </w:tcMar>
            <w:vAlign w:val="center"/>
          </w:tcPr>
          <w:p w14:paraId="2F37760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w:t>
            </w:r>
          </w:p>
        </w:tc>
        <w:tc>
          <w:tcPr>
            <w:tcW w:w="1380" w:type="dxa"/>
            <w:tcBorders>
              <w:top w:val="single" w:color="DDDDDD" w:sz="2" w:space="0"/>
            </w:tcBorders>
            <w:shd w:val="clear" w:color="auto" w:fill="02C000"/>
            <w:tcMar>
              <w:top w:w="60" w:type="dxa"/>
              <w:left w:w="60" w:type="dxa"/>
              <w:bottom w:w="60" w:type="dxa"/>
              <w:right w:w="60" w:type="dxa"/>
            </w:tcMar>
            <w:vAlign w:val="center"/>
          </w:tcPr>
          <w:p w14:paraId="03B6B3D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40E6C5D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7453CBF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192A031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Imprecision |</w:t>
            </w:r>
          </w:p>
        </w:tc>
      </w:tr>
      <w:tr w14:paraId="06311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3D81802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ATRT vs Yoga</w:t>
            </w:r>
          </w:p>
        </w:tc>
        <w:tc>
          <w:tcPr>
            <w:tcW w:w="1177" w:type="dxa"/>
            <w:tcBorders>
              <w:top w:val="single" w:color="DDDDDD" w:sz="2" w:space="0"/>
            </w:tcBorders>
            <w:shd w:val="clear" w:color="auto" w:fill="FAFAFA"/>
            <w:tcMar>
              <w:top w:w="60" w:type="dxa"/>
              <w:left w:w="60" w:type="dxa"/>
              <w:bottom w:w="60" w:type="dxa"/>
              <w:right w:w="60" w:type="dxa"/>
            </w:tcMar>
            <w:vAlign w:val="center"/>
          </w:tcPr>
          <w:p w14:paraId="26A2433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83" w:type="dxa"/>
            <w:tcBorders>
              <w:top w:val="single" w:color="DDDDDD" w:sz="2" w:space="0"/>
            </w:tcBorders>
            <w:shd w:val="clear" w:color="auto" w:fill="E0DF02"/>
            <w:tcMar>
              <w:top w:w="60" w:type="dxa"/>
              <w:left w:w="60" w:type="dxa"/>
              <w:bottom w:w="60" w:type="dxa"/>
              <w:right w:w="60" w:type="dxa"/>
            </w:tcMar>
            <w:vAlign w:val="center"/>
          </w:tcPr>
          <w:p w14:paraId="1CEF437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501ABD5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5199489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E0DF02"/>
            <w:tcMar>
              <w:top w:w="60" w:type="dxa"/>
              <w:left w:w="60" w:type="dxa"/>
              <w:bottom w:w="60" w:type="dxa"/>
              <w:right w:w="60" w:type="dxa"/>
            </w:tcMar>
            <w:vAlign w:val="center"/>
          </w:tcPr>
          <w:p w14:paraId="0839651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0" w:type="dxa"/>
            <w:tcBorders>
              <w:top w:val="single" w:color="DDDDDD" w:sz="2" w:space="0"/>
            </w:tcBorders>
            <w:shd w:val="clear" w:color="auto" w:fill="E0DF02"/>
            <w:tcMar>
              <w:top w:w="60" w:type="dxa"/>
              <w:left w:w="60" w:type="dxa"/>
              <w:bottom w:w="60" w:type="dxa"/>
              <w:right w:w="60" w:type="dxa"/>
            </w:tcMar>
            <w:vAlign w:val="center"/>
          </w:tcPr>
          <w:p w14:paraId="2C39A23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3047497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050D92D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5858AAA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 Heterogeneity |</w:t>
            </w:r>
          </w:p>
        </w:tc>
      </w:tr>
      <w:tr w14:paraId="4BFBE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383C3DE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HIIT vs IET</w:t>
            </w:r>
          </w:p>
        </w:tc>
        <w:tc>
          <w:tcPr>
            <w:tcW w:w="1177" w:type="dxa"/>
            <w:tcBorders>
              <w:top w:val="single" w:color="DDDDDD" w:sz="2" w:space="0"/>
            </w:tcBorders>
            <w:shd w:val="clear" w:color="auto" w:fill="FAFAFA"/>
            <w:tcMar>
              <w:top w:w="60" w:type="dxa"/>
              <w:left w:w="60" w:type="dxa"/>
              <w:bottom w:w="60" w:type="dxa"/>
              <w:right w:w="60" w:type="dxa"/>
            </w:tcMar>
            <w:vAlign w:val="center"/>
          </w:tcPr>
          <w:p w14:paraId="10EB309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83" w:type="dxa"/>
            <w:tcBorders>
              <w:top w:val="single" w:color="DDDDDD" w:sz="2" w:space="0"/>
            </w:tcBorders>
            <w:shd w:val="clear" w:color="auto" w:fill="E0DF02"/>
            <w:tcMar>
              <w:top w:w="60" w:type="dxa"/>
              <w:left w:w="60" w:type="dxa"/>
              <w:bottom w:w="60" w:type="dxa"/>
              <w:right w:w="60" w:type="dxa"/>
            </w:tcMar>
            <w:vAlign w:val="center"/>
          </w:tcPr>
          <w:p w14:paraId="74C4D8D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2632761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708D98C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C00000"/>
            <w:tcMar>
              <w:top w:w="60" w:type="dxa"/>
              <w:left w:w="60" w:type="dxa"/>
              <w:bottom w:w="60" w:type="dxa"/>
              <w:right w:w="60" w:type="dxa"/>
            </w:tcMar>
            <w:vAlign w:val="center"/>
          </w:tcPr>
          <w:p w14:paraId="5C29968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w:t>
            </w:r>
          </w:p>
        </w:tc>
        <w:tc>
          <w:tcPr>
            <w:tcW w:w="1380" w:type="dxa"/>
            <w:tcBorders>
              <w:top w:val="single" w:color="DDDDDD" w:sz="2" w:space="0"/>
            </w:tcBorders>
            <w:shd w:val="clear" w:color="auto" w:fill="02C000"/>
            <w:tcMar>
              <w:top w:w="60" w:type="dxa"/>
              <w:left w:w="60" w:type="dxa"/>
              <w:bottom w:w="60" w:type="dxa"/>
              <w:right w:w="60" w:type="dxa"/>
            </w:tcMar>
            <w:vAlign w:val="center"/>
          </w:tcPr>
          <w:p w14:paraId="0081303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45C6E6F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667AD56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4F655A2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w:t>
            </w:r>
          </w:p>
        </w:tc>
      </w:tr>
      <w:tr w14:paraId="22FE7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3628970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HIIT vs LIT</w:t>
            </w:r>
          </w:p>
        </w:tc>
        <w:tc>
          <w:tcPr>
            <w:tcW w:w="1177" w:type="dxa"/>
            <w:tcBorders>
              <w:top w:val="single" w:color="DDDDDD" w:sz="2" w:space="0"/>
            </w:tcBorders>
            <w:shd w:val="clear" w:color="auto" w:fill="FAFAFA"/>
            <w:tcMar>
              <w:top w:w="60" w:type="dxa"/>
              <w:left w:w="60" w:type="dxa"/>
              <w:bottom w:w="60" w:type="dxa"/>
              <w:right w:w="60" w:type="dxa"/>
            </w:tcMar>
            <w:vAlign w:val="center"/>
          </w:tcPr>
          <w:p w14:paraId="1A047D1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83" w:type="dxa"/>
            <w:tcBorders>
              <w:top w:val="single" w:color="DDDDDD" w:sz="2" w:space="0"/>
            </w:tcBorders>
            <w:shd w:val="clear" w:color="auto" w:fill="E0DF02"/>
            <w:tcMar>
              <w:top w:w="60" w:type="dxa"/>
              <w:left w:w="60" w:type="dxa"/>
              <w:bottom w:w="60" w:type="dxa"/>
              <w:right w:w="60" w:type="dxa"/>
            </w:tcMar>
            <w:vAlign w:val="center"/>
          </w:tcPr>
          <w:p w14:paraId="705AE2E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7E04A84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6FFD491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E0DF02"/>
            <w:tcMar>
              <w:top w:w="60" w:type="dxa"/>
              <w:left w:w="60" w:type="dxa"/>
              <w:bottom w:w="60" w:type="dxa"/>
              <w:right w:w="60" w:type="dxa"/>
            </w:tcMar>
            <w:vAlign w:val="center"/>
          </w:tcPr>
          <w:p w14:paraId="612D4AC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0" w:type="dxa"/>
            <w:tcBorders>
              <w:top w:val="single" w:color="DDDDDD" w:sz="2" w:space="0"/>
            </w:tcBorders>
            <w:shd w:val="clear" w:color="auto" w:fill="E0DF02"/>
            <w:tcMar>
              <w:top w:w="60" w:type="dxa"/>
              <w:left w:w="60" w:type="dxa"/>
              <w:bottom w:w="60" w:type="dxa"/>
              <w:right w:w="60" w:type="dxa"/>
            </w:tcMar>
            <w:vAlign w:val="center"/>
          </w:tcPr>
          <w:p w14:paraId="0BE5409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750040A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612C804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2ED12C2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 Heterogeneity |</w:t>
            </w:r>
          </w:p>
        </w:tc>
      </w:tr>
      <w:tr w14:paraId="48DEF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6E3529D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HIIT vs RT</w:t>
            </w:r>
          </w:p>
        </w:tc>
        <w:tc>
          <w:tcPr>
            <w:tcW w:w="1177" w:type="dxa"/>
            <w:tcBorders>
              <w:top w:val="single" w:color="DDDDDD" w:sz="2" w:space="0"/>
            </w:tcBorders>
            <w:shd w:val="clear" w:color="auto" w:fill="FAFAFA"/>
            <w:tcMar>
              <w:top w:w="60" w:type="dxa"/>
              <w:left w:w="60" w:type="dxa"/>
              <w:bottom w:w="60" w:type="dxa"/>
              <w:right w:w="60" w:type="dxa"/>
            </w:tcMar>
            <w:vAlign w:val="center"/>
          </w:tcPr>
          <w:p w14:paraId="7EE7106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83" w:type="dxa"/>
            <w:tcBorders>
              <w:top w:val="single" w:color="DDDDDD" w:sz="2" w:space="0"/>
            </w:tcBorders>
            <w:shd w:val="clear" w:color="auto" w:fill="E0DF02"/>
            <w:tcMar>
              <w:top w:w="60" w:type="dxa"/>
              <w:left w:w="60" w:type="dxa"/>
              <w:bottom w:w="60" w:type="dxa"/>
              <w:right w:w="60" w:type="dxa"/>
            </w:tcMar>
            <w:vAlign w:val="center"/>
          </w:tcPr>
          <w:p w14:paraId="3E03FD8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4B994C1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728ED1A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C00000"/>
            <w:tcMar>
              <w:top w:w="60" w:type="dxa"/>
              <w:left w:w="60" w:type="dxa"/>
              <w:bottom w:w="60" w:type="dxa"/>
              <w:right w:w="60" w:type="dxa"/>
            </w:tcMar>
            <w:vAlign w:val="center"/>
          </w:tcPr>
          <w:p w14:paraId="222224C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w:t>
            </w:r>
          </w:p>
        </w:tc>
        <w:tc>
          <w:tcPr>
            <w:tcW w:w="1380" w:type="dxa"/>
            <w:tcBorders>
              <w:top w:val="single" w:color="DDDDDD" w:sz="2" w:space="0"/>
            </w:tcBorders>
            <w:shd w:val="clear" w:color="auto" w:fill="02C000"/>
            <w:tcMar>
              <w:top w:w="60" w:type="dxa"/>
              <w:left w:w="60" w:type="dxa"/>
              <w:bottom w:w="60" w:type="dxa"/>
              <w:right w:w="60" w:type="dxa"/>
            </w:tcMar>
            <w:vAlign w:val="center"/>
          </w:tcPr>
          <w:p w14:paraId="7108B81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20194F9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46A8A17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17C8A66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w:t>
            </w:r>
          </w:p>
        </w:tc>
      </w:tr>
      <w:tr w14:paraId="14AF9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3B75083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HIIT vs Tai chi</w:t>
            </w:r>
          </w:p>
        </w:tc>
        <w:tc>
          <w:tcPr>
            <w:tcW w:w="1177" w:type="dxa"/>
            <w:tcBorders>
              <w:top w:val="single" w:color="DDDDDD" w:sz="2" w:space="0"/>
            </w:tcBorders>
            <w:shd w:val="clear" w:color="auto" w:fill="FAFAFA"/>
            <w:tcMar>
              <w:top w:w="60" w:type="dxa"/>
              <w:left w:w="60" w:type="dxa"/>
              <w:bottom w:w="60" w:type="dxa"/>
              <w:right w:w="60" w:type="dxa"/>
            </w:tcMar>
            <w:vAlign w:val="center"/>
          </w:tcPr>
          <w:p w14:paraId="18F389E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83" w:type="dxa"/>
            <w:tcBorders>
              <w:top w:val="single" w:color="DDDDDD" w:sz="2" w:space="0"/>
            </w:tcBorders>
            <w:shd w:val="clear" w:color="auto" w:fill="E0DF02"/>
            <w:tcMar>
              <w:top w:w="60" w:type="dxa"/>
              <w:left w:w="60" w:type="dxa"/>
              <w:bottom w:w="60" w:type="dxa"/>
              <w:right w:w="60" w:type="dxa"/>
            </w:tcMar>
            <w:vAlign w:val="center"/>
          </w:tcPr>
          <w:p w14:paraId="4EF0A3A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6C910B2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5AA11FA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C00000"/>
            <w:tcMar>
              <w:top w:w="60" w:type="dxa"/>
              <w:left w:w="60" w:type="dxa"/>
              <w:bottom w:w="60" w:type="dxa"/>
              <w:right w:w="60" w:type="dxa"/>
            </w:tcMar>
            <w:vAlign w:val="center"/>
          </w:tcPr>
          <w:p w14:paraId="7933FBC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w:t>
            </w:r>
          </w:p>
        </w:tc>
        <w:tc>
          <w:tcPr>
            <w:tcW w:w="1380" w:type="dxa"/>
            <w:tcBorders>
              <w:top w:val="single" w:color="DDDDDD" w:sz="2" w:space="0"/>
            </w:tcBorders>
            <w:shd w:val="clear" w:color="auto" w:fill="02C000"/>
            <w:tcMar>
              <w:top w:w="60" w:type="dxa"/>
              <w:left w:w="60" w:type="dxa"/>
              <w:bottom w:w="60" w:type="dxa"/>
              <w:right w:w="60" w:type="dxa"/>
            </w:tcMar>
            <w:vAlign w:val="center"/>
          </w:tcPr>
          <w:p w14:paraId="3B001D6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6AECA4D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66BC8C1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67D91EE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w:t>
            </w:r>
          </w:p>
        </w:tc>
      </w:tr>
      <w:tr w14:paraId="1390B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6514D76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HIIT vs Yoga</w:t>
            </w:r>
          </w:p>
        </w:tc>
        <w:tc>
          <w:tcPr>
            <w:tcW w:w="1177" w:type="dxa"/>
            <w:tcBorders>
              <w:top w:val="single" w:color="DDDDDD" w:sz="2" w:space="0"/>
            </w:tcBorders>
            <w:shd w:val="clear" w:color="auto" w:fill="FAFAFA"/>
            <w:tcMar>
              <w:top w:w="60" w:type="dxa"/>
              <w:left w:w="60" w:type="dxa"/>
              <w:bottom w:w="60" w:type="dxa"/>
              <w:right w:w="60" w:type="dxa"/>
            </w:tcMar>
            <w:vAlign w:val="center"/>
          </w:tcPr>
          <w:p w14:paraId="4E91B4E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83" w:type="dxa"/>
            <w:tcBorders>
              <w:top w:val="single" w:color="DDDDDD" w:sz="2" w:space="0"/>
            </w:tcBorders>
            <w:shd w:val="clear" w:color="auto" w:fill="E0DF02"/>
            <w:tcMar>
              <w:top w:w="60" w:type="dxa"/>
              <w:left w:w="60" w:type="dxa"/>
              <w:bottom w:w="60" w:type="dxa"/>
              <w:right w:w="60" w:type="dxa"/>
            </w:tcMar>
            <w:vAlign w:val="center"/>
          </w:tcPr>
          <w:p w14:paraId="5165027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1BE5CB4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783448C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C00000"/>
            <w:tcMar>
              <w:top w:w="60" w:type="dxa"/>
              <w:left w:w="60" w:type="dxa"/>
              <w:bottom w:w="60" w:type="dxa"/>
              <w:right w:w="60" w:type="dxa"/>
            </w:tcMar>
            <w:vAlign w:val="center"/>
          </w:tcPr>
          <w:p w14:paraId="6D5880F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w:t>
            </w:r>
          </w:p>
        </w:tc>
        <w:tc>
          <w:tcPr>
            <w:tcW w:w="1380" w:type="dxa"/>
            <w:tcBorders>
              <w:top w:val="single" w:color="DDDDDD" w:sz="2" w:space="0"/>
            </w:tcBorders>
            <w:shd w:val="clear" w:color="auto" w:fill="02C000"/>
            <w:tcMar>
              <w:top w:w="60" w:type="dxa"/>
              <w:left w:w="60" w:type="dxa"/>
              <w:bottom w:w="60" w:type="dxa"/>
              <w:right w:w="60" w:type="dxa"/>
            </w:tcMar>
            <w:vAlign w:val="center"/>
          </w:tcPr>
          <w:p w14:paraId="63ACE59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11DDA5B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656AC8C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76A6DBA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w:t>
            </w:r>
          </w:p>
        </w:tc>
      </w:tr>
      <w:tr w14:paraId="2BAF2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35AE290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IET vs LIT</w:t>
            </w:r>
          </w:p>
        </w:tc>
        <w:tc>
          <w:tcPr>
            <w:tcW w:w="1177" w:type="dxa"/>
            <w:tcBorders>
              <w:top w:val="single" w:color="DDDDDD" w:sz="2" w:space="0"/>
            </w:tcBorders>
            <w:shd w:val="clear" w:color="auto" w:fill="FAFAFA"/>
            <w:tcMar>
              <w:top w:w="60" w:type="dxa"/>
              <w:left w:w="60" w:type="dxa"/>
              <w:bottom w:w="60" w:type="dxa"/>
              <w:right w:w="60" w:type="dxa"/>
            </w:tcMar>
            <w:vAlign w:val="center"/>
          </w:tcPr>
          <w:p w14:paraId="5622DE2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83" w:type="dxa"/>
            <w:tcBorders>
              <w:top w:val="single" w:color="DDDDDD" w:sz="2" w:space="0"/>
            </w:tcBorders>
            <w:shd w:val="clear" w:color="auto" w:fill="E0DF02"/>
            <w:tcMar>
              <w:top w:w="60" w:type="dxa"/>
              <w:left w:w="60" w:type="dxa"/>
              <w:bottom w:w="60" w:type="dxa"/>
              <w:right w:w="60" w:type="dxa"/>
            </w:tcMar>
            <w:vAlign w:val="center"/>
          </w:tcPr>
          <w:p w14:paraId="1BCD233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00FBF79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4D1541C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02C000"/>
            <w:tcMar>
              <w:top w:w="60" w:type="dxa"/>
              <w:left w:w="60" w:type="dxa"/>
              <w:bottom w:w="60" w:type="dxa"/>
              <w:right w:w="60" w:type="dxa"/>
            </w:tcMar>
            <w:vAlign w:val="center"/>
          </w:tcPr>
          <w:p w14:paraId="2341EC7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80" w:type="dxa"/>
            <w:tcBorders>
              <w:top w:val="single" w:color="DDDDDD" w:sz="2" w:space="0"/>
            </w:tcBorders>
            <w:shd w:val="clear" w:color="auto" w:fill="E0DF02"/>
            <w:tcMar>
              <w:top w:w="60" w:type="dxa"/>
              <w:left w:w="60" w:type="dxa"/>
              <w:bottom w:w="60" w:type="dxa"/>
              <w:right w:w="60" w:type="dxa"/>
            </w:tcMar>
            <w:vAlign w:val="center"/>
          </w:tcPr>
          <w:p w14:paraId="089BD4C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52175E0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4A48471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6901C8C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Heterogeneity |</w:t>
            </w:r>
          </w:p>
        </w:tc>
      </w:tr>
      <w:tr w14:paraId="53B58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407007C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IET vs MICT</w:t>
            </w:r>
          </w:p>
        </w:tc>
        <w:tc>
          <w:tcPr>
            <w:tcW w:w="1177" w:type="dxa"/>
            <w:tcBorders>
              <w:top w:val="single" w:color="DDDDDD" w:sz="2" w:space="0"/>
            </w:tcBorders>
            <w:shd w:val="clear" w:color="auto" w:fill="FAFAFA"/>
            <w:tcMar>
              <w:top w:w="60" w:type="dxa"/>
              <w:left w:w="60" w:type="dxa"/>
              <w:bottom w:w="60" w:type="dxa"/>
              <w:right w:w="60" w:type="dxa"/>
            </w:tcMar>
            <w:vAlign w:val="center"/>
          </w:tcPr>
          <w:p w14:paraId="468EDC6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83" w:type="dxa"/>
            <w:tcBorders>
              <w:top w:val="single" w:color="DDDDDD" w:sz="2" w:space="0"/>
            </w:tcBorders>
            <w:shd w:val="clear" w:color="auto" w:fill="02C000"/>
            <w:tcMar>
              <w:top w:w="60" w:type="dxa"/>
              <w:left w:w="60" w:type="dxa"/>
              <w:bottom w:w="60" w:type="dxa"/>
              <w:right w:w="60" w:type="dxa"/>
            </w:tcMar>
            <w:vAlign w:val="center"/>
          </w:tcPr>
          <w:p w14:paraId="5C0BB56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6D1538E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5FA6249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E0DF02"/>
            <w:tcMar>
              <w:top w:w="60" w:type="dxa"/>
              <w:left w:w="60" w:type="dxa"/>
              <w:bottom w:w="60" w:type="dxa"/>
              <w:right w:w="60" w:type="dxa"/>
            </w:tcMar>
            <w:vAlign w:val="center"/>
          </w:tcPr>
          <w:p w14:paraId="27FCE82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0" w:type="dxa"/>
            <w:tcBorders>
              <w:top w:val="single" w:color="DDDDDD" w:sz="2" w:space="0"/>
            </w:tcBorders>
            <w:shd w:val="clear" w:color="auto" w:fill="E0DF02"/>
            <w:tcMar>
              <w:top w:w="60" w:type="dxa"/>
              <w:left w:w="60" w:type="dxa"/>
              <w:bottom w:w="60" w:type="dxa"/>
              <w:right w:w="60" w:type="dxa"/>
            </w:tcMar>
            <w:vAlign w:val="center"/>
          </w:tcPr>
          <w:p w14:paraId="2176370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4799BA3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759E402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0729D34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Imprecision | Heterogeneity |</w:t>
            </w:r>
          </w:p>
        </w:tc>
      </w:tr>
      <w:tr w14:paraId="74FDD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335EBE8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IET vs RT</w:t>
            </w:r>
          </w:p>
        </w:tc>
        <w:tc>
          <w:tcPr>
            <w:tcW w:w="1177" w:type="dxa"/>
            <w:tcBorders>
              <w:top w:val="single" w:color="DDDDDD" w:sz="2" w:space="0"/>
            </w:tcBorders>
            <w:shd w:val="clear" w:color="auto" w:fill="FAFAFA"/>
            <w:tcMar>
              <w:top w:w="60" w:type="dxa"/>
              <w:left w:w="60" w:type="dxa"/>
              <w:bottom w:w="60" w:type="dxa"/>
              <w:right w:w="60" w:type="dxa"/>
            </w:tcMar>
            <w:vAlign w:val="center"/>
          </w:tcPr>
          <w:p w14:paraId="7ADCA5E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83" w:type="dxa"/>
            <w:tcBorders>
              <w:top w:val="single" w:color="DDDDDD" w:sz="2" w:space="0"/>
            </w:tcBorders>
            <w:shd w:val="clear" w:color="auto" w:fill="02C000"/>
            <w:tcMar>
              <w:top w:w="60" w:type="dxa"/>
              <w:left w:w="60" w:type="dxa"/>
              <w:bottom w:w="60" w:type="dxa"/>
              <w:right w:w="60" w:type="dxa"/>
            </w:tcMar>
            <w:vAlign w:val="center"/>
          </w:tcPr>
          <w:p w14:paraId="33F76DA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6090805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042DA49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E0DF02"/>
            <w:tcMar>
              <w:top w:w="60" w:type="dxa"/>
              <w:left w:w="60" w:type="dxa"/>
              <w:bottom w:w="60" w:type="dxa"/>
              <w:right w:w="60" w:type="dxa"/>
            </w:tcMar>
            <w:vAlign w:val="center"/>
          </w:tcPr>
          <w:p w14:paraId="0548E69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0" w:type="dxa"/>
            <w:tcBorders>
              <w:top w:val="single" w:color="DDDDDD" w:sz="2" w:space="0"/>
            </w:tcBorders>
            <w:shd w:val="clear" w:color="auto" w:fill="E0DF02"/>
            <w:tcMar>
              <w:top w:w="60" w:type="dxa"/>
              <w:left w:w="60" w:type="dxa"/>
              <w:bottom w:w="60" w:type="dxa"/>
              <w:right w:w="60" w:type="dxa"/>
            </w:tcMar>
            <w:vAlign w:val="center"/>
          </w:tcPr>
          <w:p w14:paraId="1C42674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61BAB75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5D29FBE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64B3E3B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Imprecision | Heterogeneity |</w:t>
            </w:r>
          </w:p>
        </w:tc>
      </w:tr>
      <w:tr w14:paraId="411FC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4735941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IET vs Tai chi</w:t>
            </w:r>
          </w:p>
        </w:tc>
        <w:tc>
          <w:tcPr>
            <w:tcW w:w="1177" w:type="dxa"/>
            <w:tcBorders>
              <w:top w:val="single" w:color="DDDDDD" w:sz="2" w:space="0"/>
            </w:tcBorders>
            <w:shd w:val="clear" w:color="auto" w:fill="FAFAFA"/>
            <w:tcMar>
              <w:top w:w="60" w:type="dxa"/>
              <w:left w:w="60" w:type="dxa"/>
              <w:bottom w:w="60" w:type="dxa"/>
              <w:right w:w="60" w:type="dxa"/>
            </w:tcMar>
            <w:vAlign w:val="center"/>
          </w:tcPr>
          <w:p w14:paraId="354013B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83" w:type="dxa"/>
            <w:tcBorders>
              <w:top w:val="single" w:color="DDDDDD" w:sz="2" w:space="0"/>
            </w:tcBorders>
            <w:shd w:val="clear" w:color="auto" w:fill="02C000"/>
            <w:tcMar>
              <w:top w:w="60" w:type="dxa"/>
              <w:left w:w="60" w:type="dxa"/>
              <w:bottom w:w="60" w:type="dxa"/>
              <w:right w:w="60" w:type="dxa"/>
            </w:tcMar>
            <w:vAlign w:val="center"/>
          </w:tcPr>
          <w:p w14:paraId="0320D83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1CBC102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4780AC9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C00000"/>
            <w:tcMar>
              <w:top w:w="60" w:type="dxa"/>
              <w:left w:w="60" w:type="dxa"/>
              <w:bottom w:w="60" w:type="dxa"/>
              <w:right w:w="60" w:type="dxa"/>
            </w:tcMar>
            <w:vAlign w:val="center"/>
          </w:tcPr>
          <w:p w14:paraId="134EA84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w:t>
            </w:r>
          </w:p>
        </w:tc>
        <w:tc>
          <w:tcPr>
            <w:tcW w:w="1380" w:type="dxa"/>
            <w:tcBorders>
              <w:top w:val="single" w:color="DDDDDD" w:sz="2" w:space="0"/>
            </w:tcBorders>
            <w:shd w:val="clear" w:color="auto" w:fill="02C000"/>
            <w:tcMar>
              <w:top w:w="60" w:type="dxa"/>
              <w:left w:w="60" w:type="dxa"/>
              <w:bottom w:w="60" w:type="dxa"/>
              <w:right w:w="60" w:type="dxa"/>
            </w:tcMar>
            <w:vAlign w:val="center"/>
          </w:tcPr>
          <w:p w14:paraId="72C4E9D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05BB11E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2D11C5F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10208E3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Imprecision |</w:t>
            </w:r>
          </w:p>
        </w:tc>
      </w:tr>
      <w:tr w14:paraId="2E107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726F5FB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IET vs Yoga</w:t>
            </w:r>
          </w:p>
        </w:tc>
        <w:tc>
          <w:tcPr>
            <w:tcW w:w="1177" w:type="dxa"/>
            <w:tcBorders>
              <w:top w:val="single" w:color="DDDDDD" w:sz="2" w:space="0"/>
            </w:tcBorders>
            <w:shd w:val="clear" w:color="auto" w:fill="FAFAFA"/>
            <w:tcMar>
              <w:top w:w="60" w:type="dxa"/>
              <w:left w:w="60" w:type="dxa"/>
              <w:bottom w:w="60" w:type="dxa"/>
              <w:right w:w="60" w:type="dxa"/>
            </w:tcMar>
            <w:vAlign w:val="center"/>
          </w:tcPr>
          <w:p w14:paraId="378EC3E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83" w:type="dxa"/>
            <w:tcBorders>
              <w:top w:val="single" w:color="DDDDDD" w:sz="2" w:space="0"/>
            </w:tcBorders>
            <w:shd w:val="clear" w:color="auto" w:fill="E0DF02"/>
            <w:tcMar>
              <w:top w:w="60" w:type="dxa"/>
              <w:left w:w="60" w:type="dxa"/>
              <w:bottom w:w="60" w:type="dxa"/>
              <w:right w:w="60" w:type="dxa"/>
            </w:tcMar>
            <w:vAlign w:val="center"/>
          </w:tcPr>
          <w:p w14:paraId="219C324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6AEF1CB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574974B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E0DF02"/>
            <w:tcMar>
              <w:top w:w="60" w:type="dxa"/>
              <w:left w:w="60" w:type="dxa"/>
              <w:bottom w:w="60" w:type="dxa"/>
              <w:right w:w="60" w:type="dxa"/>
            </w:tcMar>
            <w:vAlign w:val="center"/>
          </w:tcPr>
          <w:p w14:paraId="1911BF7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0" w:type="dxa"/>
            <w:tcBorders>
              <w:top w:val="single" w:color="DDDDDD" w:sz="2" w:space="0"/>
            </w:tcBorders>
            <w:shd w:val="clear" w:color="auto" w:fill="E0DF02"/>
            <w:tcMar>
              <w:top w:w="60" w:type="dxa"/>
              <w:left w:w="60" w:type="dxa"/>
              <w:bottom w:w="60" w:type="dxa"/>
              <w:right w:w="60" w:type="dxa"/>
            </w:tcMar>
            <w:vAlign w:val="center"/>
          </w:tcPr>
          <w:p w14:paraId="6DD006F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4CE1597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40BA1E0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37EF3F5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 Heterogeneity |</w:t>
            </w:r>
          </w:p>
        </w:tc>
      </w:tr>
      <w:tr w14:paraId="2E6D2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4A44E79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LIT vs MICT</w:t>
            </w:r>
          </w:p>
        </w:tc>
        <w:tc>
          <w:tcPr>
            <w:tcW w:w="1177" w:type="dxa"/>
            <w:tcBorders>
              <w:top w:val="single" w:color="DDDDDD" w:sz="2" w:space="0"/>
            </w:tcBorders>
            <w:shd w:val="clear" w:color="auto" w:fill="FAFAFA"/>
            <w:tcMar>
              <w:top w:w="60" w:type="dxa"/>
              <w:left w:w="60" w:type="dxa"/>
              <w:bottom w:w="60" w:type="dxa"/>
              <w:right w:w="60" w:type="dxa"/>
            </w:tcMar>
            <w:vAlign w:val="center"/>
          </w:tcPr>
          <w:p w14:paraId="3055FE0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83" w:type="dxa"/>
            <w:tcBorders>
              <w:top w:val="single" w:color="DDDDDD" w:sz="2" w:space="0"/>
            </w:tcBorders>
            <w:shd w:val="clear" w:color="auto" w:fill="E0DF02"/>
            <w:tcMar>
              <w:top w:w="60" w:type="dxa"/>
              <w:left w:w="60" w:type="dxa"/>
              <w:bottom w:w="60" w:type="dxa"/>
              <w:right w:w="60" w:type="dxa"/>
            </w:tcMar>
            <w:vAlign w:val="center"/>
          </w:tcPr>
          <w:p w14:paraId="1A7614F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4499CF2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4E0EAAC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02C000"/>
            <w:tcMar>
              <w:top w:w="60" w:type="dxa"/>
              <w:left w:w="60" w:type="dxa"/>
              <w:bottom w:w="60" w:type="dxa"/>
              <w:right w:w="60" w:type="dxa"/>
            </w:tcMar>
            <w:vAlign w:val="center"/>
          </w:tcPr>
          <w:p w14:paraId="45A1155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80" w:type="dxa"/>
            <w:tcBorders>
              <w:top w:val="single" w:color="DDDDDD" w:sz="2" w:space="0"/>
            </w:tcBorders>
            <w:shd w:val="clear" w:color="auto" w:fill="E0DF02"/>
            <w:tcMar>
              <w:top w:w="60" w:type="dxa"/>
              <w:left w:w="60" w:type="dxa"/>
              <w:bottom w:w="60" w:type="dxa"/>
              <w:right w:w="60" w:type="dxa"/>
            </w:tcMar>
            <w:vAlign w:val="center"/>
          </w:tcPr>
          <w:p w14:paraId="32071C9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72480F2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5BBC63D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40596AE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Heterogeneity |</w:t>
            </w:r>
          </w:p>
        </w:tc>
      </w:tr>
      <w:tr w14:paraId="18BBF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64DF9D1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LIT vs RT</w:t>
            </w:r>
          </w:p>
        </w:tc>
        <w:tc>
          <w:tcPr>
            <w:tcW w:w="1177" w:type="dxa"/>
            <w:tcBorders>
              <w:top w:val="single" w:color="DDDDDD" w:sz="2" w:space="0"/>
            </w:tcBorders>
            <w:shd w:val="clear" w:color="auto" w:fill="FAFAFA"/>
            <w:tcMar>
              <w:top w:w="60" w:type="dxa"/>
              <w:left w:w="60" w:type="dxa"/>
              <w:bottom w:w="60" w:type="dxa"/>
              <w:right w:w="60" w:type="dxa"/>
            </w:tcMar>
            <w:vAlign w:val="center"/>
          </w:tcPr>
          <w:p w14:paraId="333C691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83" w:type="dxa"/>
            <w:tcBorders>
              <w:top w:val="single" w:color="DDDDDD" w:sz="2" w:space="0"/>
            </w:tcBorders>
            <w:shd w:val="clear" w:color="auto" w:fill="E0DF02"/>
            <w:tcMar>
              <w:top w:w="60" w:type="dxa"/>
              <w:left w:w="60" w:type="dxa"/>
              <w:bottom w:w="60" w:type="dxa"/>
              <w:right w:w="60" w:type="dxa"/>
            </w:tcMar>
            <w:vAlign w:val="center"/>
          </w:tcPr>
          <w:p w14:paraId="516C1A1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399F79B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0412E9C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E0DF02"/>
            <w:tcMar>
              <w:top w:w="60" w:type="dxa"/>
              <w:left w:w="60" w:type="dxa"/>
              <w:bottom w:w="60" w:type="dxa"/>
              <w:right w:w="60" w:type="dxa"/>
            </w:tcMar>
            <w:vAlign w:val="center"/>
          </w:tcPr>
          <w:p w14:paraId="6A16F12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0" w:type="dxa"/>
            <w:tcBorders>
              <w:top w:val="single" w:color="DDDDDD" w:sz="2" w:space="0"/>
            </w:tcBorders>
            <w:shd w:val="clear" w:color="auto" w:fill="E0DF02"/>
            <w:tcMar>
              <w:top w:w="60" w:type="dxa"/>
              <w:left w:w="60" w:type="dxa"/>
              <w:bottom w:w="60" w:type="dxa"/>
              <w:right w:w="60" w:type="dxa"/>
            </w:tcMar>
            <w:vAlign w:val="center"/>
          </w:tcPr>
          <w:p w14:paraId="0695D02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 </w:t>
            </w:r>
          </w:p>
        </w:tc>
        <w:tc>
          <w:tcPr>
            <w:tcW w:w="1192" w:type="dxa"/>
            <w:tcBorders>
              <w:top w:val="single" w:color="DDDDDD" w:sz="2" w:space="0"/>
            </w:tcBorders>
            <w:shd w:val="clear" w:color="auto" w:fill="02C000"/>
            <w:tcMar>
              <w:top w:w="60" w:type="dxa"/>
              <w:left w:w="60" w:type="dxa"/>
              <w:bottom w:w="60" w:type="dxa"/>
              <w:right w:w="60" w:type="dxa"/>
            </w:tcMar>
            <w:vAlign w:val="center"/>
          </w:tcPr>
          <w:p w14:paraId="18250A7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39BA144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3DDCC20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 Heterogeneity |</w:t>
            </w:r>
          </w:p>
        </w:tc>
      </w:tr>
      <w:tr w14:paraId="0EB44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02A9A9F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LIT vs Tai chi</w:t>
            </w:r>
          </w:p>
        </w:tc>
        <w:tc>
          <w:tcPr>
            <w:tcW w:w="1177" w:type="dxa"/>
            <w:tcBorders>
              <w:top w:val="single" w:color="DDDDDD" w:sz="2" w:space="0"/>
            </w:tcBorders>
            <w:shd w:val="clear" w:color="auto" w:fill="FAFAFA"/>
            <w:tcMar>
              <w:top w:w="60" w:type="dxa"/>
              <w:left w:w="60" w:type="dxa"/>
              <w:bottom w:w="60" w:type="dxa"/>
              <w:right w:w="60" w:type="dxa"/>
            </w:tcMar>
            <w:vAlign w:val="center"/>
          </w:tcPr>
          <w:p w14:paraId="1F0E43F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83" w:type="dxa"/>
            <w:tcBorders>
              <w:top w:val="single" w:color="DDDDDD" w:sz="2" w:space="0"/>
            </w:tcBorders>
            <w:shd w:val="clear" w:color="auto" w:fill="E0DF02"/>
            <w:tcMar>
              <w:top w:w="60" w:type="dxa"/>
              <w:left w:w="60" w:type="dxa"/>
              <w:bottom w:w="60" w:type="dxa"/>
              <w:right w:w="60" w:type="dxa"/>
            </w:tcMar>
            <w:vAlign w:val="center"/>
          </w:tcPr>
          <w:p w14:paraId="6D7BD2D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4BAC95E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4FBB4DE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E0DF02"/>
            <w:tcMar>
              <w:top w:w="60" w:type="dxa"/>
              <w:left w:w="60" w:type="dxa"/>
              <w:bottom w:w="60" w:type="dxa"/>
              <w:right w:w="60" w:type="dxa"/>
            </w:tcMar>
            <w:vAlign w:val="center"/>
          </w:tcPr>
          <w:p w14:paraId="46DD6D2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0" w:type="dxa"/>
            <w:tcBorders>
              <w:top w:val="single" w:color="DDDDDD" w:sz="2" w:space="0"/>
            </w:tcBorders>
            <w:shd w:val="clear" w:color="auto" w:fill="02C000"/>
            <w:tcMar>
              <w:top w:w="60" w:type="dxa"/>
              <w:left w:w="60" w:type="dxa"/>
              <w:bottom w:w="60" w:type="dxa"/>
              <w:right w:w="60" w:type="dxa"/>
            </w:tcMar>
            <w:vAlign w:val="center"/>
          </w:tcPr>
          <w:p w14:paraId="3D002A2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2A1658E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49A709B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0423E2D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w:t>
            </w:r>
          </w:p>
        </w:tc>
      </w:tr>
      <w:tr w14:paraId="41E0C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213DE51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MICT vs Yoga</w:t>
            </w:r>
          </w:p>
        </w:tc>
        <w:tc>
          <w:tcPr>
            <w:tcW w:w="1177" w:type="dxa"/>
            <w:tcBorders>
              <w:top w:val="single" w:color="DDDDDD" w:sz="2" w:space="0"/>
            </w:tcBorders>
            <w:shd w:val="clear" w:color="auto" w:fill="FAFAFA"/>
            <w:tcMar>
              <w:top w:w="60" w:type="dxa"/>
              <w:left w:w="60" w:type="dxa"/>
              <w:bottom w:w="60" w:type="dxa"/>
              <w:right w:w="60" w:type="dxa"/>
            </w:tcMar>
            <w:vAlign w:val="center"/>
          </w:tcPr>
          <w:p w14:paraId="6404A32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83" w:type="dxa"/>
            <w:tcBorders>
              <w:top w:val="single" w:color="DDDDDD" w:sz="2" w:space="0"/>
            </w:tcBorders>
            <w:shd w:val="clear" w:color="auto" w:fill="E0DF02"/>
            <w:tcMar>
              <w:top w:w="60" w:type="dxa"/>
              <w:left w:w="60" w:type="dxa"/>
              <w:bottom w:w="60" w:type="dxa"/>
              <w:right w:w="60" w:type="dxa"/>
            </w:tcMar>
            <w:vAlign w:val="center"/>
          </w:tcPr>
          <w:p w14:paraId="7256666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1DA2236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00343DF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E0DF02"/>
            <w:tcMar>
              <w:top w:w="60" w:type="dxa"/>
              <w:left w:w="60" w:type="dxa"/>
              <w:bottom w:w="60" w:type="dxa"/>
              <w:right w:w="60" w:type="dxa"/>
            </w:tcMar>
            <w:vAlign w:val="center"/>
          </w:tcPr>
          <w:p w14:paraId="50D7166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0" w:type="dxa"/>
            <w:tcBorders>
              <w:top w:val="single" w:color="DDDDDD" w:sz="2" w:space="0"/>
            </w:tcBorders>
            <w:shd w:val="clear" w:color="auto" w:fill="E0DF02"/>
            <w:tcMar>
              <w:top w:w="60" w:type="dxa"/>
              <w:left w:w="60" w:type="dxa"/>
              <w:bottom w:w="60" w:type="dxa"/>
              <w:right w:w="60" w:type="dxa"/>
            </w:tcMar>
            <w:vAlign w:val="center"/>
          </w:tcPr>
          <w:p w14:paraId="0EE0064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423C4D5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13A1B17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0A11012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 Heterogeneity |</w:t>
            </w:r>
          </w:p>
        </w:tc>
      </w:tr>
      <w:tr w14:paraId="06312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250B197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RT vs Tai chi</w:t>
            </w:r>
          </w:p>
        </w:tc>
        <w:tc>
          <w:tcPr>
            <w:tcW w:w="1177" w:type="dxa"/>
            <w:tcBorders>
              <w:top w:val="single" w:color="DDDDDD" w:sz="2" w:space="0"/>
            </w:tcBorders>
            <w:shd w:val="clear" w:color="auto" w:fill="FAFAFA"/>
            <w:tcMar>
              <w:top w:w="60" w:type="dxa"/>
              <w:left w:w="60" w:type="dxa"/>
              <w:bottom w:w="60" w:type="dxa"/>
              <w:right w:w="60" w:type="dxa"/>
            </w:tcMar>
            <w:vAlign w:val="center"/>
          </w:tcPr>
          <w:p w14:paraId="03C8C32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83" w:type="dxa"/>
            <w:tcBorders>
              <w:top w:val="single" w:color="DDDDDD" w:sz="2" w:space="0"/>
            </w:tcBorders>
            <w:shd w:val="clear" w:color="auto" w:fill="02C000"/>
            <w:tcMar>
              <w:top w:w="60" w:type="dxa"/>
              <w:left w:w="60" w:type="dxa"/>
              <w:bottom w:w="60" w:type="dxa"/>
              <w:right w:w="60" w:type="dxa"/>
            </w:tcMar>
            <w:vAlign w:val="center"/>
          </w:tcPr>
          <w:p w14:paraId="29E3325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6EB5134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7DCE247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E0DF02"/>
            <w:tcMar>
              <w:top w:w="60" w:type="dxa"/>
              <w:left w:w="60" w:type="dxa"/>
              <w:bottom w:w="60" w:type="dxa"/>
              <w:right w:w="60" w:type="dxa"/>
            </w:tcMar>
            <w:vAlign w:val="center"/>
          </w:tcPr>
          <w:p w14:paraId="1DB2D46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0" w:type="dxa"/>
            <w:tcBorders>
              <w:top w:val="single" w:color="DDDDDD" w:sz="2" w:space="0"/>
            </w:tcBorders>
            <w:shd w:val="clear" w:color="auto" w:fill="E0DF02"/>
            <w:tcMar>
              <w:top w:w="60" w:type="dxa"/>
              <w:left w:w="60" w:type="dxa"/>
              <w:bottom w:w="60" w:type="dxa"/>
              <w:right w:w="60" w:type="dxa"/>
            </w:tcMar>
            <w:vAlign w:val="center"/>
          </w:tcPr>
          <w:p w14:paraId="28C0C09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250288F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28DC880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5177685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Imprecision | Heterogeneity |</w:t>
            </w:r>
          </w:p>
        </w:tc>
      </w:tr>
      <w:tr w14:paraId="5C020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58DEEAB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RT vs Yoga</w:t>
            </w:r>
          </w:p>
        </w:tc>
        <w:tc>
          <w:tcPr>
            <w:tcW w:w="1177" w:type="dxa"/>
            <w:tcBorders>
              <w:top w:val="single" w:color="DDDDDD" w:sz="2" w:space="0"/>
            </w:tcBorders>
            <w:shd w:val="clear" w:color="auto" w:fill="FAFAFA"/>
            <w:tcMar>
              <w:top w:w="60" w:type="dxa"/>
              <w:left w:w="60" w:type="dxa"/>
              <w:bottom w:w="60" w:type="dxa"/>
              <w:right w:w="60" w:type="dxa"/>
            </w:tcMar>
            <w:vAlign w:val="center"/>
          </w:tcPr>
          <w:p w14:paraId="692BDEE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83" w:type="dxa"/>
            <w:tcBorders>
              <w:top w:val="single" w:color="DDDDDD" w:sz="2" w:space="0"/>
            </w:tcBorders>
            <w:shd w:val="clear" w:color="auto" w:fill="E0DF02"/>
            <w:tcMar>
              <w:top w:w="60" w:type="dxa"/>
              <w:left w:w="60" w:type="dxa"/>
              <w:bottom w:w="60" w:type="dxa"/>
              <w:right w:w="60" w:type="dxa"/>
            </w:tcMar>
            <w:vAlign w:val="center"/>
          </w:tcPr>
          <w:p w14:paraId="055C6C8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36BB4FA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25A90A3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E0DF02"/>
            <w:tcMar>
              <w:top w:w="60" w:type="dxa"/>
              <w:left w:w="60" w:type="dxa"/>
              <w:bottom w:w="60" w:type="dxa"/>
              <w:right w:w="60" w:type="dxa"/>
            </w:tcMar>
            <w:vAlign w:val="center"/>
          </w:tcPr>
          <w:p w14:paraId="7ECE7B0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0" w:type="dxa"/>
            <w:tcBorders>
              <w:top w:val="single" w:color="DDDDDD" w:sz="2" w:space="0"/>
            </w:tcBorders>
            <w:shd w:val="clear" w:color="auto" w:fill="E0DF02"/>
            <w:tcMar>
              <w:top w:w="60" w:type="dxa"/>
              <w:left w:w="60" w:type="dxa"/>
              <w:bottom w:w="60" w:type="dxa"/>
              <w:right w:w="60" w:type="dxa"/>
            </w:tcMar>
            <w:vAlign w:val="center"/>
          </w:tcPr>
          <w:p w14:paraId="7CA095F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6C9E0AC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7311FC8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20081F8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 Heterogeneity |</w:t>
            </w:r>
          </w:p>
        </w:tc>
      </w:tr>
      <w:tr w14:paraId="0DDDB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196C833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Tai chi vs Yoga</w:t>
            </w:r>
          </w:p>
        </w:tc>
        <w:tc>
          <w:tcPr>
            <w:tcW w:w="1177" w:type="dxa"/>
            <w:tcBorders>
              <w:top w:val="single" w:color="DDDDDD" w:sz="2" w:space="0"/>
            </w:tcBorders>
            <w:shd w:val="clear" w:color="auto" w:fill="FAFAFA"/>
            <w:tcMar>
              <w:top w:w="60" w:type="dxa"/>
              <w:left w:w="60" w:type="dxa"/>
              <w:bottom w:w="60" w:type="dxa"/>
              <w:right w:w="60" w:type="dxa"/>
            </w:tcMar>
            <w:vAlign w:val="center"/>
          </w:tcPr>
          <w:p w14:paraId="03216D7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83" w:type="dxa"/>
            <w:tcBorders>
              <w:top w:val="single" w:color="DDDDDD" w:sz="2" w:space="0"/>
            </w:tcBorders>
            <w:shd w:val="clear" w:color="auto" w:fill="02C000"/>
            <w:tcMar>
              <w:top w:w="60" w:type="dxa"/>
              <w:left w:w="60" w:type="dxa"/>
              <w:bottom w:w="60" w:type="dxa"/>
              <w:right w:w="60" w:type="dxa"/>
            </w:tcMar>
            <w:vAlign w:val="center"/>
          </w:tcPr>
          <w:p w14:paraId="4AA95B4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74E29E1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4B1593D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C00000"/>
            <w:tcMar>
              <w:top w:w="60" w:type="dxa"/>
              <w:left w:w="60" w:type="dxa"/>
              <w:bottom w:w="60" w:type="dxa"/>
              <w:right w:w="60" w:type="dxa"/>
            </w:tcMar>
            <w:vAlign w:val="center"/>
          </w:tcPr>
          <w:p w14:paraId="5EF4758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w:t>
            </w:r>
          </w:p>
        </w:tc>
        <w:tc>
          <w:tcPr>
            <w:tcW w:w="1380" w:type="dxa"/>
            <w:tcBorders>
              <w:top w:val="single" w:color="DDDDDD" w:sz="2" w:space="0"/>
            </w:tcBorders>
            <w:shd w:val="clear" w:color="auto" w:fill="02C000"/>
            <w:tcMar>
              <w:top w:w="60" w:type="dxa"/>
              <w:left w:w="60" w:type="dxa"/>
              <w:bottom w:w="60" w:type="dxa"/>
              <w:right w:w="60" w:type="dxa"/>
            </w:tcMar>
            <w:vAlign w:val="center"/>
          </w:tcPr>
          <w:p w14:paraId="3BE45DE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024ED65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34BF16A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69" w:type="dxa"/>
            <w:tcBorders>
              <w:top w:val="single" w:color="DDDDDD" w:sz="2" w:space="0"/>
            </w:tcBorders>
            <w:shd w:val="clear" w:color="auto" w:fill="FAFAFA"/>
            <w:tcMar>
              <w:top w:w="60" w:type="dxa"/>
              <w:left w:w="60" w:type="dxa"/>
              <w:bottom w:w="60" w:type="dxa"/>
              <w:right w:w="60" w:type="dxa"/>
            </w:tcMar>
            <w:vAlign w:val="center"/>
          </w:tcPr>
          <w:p w14:paraId="6ED7DED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Imprecision |</w:t>
            </w:r>
          </w:p>
        </w:tc>
      </w:tr>
      <w:tr w14:paraId="4A763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264" w:type="dxa"/>
            <w:tcBorders>
              <w:top w:val="single" w:color="DDDDDD" w:sz="2" w:space="0"/>
            </w:tcBorders>
            <w:shd w:val="clear" w:color="auto" w:fill="FAFAFA"/>
            <w:tcMar>
              <w:top w:w="60" w:type="dxa"/>
              <w:left w:w="60" w:type="dxa"/>
              <w:bottom w:w="60" w:type="dxa"/>
              <w:right w:w="60" w:type="dxa"/>
            </w:tcMar>
            <w:vAlign w:val="center"/>
          </w:tcPr>
          <w:p w14:paraId="5A22430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Tai chi vs control</w:t>
            </w:r>
          </w:p>
        </w:tc>
        <w:tc>
          <w:tcPr>
            <w:tcW w:w="1177" w:type="dxa"/>
            <w:tcBorders>
              <w:top w:val="single" w:color="DDDDDD" w:sz="2" w:space="0"/>
            </w:tcBorders>
            <w:shd w:val="clear" w:color="auto" w:fill="FAFAFA"/>
            <w:tcMar>
              <w:top w:w="60" w:type="dxa"/>
              <w:left w:w="60" w:type="dxa"/>
              <w:bottom w:w="60" w:type="dxa"/>
              <w:right w:w="60" w:type="dxa"/>
            </w:tcMar>
            <w:vAlign w:val="center"/>
          </w:tcPr>
          <w:p w14:paraId="0C3C888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83" w:type="dxa"/>
            <w:tcBorders>
              <w:top w:val="single" w:color="DDDDDD" w:sz="2" w:space="0"/>
            </w:tcBorders>
            <w:shd w:val="clear" w:color="auto" w:fill="02C000"/>
            <w:tcMar>
              <w:top w:w="60" w:type="dxa"/>
              <w:left w:w="60" w:type="dxa"/>
              <w:bottom w:w="60" w:type="dxa"/>
              <w:right w:w="60" w:type="dxa"/>
            </w:tcMar>
            <w:vAlign w:val="center"/>
          </w:tcPr>
          <w:p w14:paraId="52091B7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997" w:type="dxa"/>
            <w:tcBorders>
              <w:top w:val="single" w:color="DDDDDD" w:sz="2" w:space="0"/>
            </w:tcBorders>
            <w:shd w:val="clear" w:color="auto" w:fill="02C000"/>
            <w:tcMar>
              <w:top w:w="60" w:type="dxa"/>
              <w:left w:w="60" w:type="dxa"/>
              <w:bottom w:w="60" w:type="dxa"/>
              <w:right w:w="60" w:type="dxa"/>
            </w:tcMar>
            <w:vAlign w:val="center"/>
          </w:tcPr>
          <w:p w14:paraId="18FC43B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30" w:type="dxa"/>
            <w:tcBorders>
              <w:top w:val="single" w:color="DDDDDD" w:sz="2" w:space="0"/>
            </w:tcBorders>
            <w:shd w:val="clear" w:color="auto" w:fill="02C000"/>
            <w:tcMar>
              <w:top w:w="60" w:type="dxa"/>
              <w:left w:w="60" w:type="dxa"/>
              <w:bottom w:w="60" w:type="dxa"/>
              <w:right w:w="60" w:type="dxa"/>
            </w:tcMar>
            <w:vAlign w:val="center"/>
          </w:tcPr>
          <w:p w14:paraId="6210B27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33" w:type="dxa"/>
            <w:tcBorders>
              <w:top w:val="single" w:color="DDDDDD" w:sz="2" w:space="0"/>
            </w:tcBorders>
            <w:shd w:val="clear" w:color="auto" w:fill="02C000"/>
            <w:tcMar>
              <w:top w:w="60" w:type="dxa"/>
              <w:left w:w="60" w:type="dxa"/>
              <w:bottom w:w="60" w:type="dxa"/>
              <w:right w:w="60" w:type="dxa"/>
            </w:tcMar>
            <w:vAlign w:val="center"/>
          </w:tcPr>
          <w:p w14:paraId="752190B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80" w:type="dxa"/>
            <w:tcBorders>
              <w:top w:val="single" w:color="DDDDDD" w:sz="2" w:space="0"/>
            </w:tcBorders>
            <w:shd w:val="clear" w:color="auto" w:fill="E0DF02"/>
            <w:tcMar>
              <w:top w:w="60" w:type="dxa"/>
              <w:left w:w="60" w:type="dxa"/>
              <w:bottom w:w="60" w:type="dxa"/>
              <w:right w:w="60" w:type="dxa"/>
            </w:tcMar>
            <w:vAlign w:val="center"/>
          </w:tcPr>
          <w:p w14:paraId="59C1942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92" w:type="dxa"/>
            <w:tcBorders>
              <w:top w:val="single" w:color="DDDDDD" w:sz="2" w:space="0"/>
            </w:tcBorders>
            <w:shd w:val="clear" w:color="auto" w:fill="02C000"/>
            <w:tcMar>
              <w:top w:w="60" w:type="dxa"/>
              <w:left w:w="60" w:type="dxa"/>
              <w:bottom w:w="60" w:type="dxa"/>
              <w:right w:w="60" w:type="dxa"/>
            </w:tcMar>
            <w:vAlign w:val="center"/>
          </w:tcPr>
          <w:p w14:paraId="6D5356F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53" w:type="dxa"/>
            <w:tcBorders>
              <w:top w:val="single" w:color="DDDDDD" w:sz="2" w:space="0"/>
            </w:tcBorders>
            <w:shd w:val="clear" w:color="auto" w:fill="FAFAFA"/>
            <w:tcMar>
              <w:top w:w="60" w:type="dxa"/>
              <w:left w:w="60" w:type="dxa"/>
              <w:bottom w:w="60" w:type="dxa"/>
              <w:right w:w="60" w:type="dxa"/>
            </w:tcMar>
            <w:vAlign w:val="center"/>
          </w:tcPr>
          <w:p w14:paraId="44BB50D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highlight w:val="cyan"/>
                <w:bdr w:val="single" w:color="0C8CE7" w:sz="2" w:space="0"/>
                <w:shd w:val="clear" w:fill="FFFFFF"/>
                <w:lang w:val="en-US" w:eastAsia="zh-CN" w:bidi="ar"/>
              </w:rPr>
              <w:t>Moderate</w:t>
            </w:r>
          </w:p>
        </w:tc>
        <w:tc>
          <w:tcPr>
            <w:tcW w:w="2869" w:type="dxa"/>
            <w:tcBorders>
              <w:top w:val="single" w:color="DDDDDD" w:sz="2" w:space="0"/>
            </w:tcBorders>
            <w:shd w:val="clear" w:color="auto" w:fill="FAFAFA"/>
            <w:tcMar>
              <w:top w:w="60" w:type="dxa"/>
              <w:left w:w="60" w:type="dxa"/>
              <w:bottom w:w="60" w:type="dxa"/>
              <w:right w:w="60" w:type="dxa"/>
            </w:tcMar>
            <w:vAlign w:val="center"/>
          </w:tcPr>
          <w:p w14:paraId="2422D5A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Heterogeneity |</w:t>
            </w:r>
          </w:p>
        </w:tc>
      </w:tr>
    </w:tbl>
    <w:p w14:paraId="654BE13C">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br w:type="page"/>
      </w:r>
    </w:p>
    <w:p w14:paraId="40AB017D">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CINeMA results for DBP</w:t>
      </w:r>
    </w:p>
    <w:tbl>
      <w:tblPr>
        <w:tblStyle w:val="6"/>
        <w:tblW w:w="1407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Layout w:type="fixed"/>
        <w:tblCellMar>
          <w:top w:w="0" w:type="dxa"/>
          <w:left w:w="0" w:type="dxa"/>
          <w:bottom w:w="0" w:type="dxa"/>
          <w:right w:w="0" w:type="dxa"/>
        </w:tblCellMar>
      </w:tblPr>
      <w:tblGrid>
        <w:gridCol w:w="1189"/>
        <w:gridCol w:w="1041"/>
        <w:gridCol w:w="1228"/>
        <w:gridCol w:w="1162"/>
        <w:gridCol w:w="1219"/>
        <w:gridCol w:w="1238"/>
        <w:gridCol w:w="1387"/>
        <w:gridCol w:w="1472"/>
        <w:gridCol w:w="1303"/>
        <w:gridCol w:w="2839"/>
      </w:tblGrid>
      <w:tr w14:paraId="3A8CB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CellMar>
            <w:top w:w="0" w:type="dxa"/>
            <w:left w:w="0" w:type="dxa"/>
            <w:bottom w:w="0" w:type="dxa"/>
            <w:right w:w="0" w:type="dxa"/>
          </w:tblCellMar>
        </w:tblPrEx>
        <w:tc>
          <w:tcPr>
            <w:tcW w:w="1189" w:type="dxa"/>
            <w:tcBorders>
              <w:top w:val="nil"/>
              <w:bottom w:val="single" w:color="DDDDDD" w:sz="6" w:space="0"/>
            </w:tcBorders>
            <w:shd w:val="clear" w:color="auto" w:fill="FAFAFA"/>
            <w:tcMar>
              <w:top w:w="60" w:type="dxa"/>
              <w:left w:w="60" w:type="dxa"/>
              <w:bottom w:w="60" w:type="dxa"/>
              <w:right w:w="60" w:type="dxa"/>
            </w:tcMar>
            <w:vAlign w:val="center"/>
          </w:tcPr>
          <w:p w14:paraId="279E3EE5">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kern w:val="0"/>
                <w:sz w:val="21"/>
                <w:szCs w:val="21"/>
                <w:lang w:val="en-US" w:eastAsia="zh-CN" w:bidi="ar"/>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Comparison</w:t>
            </w:r>
          </w:p>
        </w:tc>
        <w:tc>
          <w:tcPr>
            <w:tcW w:w="1041" w:type="dxa"/>
            <w:tcBorders>
              <w:top w:val="nil"/>
              <w:bottom w:val="single" w:color="DDDDDD" w:sz="6" w:space="0"/>
            </w:tcBorders>
            <w:shd w:val="clear" w:color="auto" w:fill="FAFAFA"/>
            <w:tcMar>
              <w:top w:w="60" w:type="dxa"/>
              <w:left w:w="60" w:type="dxa"/>
              <w:bottom w:w="60" w:type="dxa"/>
              <w:right w:w="60" w:type="dxa"/>
            </w:tcMar>
            <w:vAlign w:val="center"/>
          </w:tcPr>
          <w:p w14:paraId="1145ED9D">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kern w:val="0"/>
                <w:sz w:val="21"/>
                <w:szCs w:val="21"/>
                <w:lang w:val="en-US" w:eastAsia="zh-CN" w:bidi="ar"/>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Number of Studies</w:t>
            </w:r>
          </w:p>
        </w:tc>
        <w:tc>
          <w:tcPr>
            <w:tcW w:w="1228" w:type="dxa"/>
            <w:tcBorders>
              <w:top w:val="nil"/>
              <w:bottom w:val="single" w:color="DDDDDD" w:sz="6" w:space="0"/>
            </w:tcBorders>
            <w:shd w:val="clear" w:color="auto" w:fill="FAFAFA"/>
            <w:tcMar>
              <w:top w:w="60" w:type="dxa"/>
              <w:left w:w="60" w:type="dxa"/>
              <w:bottom w:w="60" w:type="dxa"/>
              <w:right w:w="60" w:type="dxa"/>
            </w:tcMar>
            <w:vAlign w:val="center"/>
          </w:tcPr>
          <w:p w14:paraId="3684A4DE">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kern w:val="0"/>
                <w:sz w:val="21"/>
                <w:szCs w:val="21"/>
                <w:lang w:val="en-US" w:eastAsia="zh-CN" w:bidi="ar"/>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Within-study bias</w:t>
            </w:r>
          </w:p>
        </w:tc>
        <w:tc>
          <w:tcPr>
            <w:tcW w:w="1162" w:type="dxa"/>
            <w:tcBorders>
              <w:top w:val="nil"/>
              <w:bottom w:val="single" w:color="DDDDDD" w:sz="6" w:space="0"/>
            </w:tcBorders>
            <w:shd w:val="clear" w:color="auto" w:fill="FAFAFA"/>
            <w:tcMar>
              <w:top w:w="60" w:type="dxa"/>
              <w:left w:w="60" w:type="dxa"/>
              <w:bottom w:w="60" w:type="dxa"/>
              <w:right w:w="60" w:type="dxa"/>
            </w:tcMar>
            <w:vAlign w:val="center"/>
          </w:tcPr>
          <w:p w14:paraId="73E4A66A">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kern w:val="0"/>
                <w:sz w:val="21"/>
                <w:szCs w:val="21"/>
                <w:lang w:val="en-US" w:eastAsia="zh-CN" w:bidi="ar"/>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Reporting bias</w:t>
            </w:r>
          </w:p>
        </w:tc>
        <w:tc>
          <w:tcPr>
            <w:tcW w:w="1219" w:type="dxa"/>
            <w:tcBorders>
              <w:top w:val="nil"/>
              <w:bottom w:val="single" w:color="DDDDDD" w:sz="6" w:space="0"/>
            </w:tcBorders>
            <w:shd w:val="clear" w:color="auto" w:fill="FAFAFA"/>
            <w:tcMar>
              <w:top w:w="60" w:type="dxa"/>
              <w:left w:w="60" w:type="dxa"/>
              <w:bottom w:w="60" w:type="dxa"/>
              <w:right w:w="60" w:type="dxa"/>
            </w:tcMar>
            <w:vAlign w:val="center"/>
          </w:tcPr>
          <w:p w14:paraId="25D23EDA">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kern w:val="0"/>
                <w:sz w:val="21"/>
                <w:szCs w:val="21"/>
                <w:lang w:val="en-US" w:eastAsia="zh-CN" w:bidi="ar"/>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Indirectness</w:t>
            </w:r>
          </w:p>
        </w:tc>
        <w:tc>
          <w:tcPr>
            <w:tcW w:w="1238" w:type="dxa"/>
            <w:tcBorders>
              <w:top w:val="nil"/>
              <w:bottom w:val="single" w:color="DDDDDD" w:sz="6" w:space="0"/>
            </w:tcBorders>
            <w:shd w:val="clear" w:color="auto" w:fill="FAFAFA"/>
            <w:tcMar>
              <w:top w:w="60" w:type="dxa"/>
              <w:left w:w="60" w:type="dxa"/>
              <w:bottom w:w="60" w:type="dxa"/>
              <w:right w:w="60" w:type="dxa"/>
            </w:tcMar>
            <w:vAlign w:val="center"/>
          </w:tcPr>
          <w:p w14:paraId="52C39148">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kern w:val="0"/>
                <w:sz w:val="21"/>
                <w:szCs w:val="21"/>
                <w:lang w:val="en-US" w:eastAsia="zh-CN" w:bidi="ar"/>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Imprecision</w:t>
            </w:r>
          </w:p>
        </w:tc>
        <w:tc>
          <w:tcPr>
            <w:tcW w:w="1387" w:type="dxa"/>
            <w:tcBorders>
              <w:top w:val="nil"/>
              <w:bottom w:val="single" w:color="DDDDDD" w:sz="6" w:space="0"/>
            </w:tcBorders>
            <w:shd w:val="clear" w:color="auto" w:fill="FAFAFA"/>
            <w:tcMar>
              <w:top w:w="60" w:type="dxa"/>
              <w:left w:w="60" w:type="dxa"/>
              <w:bottom w:w="60" w:type="dxa"/>
              <w:right w:w="60" w:type="dxa"/>
            </w:tcMar>
            <w:vAlign w:val="center"/>
          </w:tcPr>
          <w:p w14:paraId="477EEDE2">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kern w:val="0"/>
                <w:sz w:val="21"/>
                <w:szCs w:val="21"/>
                <w:lang w:val="en-US" w:eastAsia="zh-CN" w:bidi="ar"/>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Heterogeneity</w:t>
            </w:r>
          </w:p>
        </w:tc>
        <w:tc>
          <w:tcPr>
            <w:tcW w:w="1472" w:type="dxa"/>
            <w:tcBorders>
              <w:top w:val="nil"/>
              <w:bottom w:val="single" w:color="DDDDDD" w:sz="6" w:space="0"/>
            </w:tcBorders>
            <w:shd w:val="clear" w:color="auto" w:fill="FAFAFA"/>
            <w:tcMar>
              <w:top w:w="60" w:type="dxa"/>
              <w:left w:w="60" w:type="dxa"/>
              <w:bottom w:w="60" w:type="dxa"/>
              <w:right w:w="60" w:type="dxa"/>
            </w:tcMar>
            <w:vAlign w:val="center"/>
          </w:tcPr>
          <w:p w14:paraId="21C882B8">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kern w:val="0"/>
                <w:sz w:val="21"/>
                <w:szCs w:val="21"/>
                <w:lang w:val="en-US" w:eastAsia="zh-CN" w:bidi="ar"/>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Incoherence</w:t>
            </w:r>
          </w:p>
        </w:tc>
        <w:tc>
          <w:tcPr>
            <w:tcW w:w="1303" w:type="dxa"/>
            <w:tcBorders>
              <w:top w:val="nil"/>
              <w:bottom w:val="single" w:color="DDDDDD" w:sz="6" w:space="0"/>
            </w:tcBorders>
            <w:shd w:val="clear" w:color="auto" w:fill="FAFAFA"/>
            <w:tcMar>
              <w:top w:w="60" w:type="dxa"/>
              <w:left w:w="60" w:type="dxa"/>
              <w:bottom w:w="60" w:type="dxa"/>
              <w:right w:w="60" w:type="dxa"/>
            </w:tcMar>
            <w:vAlign w:val="center"/>
          </w:tcPr>
          <w:p w14:paraId="2500D256">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kern w:val="0"/>
                <w:sz w:val="21"/>
                <w:szCs w:val="21"/>
                <w:lang w:val="en-US" w:eastAsia="zh-CN" w:bidi="ar"/>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Confidence rating</w:t>
            </w:r>
          </w:p>
        </w:tc>
        <w:tc>
          <w:tcPr>
            <w:tcW w:w="2839" w:type="dxa"/>
            <w:tcBorders>
              <w:top w:val="nil"/>
              <w:bottom w:val="single" w:color="DDDDDD" w:sz="6" w:space="0"/>
            </w:tcBorders>
            <w:shd w:val="clear" w:color="auto" w:fill="FAFAFA"/>
            <w:tcMar>
              <w:top w:w="60" w:type="dxa"/>
              <w:left w:w="60" w:type="dxa"/>
              <w:bottom w:w="60" w:type="dxa"/>
              <w:right w:w="60" w:type="dxa"/>
            </w:tcMar>
            <w:vAlign w:val="center"/>
          </w:tcPr>
          <w:p w14:paraId="37D49511">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kern w:val="0"/>
                <w:sz w:val="21"/>
                <w:szCs w:val="21"/>
                <w:lang w:val="en-US" w:eastAsia="zh-CN" w:bidi="ar"/>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Reason(s) for downgrading</w:t>
            </w:r>
          </w:p>
        </w:tc>
      </w:tr>
      <w:tr w14:paraId="48CC8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CellMar>
            <w:top w:w="0" w:type="dxa"/>
            <w:left w:w="0" w:type="dxa"/>
            <w:bottom w:w="0" w:type="dxa"/>
            <w:right w:w="0" w:type="dxa"/>
          </w:tblCellMar>
        </w:tblPrEx>
        <w:tc>
          <w:tcPr>
            <w:tcW w:w="11239" w:type="dxa"/>
            <w:gridSpan w:val="9"/>
            <w:tcBorders>
              <w:top w:val="single" w:color="DDDDDD" w:sz="2" w:space="0"/>
            </w:tcBorders>
            <w:shd w:val="clear" w:color="auto" w:fill="FAFAFA"/>
            <w:tcMar>
              <w:top w:w="60" w:type="dxa"/>
              <w:left w:w="60" w:type="dxa"/>
              <w:bottom w:w="60" w:type="dxa"/>
              <w:right w:w="60" w:type="dxa"/>
            </w:tcMar>
            <w:vAlign w:val="center"/>
          </w:tcPr>
          <w:p w14:paraId="7BB69368">
            <w:pPr>
              <w:pStyle w:val="2"/>
              <w:keepNext w:val="0"/>
              <w:keepLines w:val="0"/>
              <w:widowControl/>
              <w:suppressLineNumbers w:val="0"/>
              <w:spacing w:before="75" w:beforeAutospacing="0" w:after="75" w:afterAutospacing="0" w:line="8" w:lineRule="atLeast"/>
              <w:jc w:val="center"/>
              <w:rPr>
                <w:rFonts w:hint="default" w:ascii="Times New Roman" w:hAnsi="Times New Roman" w:cs="Times New Roman"/>
                <w:b w:val="0"/>
                <w:bCs w:val="0"/>
                <w:i w:val="0"/>
                <w:iCs w:val="0"/>
                <w:caps w:val="0"/>
                <w:color w:val="333333"/>
                <w:spacing w:val="0"/>
                <w:sz w:val="21"/>
                <w:szCs w:val="21"/>
              </w:rPr>
            </w:pPr>
            <w:r>
              <w:rPr>
                <w:rFonts w:hint="default" w:ascii="Times New Roman" w:hAnsi="Times New Roman" w:cs="Times New Roman"/>
                <w:b w:val="0"/>
                <w:bCs w:val="0"/>
                <w:i w:val="0"/>
                <w:iCs w:val="0"/>
                <w:caps w:val="0"/>
                <w:color w:val="333333"/>
                <w:spacing w:val="0"/>
                <w:sz w:val="21"/>
                <w:szCs w:val="21"/>
              </w:rPr>
              <w:t>Mixed evidence</w:t>
            </w:r>
          </w:p>
        </w:tc>
        <w:tc>
          <w:tcPr>
            <w:tcW w:w="2839" w:type="dxa"/>
            <w:shd w:val="clear" w:color="auto" w:fill="FAFAFA"/>
            <w:vAlign w:val="center"/>
          </w:tcPr>
          <w:p w14:paraId="7D56422D">
            <w:pPr>
              <w:pStyle w:val="2"/>
              <w:keepNext w:val="0"/>
              <w:keepLines w:val="0"/>
              <w:widowControl/>
              <w:suppressLineNumbers w:val="0"/>
              <w:spacing w:before="75" w:beforeAutospacing="0" w:after="75" w:afterAutospacing="0" w:line="8" w:lineRule="atLeast"/>
              <w:jc w:val="center"/>
              <w:rPr>
                <w:rFonts w:hint="default" w:ascii="Times New Roman" w:hAnsi="Times New Roman" w:cs="Times New Roman"/>
                <w:b w:val="0"/>
                <w:bCs w:val="0"/>
                <w:i w:val="0"/>
                <w:iCs w:val="0"/>
                <w:caps w:val="0"/>
                <w:color w:val="333333"/>
                <w:spacing w:val="0"/>
                <w:sz w:val="21"/>
                <w:szCs w:val="21"/>
              </w:rPr>
            </w:pPr>
          </w:p>
        </w:tc>
      </w:tr>
      <w:tr w14:paraId="5A4E1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189" w:type="dxa"/>
            <w:tcBorders>
              <w:top w:val="single" w:color="DDDDDD" w:sz="2" w:space="0"/>
            </w:tcBorders>
            <w:shd w:val="clear" w:color="auto" w:fill="FAFAFA"/>
            <w:tcMar>
              <w:top w:w="60" w:type="dxa"/>
              <w:left w:w="60" w:type="dxa"/>
              <w:bottom w:w="60" w:type="dxa"/>
              <w:right w:w="60" w:type="dxa"/>
            </w:tcMar>
            <w:vAlign w:val="center"/>
          </w:tcPr>
          <w:p w14:paraId="151493B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ATRT vs MICT</w:t>
            </w:r>
          </w:p>
        </w:tc>
        <w:tc>
          <w:tcPr>
            <w:tcW w:w="1041" w:type="dxa"/>
            <w:tcBorders>
              <w:top w:val="single" w:color="DDDDDD" w:sz="2" w:space="0"/>
            </w:tcBorders>
            <w:shd w:val="clear" w:color="auto" w:fill="FAFAFA"/>
            <w:tcMar>
              <w:top w:w="60" w:type="dxa"/>
              <w:left w:w="60" w:type="dxa"/>
              <w:bottom w:w="60" w:type="dxa"/>
              <w:right w:w="60" w:type="dxa"/>
            </w:tcMar>
            <w:vAlign w:val="center"/>
          </w:tcPr>
          <w:p w14:paraId="19BF278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1</w:t>
            </w:r>
          </w:p>
        </w:tc>
        <w:tc>
          <w:tcPr>
            <w:tcW w:w="1228" w:type="dxa"/>
            <w:tcBorders>
              <w:top w:val="single" w:color="DDDDDD" w:sz="2" w:space="0"/>
            </w:tcBorders>
            <w:shd w:val="clear" w:color="auto" w:fill="02C000"/>
            <w:tcMar>
              <w:top w:w="60" w:type="dxa"/>
              <w:left w:w="60" w:type="dxa"/>
              <w:bottom w:w="60" w:type="dxa"/>
              <w:right w:w="60" w:type="dxa"/>
            </w:tcMar>
            <w:vAlign w:val="center"/>
          </w:tcPr>
          <w:p w14:paraId="6F4A20D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025B826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5DBACCC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E0DF02"/>
            <w:tcMar>
              <w:top w:w="60" w:type="dxa"/>
              <w:left w:w="60" w:type="dxa"/>
              <w:bottom w:w="60" w:type="dxa"/>
              <w:right w:w="60" w:type="dxa"/>
            </w:tcMar>
            <w:vAlign w:val="center"/>
          </w:tcPr>
          <w:p w14:paraId="7E4F48C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7" w:type="dxa"/>
            <w:tcBorders>
              <w:top w:val="single" w:color="DDDDDD" w:sz="2" w:space="0"/>
            </w:tcBorders>
            <w:shd w:val="clear" w:color="auto" w:fill="E0DF02"/>
            <w:tcMar>
              <w:top w:w="60" w:type="dxa"/>
              <w:left w:w="60" w:type="dxa"/>
              <w:bottom w:w="60" w:type="dxa"/>
              <w:right w:w="60" w:type="dxa"/>
            </w:tcMar>
            <w:vAlign w:val="center"/>
          </w:tcPr>
          <w:p w14:paraId="072D9FB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6BCD192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159F95D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66B5DD8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Imprecision | Heterogeneity |</w:t>
            </w:r>
          </w:p>
        </w:tc>
      </w:tr>
      <w:tr w14:paraId="559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5F987C2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ATRT vs RT</w:t>
            </w:r>
          </w:p>
        </w:tc>
        <w:tc>
          <w:tcPr>
            <w:tcW w:w="1041" w:type="dxa"/>
            <w:tcBorders>
              <w:top w:val="single" w:color="DDDDDD" w:sz="2" w:space="0"/>
            </w:tcBorders>
            <w:shd w:val="clear" w:color="auto" w:fill="FAFAFA"/>
            <w:tcMar>
              <w:top w:w="60" w:type="dxa"/>
              <w:left w:w="60" w:type="dxa"/>
              <w:bottom w:w="60" w:type="dxa"/>
              <w:right w:w="60" w:type="dxa"/>
            </w:tcMar>
            <w:vAlign w:val="center"/>
          </w:tcPr>
          <w:p w14:paraId="021F2D1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1</w:t>
            </w:r>
          </w:p>
        </w:tc>
        <w:tc>
          <w:tcPr>
            <w:tcW w:w="1228" w:type="dxa"/>
            <w:tcBorders>
              <w:top w:val="single" w:color="DDDDDD" w:sz="2" w:space="0"/>
            </w:tcBorders>
            <w:shd w:val="clear" w:color="auto" w:fill="02C000"/>
            <w:tcMar>
              <w:top w:w="60" w:type="dxa"/>
              <w:left w:w="60" w:type="dxa"/>
              <w:bottom w:w="60" w:type="dxa"/>
              <w:right w:w="60" w:type="dxa"/>
            </w:tcMar>
            <w:vAlign w:val="center"/>
          </w:tcPr>
          <w:p w14:paraId="538E78D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74BBE73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37DC18F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C00000"/>
            <w:tcMar>
              <w:top w:w="60" w:type="dxa"/>
              <w:left w:w="60" w:type="dxa"/>
              <w:bottom w:w="60" w:type="dxa"/>
              <w:right w:w="60" w:type="dxa"/>
            </w:tcMar>
            <w:vAlign w:val="center"/>
          </w:tcPr>
          <w:p w14:paraId="684D740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w:t>
            </w:r>
          </w:p>
        </w:tc>
        <w:tc>
          <w:tcPr>
            <w:tcW w:w="1387" w:type="dxa"/>
            <w:tcBorders>
              <w:top w:val="single" w:color="DDDDDD" w:sz="2" w:space="0"/>
            </w:tcBorders>
            <w:shd w:val="clear" w:color="auto" w:fill="02C000"/>
            <w:tcMar>
              <w:top w:w="60" w:type="dxa"/>
              <w:left w:w="60" w:type="dxa"/>
              <w:bottom w:w="60" w:type="dxa"/>
              <w:right w:w="60" w:type="dxa"/>
            </w:tcMar>
            <w:vAlign w:val="center"/>
          </w:tcPr>
          <w:p w14:paraId="5083180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4D27365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467C8D5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50C4474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Imprecision |</w:t>
            </w:r>
          </w:p>
        </w:tc>
      </w:tr>
      <w:tr w14:paraId="262D8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4FDA3F4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ATRT vs control</w:t>
            </w:r>
          </w:p>
        </w:tc>
        <w:tc>
          <w:tcPr>
            <w:tcW w:w="1041" w:type="dxa"/>
            <w:tcBorders>
              <w:top w:val="single" w:color="DDDDDD" w:sz="2" w:space="0"/>
            </w:tcBorders>
            <w:shd w:val="clear" w:color="auto" w:fill="FAFAFA"/>
            <w:tcMar>
              <w:top w:w="60" w:type="dxa"/>
              <w:left w:w="60" w:type="dxa"/>
              <w:bottom w:w="60" w:type="dxa"/>
              <w:right w:w="60" w:type="dxa"/>
            </w:tcMar>
            <w:vAlign w:val="center"/>
          </w:tcPr>
          <w:p w14:paraId="33D6D4B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2</w:t>
            </w:r>
          </w:p>
        </w:tc>
        <w:tc>
          <w:tcPr>
            <w:tcW w:w="1228" w:type="dxa"/>
            <w:tcBorders>
              <w:top w:val="single" w:color="DDDDDD" w:sz="2" w:space="0"/>
            </w:tcBorders>
            <w:shd w:val="clear" w:color="auto" w:fill="02C000"/>
            <w:tcMar>
              <w:top w:w="60" w:type="dxa"/>
              <w:left w:w="60" w:type="dxa"/>
              <w:bottom w:w="60" w:type="dxa"/>
              <w:right w:w="60" w:type="dxa"/>
            </w:tcMar>
            <w:vAlign w:val="center"/>
          </w:tcPr>
          <w:p w14:paraId="65A9956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06403BD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2AE9C05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E0DF02"/>
            <w:tcMar>
              <w:top w:w="60" w:type="dxa"/>
              <w:left w:w="60" w:type="dxa"/>
              <w:bottom w:w="60" w:type="dxa"/>
              <w:right w:w="60" w:type="dxa"/>
            </w:tcMar>
            <w:vAlign w:val="center"/>
          </w:tcPr>
          <w:p w14:paraId="3D62198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7" w:type="dxa"/>
            <w:tcBorders>
              <w:top w:val="single" w:color="DDDDDD" w:sz="2" w:space="0"/>
            </w:tcBorders>
            <w:shd w:val="clear" w:color="auto" w:fill="E0DF02"/>
            <w:tcMar>
              <w:top w:w="60" w:type="dxa"/>
              <w:left w:w="60" w:type="dxa"/>
              <w:bottom w:w="60" w:type="dxa"/>
              <w:right w:w="60" w:type="dxa"/>
            </w:tcMar>
            <w:vAlign w:val="center"/>
          </w:tcPr>
          <w:p w14:paraId="5A9CD78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33602EB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3529948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363448E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Imprecision | Heterogeneity |</w:t>
            </w:r>
          </w:p>
        </w:tc>
      </w:tr>
      <w:tr w14:paraId="3B73B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5D52E10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HIIT vs MICT</w:t>
            </w:r>
          </w:p>
        </w:tc>
        <w:tc>
          <w:tcPr>
            <w:tcW w:w="1041" w:type="dxa"/>
            <w:tcBorders>
              <w:top w:val="single" w:color="DDDDDD" w:sz="2" w:space="0"/>
            </w:tcBorders>
            <w:shd w:val="clear" w:color="auto" w:fill="FAFAFA"/>
            <w:tcMar>
              <w:top w:w="60" w:type="dxa"/>
              <w:left w:w="60" w:type="dxa"/>
              <w:bottom w:w="60" w:type="dxa"/>
              <w:right w:w="60" w:type="dxa"/>
            </w:tcMar>
            <w:vAlign w:val="center"/>
          </w:tcPr>
          <w:p w14:paraId="7E15143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1</w:t>
            </w:r>
          </w:p>
        </w:tc>
        <w:tc>
          <w:tcPr>
            <w:tcW w:w="1228" w:type="dxa"/>
            <w:tcBorders>
              <w:top w:val="single" w:color="DDDDDD" w:sz="2" w:space="0"/>
            </w:tcBorders>
            <w:shd w:val="clear" w:color="auto" w:fill="E0DF02"/>
            <w:tcMar>
              <w:top w:w="60" w:type="dxa"/>
              <w:left w:w="60" w:type="dxa"/>
              <w:bottom w:w="60" w:type="dxa"/>
              <w:right w:w="60" w:type="dxa"/>
            </w:tcMar>
            <w:vAlign w:val="center"/>
          </w:tcPr>
          <w:p w14:paraId="0B4FFF7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2DF8446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7CAD4E6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C00000"/>
            <w:tcMar>
              <w:top w:w="60" w:type="dxa"/>
              <w:left w:w="60" w:type="dxa"/>
              <w:bottom w:w="60" w:type="dxa"/>
              <w:right w:w="60" w:type="dxa"/>
            </w:tcMar>
            <w:vAlign w:val="center"/>
          </w:tcPr>
          <w:p w14:paraId="0FD7296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w:t>
            </w:r>
          </w:p>
        </w:tc>
        <w:tc>
          <w:tcPr>
            <w:tcW w:w="1387" w:type="dxa"/>
            <w:tcBorders>
              <w:top w:val="single" w:color="DDDDDD" w:sz="2" w:space="0"/>
            </w:tcBorders>
            <w:shd w:val="clear" w:color="auto" w:fill="02C000"/>
            <w:tcMar>
              <w:top w:w="60" w:type="dxa"/>
              <w:left w:w="60" w:type="dxa"/>
              <w:bottom w:w="60" w:type="dxa"/>
              <w:right w:w="60" w:type="dxa"/>
            </w:tcMar>
            <w:vAlign w:val="center"/>
          </w:tcPr>
          <w:p w14:paraId="7B80844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2E3CB59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442B0EE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2C48AFA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w:t>
            </w:r>
          </w:p>
        </w:tc>
      </w:tr>
      <w:tr w14:paraId="69ABB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09567AC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HIIT vs control</w:t>
            </w:r>
          </w:p>
        </w:tc>
        <w:tc>
          <w:tcPr>
            <w:tcW w:w="1041" w:type="dxa"/>
            <w:tcBorders>
              <w:top w:val="single" w:color="DDDDDD" w:sz="2" w:space="0"/>
            </w:tcBorders>
            <w:shd w:val="clear" w:color="auto" w:fill="FAFAFA"/>
            <w:tcMar>
              <w:top w:w="60" w:type="dxa"/>
              <w:left w:w="60" w:type="dxa"/>
              <w:bottom w:w="60" w:type="dxa"/>
              <w:right w:w="60" w:type="dxa"/>
            </w:tcMar>
            <w:vAlign w:val="center"/>
          </w:tcPr>
          <w:p w14:paraId="1811822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1</w:t>
            </w:r>
          </w:p>
        </w:tc>
        <w:tc>
          <w:tcPr>
            <w:tcW w:w="1228" w:type="dxa"/>
            <w:tcBorders>
              <w:top w:val="single" w:color="DDDDDD" w:sz="2" w:space="0"/>
            </w:tcBorders>
            <w:shd w:val="clear" w:color="auto" w:fill="E0DF02"/>
            <w:tcMar>
              <w:top w:w="60" w:type="dxa"/>
              <w:left w:w="60" w:type="dxa"/>
              <w:bottom w:w="60" w:type="dxa"/>
              <w:right w:w="60" w:type="dxa"/>
            </w:tcMar>
            <w:vAlign w:val="center"/>
          </w:tcPr>
          <w:p w14:paraId="2A9E37A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5106C95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6BDBD31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E0DF02"/>
            <w:tcMar>
              <w:top w:w="60" w:type="dxa"/>
              <w:left w:w="60" w:type="dxa"/>
              <w:bottom w:w="60" w:type="dxa"/>
              <w:right w:w="60" w:type="dxa"/>
            </w:tcMar>
            <w:vAlign w:val="center"/>
          </w:tcPr>
          <w:p w14:paraId="4D2CC1F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7" w:type="dxa"/>
            <w:tcBorders>
              <w:top w:val="single" w:color="DDDDDD" w:sz="2" w:space="0"/>
            </w:tcBorders>
            <w:shd w:val="clear" w:color="auto" w:fill="E0DF02"/>
            <w:tcMar>
              <w:top w:w="60" w:type="dxa"/>
              <w:left w:w="60" w:type="dxa"/>
              <w:bottom w:w="60" w:type="dxa"/>
              <w:right w:w="60" w:type="dxa"/>
            </w:tcMar>
            <w:vAlign w:val="center"/>
          </w:tcPr>
          <w:p w14:paraId="7D7B2D4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4043A9C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29F1991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22A0D77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 Heterogeneity |</w:t>
            </w:r>
          </w:p>
        </w:tc>
      </w:tr>
      <w:tr w14:paraId="6A790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1A254CE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IET vs control</w:t>
            </w:r>
          </w:p>
        </w:tc>
        <w:tc>
          <w:tcPr>
            <w:tcW w:w="1041" w:type="dxa"/>
            <w:tcBorders>
              <w:top w:val="single" w:color="DDDDDD" w:sz="2" w:space="0"/>
            </w:tcBorders>
            <w:shd w:val="clear" w:color="auto" w:fill="FAFAFA"/>
            <w:tcMar>
              <w:top w:w="60" w:type="dxa"/>
              <w:left w:w="60" w:type="dxa"/>
              <w:bottom w:w="60" w:type="dxa"/>
              <w:right w:w="60" w:type="dxa"/>
            </w:tcMar>
            <w:vAlign w:val="center"/>
          </w:tcPr>
          <w:p w14:paraId="75C51AB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3</w:t>
            </w:r>
          </w:p>
        </w:tc>
        <w:tc>
          <w:tcPr>
            <w:tcW w:w="1228" w:type="dxa"/>
            <w:tcBorders>
              <w:top w:val="single" w:color="DDDDDD" w:sz="2" w:space="0"/>
            </w:tcBorders>
            <w:shd w:val="clear" w:color="auto" w:fill="02C000"/>
            <w:tcMar>
              <w:top w:w="60" w:type="dxa"/>
              <w:left w:w="60" w:type="dxa"/>
              <w:bottom w:w="60" w:type="dxa"/>
              <w:right w:w="60" w:type="dxa"/>
            </w:tcMar>
            <w:vAlign w:val="center"/>
          </w:tcPr>
          <w:p w14:paraId="665278A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7494865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63294CD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02C000"/>
            <w:tcMar>
              <w:top w:w="60" w:type="dxa"/>
              <w:left w:w="60" w:type="dxa"/>
              <w:bottom w:w="60" w:type="dxa"/>
              <w:right w:w="60" w:type="dxa"/>
            </w:tcMar>
            <w:vAlign w:val="center"/>
          </w:tcPr>
          <w:p w14:paraId="4B5C6E5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87" w:type="dxa"/>
            <w:tcBorders>
              <w:top w:val="single" w:color="DDDDDD" w:sz="2" w:space="0"/>
            </w:tcBorders>
            <w:shd w:val="clear" w:color="auto" w:fill="E0DF02"/>
            <w:tcMar>
              <w:top w:w="60" w:type="dxa"/>
              <w:left w:w="60" w:type="dxa"/>
              <w:bottom w:w="60" w:type="dxa"/>
              <w:right w:w="60" w:type="dxa"/>
            </w:tcMar>
            <w:vAlign w:val="center"/>
          </w:tcPr>
          <w:p w14:paraId="2C04320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4F6261E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756A099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cyan"/>
                <w:bdr w:val="single" w:color="0C8CE7" w:sz="2" w:space="0"/>
                <w:shd w:val="clear" w:fill="FFFFFF"/>
                <w:lang w:val="en-US" w:eastAsia="zh-CN" w:bidi="ar"/>
              </w:rPr>
              <w:t>Moderate</w:t>
            </w:r>
          </w:p>
        </w:tc>
        <w:tc>
          <w:tcPr>
            <w:tcW w:w="2839" w:type="dxa"/>
            <w:tcBorders>
              <w:top w:val="single" w:color="DDDDDD" w:sz="2" w:space="0"/>
            </w:tcBorders>
            <w:shd w:val="clear" w:color="auto" w:fill="FAFAFA"/>
            <w:tcMar>
              <w:top w:w="60" w:type="dxa"/>
              <w:left w:w="60" w:type="dxa"/>
              <w:bottom w:w="60" w:type="dxa"/>
              <w:right w:w="60" w:type="dxa"/>
            </w:tcMar>
            <w:vAlign w:val="center"/>
          </w:tcPr>
          <w:p w14:paraId="13FDF8F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Heterogeneity |</w:t>
            </w:r>
          </w:p>
        </w:tc>
      </w:tr>
      <w:tr w14:paraId="52E8D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6413BB4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LIT vs Yoga</w:t>
            </w:r>
          </w:p>
        </w:tc>
        <w:tc>
          <w:tcPr>
            <w:tcW w:w="1041" w:type="dxa"/>
            <w:tcBorders>
              <w:top w:val="single" w:color="DDDDDD" w:sz="2" w:space="0"/>
            </w:tcBorders>
            <w:shd w:val="clear" w:color="auto" w:fill="FAFAFA"/>
            <w:tcMar>
              <w:top w:w="60" w:type="dxa"/>
              <w:left w:w="60" w:type="dxa"/>
              <w:bottom w:w="60" w:type="dxa"/>
              <w:right w:w="60" w:type="dxa"/>
            </w:tcMar>
            <w:vAlign w:val="center"/>
          </w:tcPr>
          <w:p w14:paraId="11AFA16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1</w:t>
            </w:r>
          </w:p>
        </w:tc>
        <w:tc>
          <w:tcPr>
            <w:tcW w:w="1228" w:type="dxa"/>
            <w:tcBorders>
              <w:top w:val="single" w:color="DDDDDD" w:sz="2" w:space="0"/>
            </w:tcBorders>
            <w:shd w:val="clear" w:color="auto" w:fill="E0DF02"/>
            <w:tcMar>
              <w:top w:w="60" w:type="dxa"/>
              <w:left w:w="60" w:type="dxa"/>
              <w:bottom w:w="60" w:type="dxa"/>
              <w:right w:w="60" w:type="dxa"/>
            </w:tcMar>
            <w:vAlign w:val="center"/>
          </w:tcPr>
          <w:p w14:paraId="6282E2C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6DEC012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4F62CF3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02C000"/>
            <w:tcMar>
              <w:top w:w="60" w:type="dxa"/>
              <w:left w:w="60" w:type="dxa"/>
              <w:bottom w:w="60" w:type="dxa"/>
              <w:right w:w="60" w:type="dxa"/>
            </w:tcMar>
            <w:vAlign w:val="center"/>
          </w:tcPr>
          <w:p w14:paraId="0576385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87" w:type="dxa"/>
            <w:tcBorders>
              <w:top w:val="single" w:color="DDDDDD" w:sz="2" w:space="0"/>
            </w:tcBorders>
            <w:shd w:val="clear" w:color="auto" w:fill="E0DF02"/>
            <w:tcMar>
              <w:top w:w="60" w:type="dxa"/>
              <w:left w:w="60" w:type="dxa"/>
              <w:bottom w:w="60" w:type="dxa"/>
              <w:right w:w="60" w:type="dxa"/>
            </w:tcMar>
            <w:vAlign w:val="center"/>
          </w:tcPr>
          <w:p w14:paraId="7361B89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6127B77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4682920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3EA89C8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Heterogeneity |</w:t>
            </w:r>
          </w:p>
        </w:tc>
      </w:tr>
      <w:tr w14:paraId="4A9BA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27E4FB0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LIT vs control</w:t>
            </w:r>
          </w:p>
        </w:tc>
        <w:tc>
          <w:tcPr>
            <w:tcW w:w="1041" w:type="dxa"/>
            <w:tcBorders>
              <w:top w:val="single" w:color="DDDDDD" w:sz="2" w:space="0"/>
            </w:tcBorders>
            <w:shd w:val="clear" w:color="auto" w:fill="FAFAFA"/>
            <w:tcMar>
              <w:top w:w="60" w:type="dxa"/>
              <w:left w:w="60" w:type="dxa"/>
              <w:bottom w:w="60" w:type="dxa"/>
              <w:right w:w="60" w:type="dxa"/>
            </w:tcMar>
            <w:vAlign w:val="center"/>
          </w:tcPr>
          <w:p w14:paraId="57BE0D7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1</w:t>
            </w:r>
          </w:p>
        </w:tc>
        <w:tc>
          <w:tcPr>
            <w:tcW w:w="1228" w:type="dxa"/>
            <w:tcBorders>
              <w:top w:val="single" w:color="DDDDDD" w:sz="2" w:space="0"/>
            </w:tcBorders>
            <w:shd w:val="clear" w:color="auto" w:fill="E0DF02"/>
            <w:tcMar>
              <w:top w:w="60" w:type="dxa"/>
              <w:left w:w="60" w:type="dxa"/>
              <w:bottom w:w="60" w:type="dxa"/>
              <w:right w:w="60" w:type="dxa"/>
            </w:tcMar>
            <w:vAlign w:val="center"/>
          </w:tcPr>
          <w:p w14:paraId="0E974BB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6656328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345AE41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E0DF02"/>
            <w:tcMar>
              <w:top w:w="60" w:type="dxa"/>
              <w:left w:w="60" w:type="dxa"/>
              <w:bottom w:w="60" w:type="dxa"/>
              <w:right w:w="60" w:type="dxa"/>
            </w:tcMar>
            <w:vAlign w:val="center"/>
          </w:tcPr>
          <w:p w14:paraId="09F760A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7" w:type="dxa"/>
            <w:tcBorders>
              <w:top w:val="single" w:color="DDDDDD" w:sz="2" w:space="0"/>
            </w:tcBorders>
            <w:shd w:val="clear" w:color="auto" w:fill="E0DF02"/>
            <w:tcMar>
              <w:top w:w="60" w:type="dxa"/>
              <w:left w:w="60" w:type="dxa"/>
              <w:bottom w:w="60" w:type="dxa"/>
              <w:right w:w="60" w:type="dxa"/>
            </w:tcMar>
            <w:vAlign w:val="center"/>
          </w:tcPr>
          <w:p w14:paraId="57FA02C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08CD1F3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57F9BB2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20C8D39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 Heterogeneity |</w:t>
            </w:r>
          </w:p>
        </w:tc>
      </w:tr>
      <w:tr w14:paraId="6084A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4926B9B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MICT vs RT</w:t>
            </w:r>
          </w:p>
        </w:tc>
        <w:tc>
          <w:tcPr>
            <w:tcW w:w="1041" w:type="dxa"/>
            <w:tcBorders>
              <w:top w:val="single" w:color="DDDDDD" w:sz="2" w:space="0"/>
            </w:tcBorders>
            <w:shd w:val="clear" w:color="auto" w:fill="FAFAFA"/>
            <w:tcMar>
              <w:top w:w="60" w:type="dxa"/>
              <w:left w:w="60" w:type="dxa"/>
              <w:bottom w:w="60" w:type="dxa"/>
              <w:right w:w="60" w:type="dxa"/>
            </w:tcMar>
            <w:vAlign w:val="center"/>
          </w:tcPr>
          <w:p w14:paraId="1DCBBF2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2</w:t>
            </w:r>
          </w:p>
        </w:tc>
        <w:tc>
          <w:tcPr>
            <w:tcW w:w="1228" w:type="dxa"/>
            <w:tcBorders>
              <w:top w:val="single" w:color="DDDDDD" w:sz="2" w:space="0"/>
            </w:tcBorders>
            <w:shd w:val="clear" w:color="auto" w:fill="02C000"/>
            <w:tcMar>
              <w:top w:w="60" w:type="dxa"/>
              <w:left w:w="60" w:type="dxa"/>
              <w:bottom w:w="60" w:type="dxa"/>
              <w:right w:w="60" w:type="dxa"/>
            </w:tcMar>
            <w:vAlign w:val="center"/>
          </w:tcPr>
          <w:p w14:paraId="5AD78E5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25E9EC7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4F0112E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E0DF02"/>
            <w:tcMar>
              <w:top w:w="60" w:type="dxa"/>
              <w:left w:w="60" w:type="dxa"/>
              <w:bottom w:w="60" w:type="dxa"/>
              <w:right w:w="60" w:type="dxa"/>
            </w:tcMar>
            <w:vAlign w:val="center"/>
          </w:tcPr>
          <w:p w14:paraId="10F8671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7" w:type="dxa"/>
            <w:tcBorders>
              <w:top w:val="single" w:color="DDDDDD" w:sz="2" w:space="0"/>
            </w:tcBorders>
            <w:shd w:val="clear" w:color="auto" w:fill="E0DF02"/>
            <w:tcMar>
              <w:top w:w="60" w:type="dxa"/>
              <w:left w:w="60" w:type="dxa"/>
              <w:bottom w:w="60" w:type="dxa"/>
              <w:right w:w="60" w:type="dxa"/>
            </w:tcMar>
            <w:vAlign w:val="center"/>
          </w:tcPr>
          <w:p w14:paraId="4B5B732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2AF82F9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21D73CC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472BD02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Imprecision | Heterogeneity |</w:t>
            </w:r>
          </w:p>
        </w:tc>
      </w:tr>
      <w:tr w14:paraId="0747F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05FB68C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MICT vs Tai chi</w:t>
            </w:r>
          </w:p>
        </w:tc>
        <w:tc>
          <w:tcPr>
            <w:tcW w:w="1041" w:type="dxa"/>
            <w:tcBorders>
              <w:top w:val="single" w:color="DDDDDD" w:sz="2" w:space="0"/>
            </w:tcBorders>
            <w:shd w:val="clear" w:color="auto" w:fill="FAFAFA"/>
            <w:tcMar>
              <w:top w:w="60" w:type="dxa"/>
              <w:left w:w="60" w:type="dxa"/>
              <w:bottom w:w="60" w:type="dxa"/>
              <w:right w:w="60" w:type="dxa"/>
            </w:tcMar>
            <w:vAlign w:val="center"/>
          </w:tcPr>
          <w:p w14:paraId="2EF8132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1</w:t>
            </w:r>
          </w:p>
        </w:tc>
        <w:tc>
          <w:tcPr>
            <w:tcW w:w="1228" w:type="dxa"/>
            <w:tcBorders>
              <w:top w:val="single" w:color="DDDDDD" w:sz="2" w:space="0"/>
            </w:tcBorders>
            <w:shd w:val="clear" w:color="auto" w:fill="02C000"/>
            <w:tcMar>
              <w:top w:w="60" w:type="dxa"/>
              <w:left w:w="60" w:type="dxa"/>
              <w:bottom w:w="60" w:type="dxa"/>
              <w:right w:w="60" w:type="dxa"/>
            </w:tcMar>
            <w:vAlign w:val="center"/>
          </w:tcPr>
          <w:p w14:paraId="57690C4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1672915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7235D0B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C00000"/>
            <w:tcMar>
              <w:top w:w="60" w:type="dxa"/>
              <w:left w:w="60" w:type="dxa"/>
              <w:bottom w:w="60" w:type="dxa"/>
              <w:right w:w="60" w:type="dxa"/>
            </w:tcMar>
            <w:vAlign w:val="center"/>
          </w:tcPr>
          <w:p w14:paraId="3827B0C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w:t>
            </w:r>
          </w:p>
        </w:tc>
        <w:tc>
          <w:tcPr>
            <w:tcW w:w="1387" w:type="dxa"/>
            <w:tcBorders>
              <w:top w:val="single" w:color="DDDDDD" w:sz="2" w:space="0"/>
            </w:tcBorders>
            <w:shd w:val="clear" w:color="auto" w:fill="02C000"/>
            <w:tcMar>
              <w:top w:w="60" w:type="dxa"/>
              <w:left w:w="60" w:type="dxa"/>
              <w:bottom w:w="60" w:type="dxa"/>
              <w:right w:w="60" w:type="dxa"/>
            </w:tcMar>
            <w:vAlign w:val="center"/>
          </w:tcPr>
          <w:p w14:paraId="3553C9B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394EB38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01E5523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71F4B2F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Imprecision |</w:t>
            </w:r>
          </w:p>
        </w:tc>
      </w:tr>
      <w:tr w14:paraId="595C5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73251C2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MICT vs control</w:t>
            </w:r>
          </w:p>
        </w:tc>
        <w:tc>
          <w:tcPr>
            <w:tcW w:w="1041" w:type="dxa"/>
            <w:tcBorders>
              <w:top w:val="single" w:color="DDDDDD" w:sz="2" w:space="0"/>
            </w:tcBorders>
            <w:shd w:val="clear" w:color="auto" w:fill="FAFAFA"/>
            <w:tcMar>
              <w:top w:w="60" w:type="dxa"/>
              <w:left w:w="60" w:type="dxa"/>
              <w:bottom w:w="60" w:type="dxa"/>
              <w:right w:w="60" w:type="dxa"/>
            </w:tcMar>
            <w:vAlign w:val="center"/>
          </w:tcPr>
          <w:p w14:paraId="6DCE01A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6</w:t>
            </w:r>
          </w:p>
        </w:tc>
        <w:tc>
          <w:tcPr>
            <w:tcW w:w="1228" w:type="dxa"/>
            <w:tcBorders>
              <w:top w:val="single" w:color="DDDDDD" w:sz="2" w:space="0"/>
            </w:tcBorders>
            <w:shd w:val="clear" w:color="auto" w:fill="E0DF02"/>
            <w:tcMar>
              <w:top w:w="60" w:type="dxa"/>
              <w:left w:w="60" w:type="dxa"/>
              <w:bottom w:w="60" w:type="dxa"/>
              <w:right w:w="60" w:type="dxa"/>
            </w:tcMar>
            <w:vAlign w:val="center"/>
          </w:tcPr>
          <w:p w14:paraId="5989731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1C049BD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5129A9C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02C000"/>
            <w:tcMar>
              <w:top w:w="60" w:type="dxa"/>
              <w:left w:w="60" w:type="dxa"/>
              <w:bottom w:w="60" w:type="dxa"/>
              <w:right w:w="60" w:type="dxa"/>
            </w:tcMar>
            <w:vAlign w:val="center"/>
          </w:tcPr>
          <w:p w14:paraId="1B6B6D2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87" w:type="dxa"/>
            <w:tcBorders>
              <w:top w:val="single" w:color="DDDDDD" w:sz="2" w:space="0"/>
            </w:tcBorders>
            <w:shd w:val="clear" w:color="auto" w:fill="E0DF02"/>
            <w:tcMar>
              <w:top w:w="60" w:type="dxa"/>
              <w:left w:w="60" w:type="dxa"/>
              <w:bottom w:w="60" w:type="dxa"/>
              <w:right w:w="60" w:type="dxa"/>
            </w:tcMar>
            <w:vAlign w:val="center"/>
          </w:tcPr>
          <w:p w14:paraId="3C7CCFA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3047A43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3C331BB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5CD49D5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Heterogeneity |</w:t>
            </w:r>
          </w:p>
        </w:tc>
      </w:tr>
      <w:tr w14:paraId="57F79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189BEE1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RT vs control</w:t>
            </w:r>
          </w:p>
        </w:tc>
        <w:tc>
          <w:tcPr>
            <w:tcW w:w="1041" w:type="dxa"/>
            <w:tcBorders>
              <w:top w:val="single" w:color="DDDDDD" w:sz="2" w:space="0"/>
            </w:tcBorders>
            <w:shd w:val="clear" w:color="auto" w:fill="FAFAFA"/>
            <w:tcMar>
              <w:top w:w="60" w:type="dxa"/>
              <w:left w:w="60" w:type="dxa"/>
              <w:bottom w:w="60" w:type="dxa"/>
              <w:right w:w="60" w:type="dxa"/>
            </w:tcMar>
            <w:vAlign w:val="center"/>
          </w:tcPr>
          <w:p w14:paraId="3180813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3</w:t>
            </w:r>
          </w:p>
        </w:tc>
        <w:tc>
          <w:tcPr>
            <w:tcW w:w="1228" w:type="dxa"/>
            <w:tcBorders>
              <w:top w:val="single" w:color="DDDDDD" w:sz="2" w:space="0"/>
            </w:tcBorders>
            <w:shd w:val="clear" w:color="auto" w:fill="E0DF02"/>
            <w:tcMar>
              <w:top w:w="60" w:type="dxa"/>
              <w:left w:w="60" w:type="dxa"/>
              <w:bottom w:w="60" w:type="dxa"/>
              <w:right w:w="60" w:type="dxa"/>
            </w:tcMar>
            <w:vAlign w:val="center"/>
          </w:tcPr>
          <w:p w14:paraId="782455A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6EB433E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722CD3C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E0DF02"/>
            <w:tcMar>
              <w:top w:w="60" w:type="dxa"/>
              <w:left w:w="60" w:type="dxa"/>
              <w:bottom w:w="60" w:type="dxa"/>
              <w:right w:w="60" w:type="dxa"/>
            </w:tcMar>
            <w:vAlign w:val="center"/>
          </w:tcPr>
          <w:p w14:paraId="1DF8A33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7" w:type="dxa"/>
            <w:tcBorders>
              <w:top w:val="single" w:color="DDDDDD" w:sz="2" w:space="0"/>
            </w:tcBorders>
            <w:shd w:val="clear" w:color="auto" w:fill="E0DF02"/>
            <w:tcMar>
              <w:top w:w="60" w:type="dxa"/>
              <w:left w:w="60" w:type="dxa"/>
              <w:bottom w:w="60" w:type="dxa"/>
              <w:right w:w="60" w:type="dxa"/>
            </w:tcMar>
            <w:vAlign w:val="center"/>
          </w:tcPr>
          <w:p w14:paraId="67F17B3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0F12DBF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0A516B2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135210C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 Heterogeneity |</w:t>
            </w:r>
          </w:p>
        </w:tc>
      </w:tr>
      <w:tr w14:paraId="3A5CC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1DD2795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Yoga vs control</w:t>
            </w:r>
          </w:p>
        </w:tc>
        <w:tc>
          <w:tcPr>
            <w:tcW w:w="1041" w:type="dxa"/>
            <w:tcBorders>
              <w:top w:val="single" w:color="DDDDDD" w:sz="2" w:space="0"/>
            </w:tcBorders>
            <w:shd w:val="clear" w:color="auto" w:fill="FAFAFA"/>
            <w:tcMar>
              <w:top w:w="60" w:type="dxa"/>
              <w:left w:w="60" w:type="dxa"/>
              <w:bottom w:w="60" w:type="dxa"/>
              <w:right w:w="60" w:type="dxa"/>
            </w:tcMar>
            <w:vAlign w:val="center"/>
          </w:tcPr>
          <w:p w14:paraId="41E37B5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3</w:t>
            </w:r>
          </w:p>
        </w:tc>
        <w:tc>
          <w:tcPr>
            <w:tcW w:w="1228" w:type="dxa"/>
            <w:tcBorders>
              <w:top w:val="single" w:color="DDDDDD" w:sz="2" w:space="0"/>
            </w:tcBorders>
            <w:shd w:val="clear" w:color="auto" w:fill="E0DF02"/>
            <w:tcMar>
              <w:top w:w="60" w:type="dxa"/>
              <w:left w:w="60" w:type="dxa"/>
              <w:bottom w:w="60" w:type="dxa"/>
              <w:right w:w="60" w:type="dxa"/>
            </w:tcMar>
            <w:vAlign w:val="center"/>
          </w:tcPr>
          <w:p w14:paraId="056E703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7A3C9BB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1AD39E9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02C000"/>
            <w:tcMar>
              <w:top w:w="60" w:type="dxa"/>
              <w:left w:w="60" w:type="dxa"/>
              <w:bottom w:w="60" w:type="dxa"/>
              <w:right w:w="60" w:type="dxa"/>
            </w:tcMar>
            <w:vAlign w:val="center"/>
          </w:tcPr>
          <w:p w14:paraId="19058C3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87" w:type="dxa"/>
            <w:tcBorders>
              <w:top w:val="single" w:color="DDDDDD" w:sz="2" w:space="0"/>
            </w:tcBorders>
            <w:shd w:val="clear" w:color="auto" w:fill="E0DF02"/>
            <w:tcMar>
              <w:top w:w="60" w:type="dxa"/>
              <w:left w:w="60" w:type="dxa"/>
              <w:bottom w:w="60" w:type="dxa"/>
              <w:right w:w="60" w:type="dxa"/>
            </w:tcMar>
            <w:vAlign w:val="center"/>
          </w:tcPr>
          <w:p w14:paraId="447E6F0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0E62A94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2BBA921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352730B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Heterogeneity |</w:t>
            </w:r>
          </w:p>
        </w:tc>
      </w:tr>
      <w:tr w14:paraId="33F5C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239" w:type="dxa"/>
            <w:gridSpan w:val="9"/>
            <w:tcBorders>
              <w:top w:val="single" w:color="DDDDDD" w:sz="2" w:space="0"/>
            </w:tcBorders>
            <w:shd w:val="clear" w:color="auto" w:fill="FAFAFA"/>
            <w:tcMar>
              <w:top w:w="60" w:type="dxa"/>
              <w:left w:w="60" w:type="dxa"/>
              <w:bottom w:w="60" w:type="dxa"/>
              <w:right w:w="60" w:type="dxa"/>
            </w:tcMar>
            <w:vAlign w:val="center"/>
          </w:tcPr>
          <w:p w14:paraId="72989C10">
            <w:pPr>
              <w:pStyle w:val="2"/>
              <w:keepNext w:val="0"/>
              <w:keepLines w:val="0"/>
              <w:widowControl/>
              <w:suppressLineNumbers w:val="0"/>
              <w:spacing w:before="75" w:beforeAutospacing="0" w:after="75" w:afterAutospacing="0" w:line="8" w:lineRule="atLeast"/>
              <w:jc w:val="center"/>
              <w:rPr>
                <w:rFonts w:hint="default" w:ascii="Times New Roman" w:hAnsi="Times New Roman" w:cs="Times New Roman"/>
                <w:b w:val="0"/>
                <w:bCs w:val="0"/>
                <w:sz w:val="21"/>
                <w:szCs w:val="21"/>
              </w:rPr>
            </w:pPr>
            <w:r>
              <w:rPr>
                <w:rFonts w:hint="default" w:ascii="Times New Roman" w:hAnsi="Times New Roman" w:cs="Times New Roman"/>
                <w:b w:val="0"/>
                <w:bCs w:val="0"/>
                <w:i w:val="0"/>
                <w:iCs w:val="0"/>
                <w:caps w:val="0"/>
                <w:color w:val="333333"/>
                <w:spacing w:val="0"/>
                <w:sz w:val="21"/>
                <w:szCs w:val="21"/>
              </w:rPr>
              <w:t>Indirect evidence</w:t>
            </w:r>
          </w:p>
        </w:tc>
        <w:tc>
          <w:tcPr>
            <w:tcW w:w="2839" w:type="dxa"/>
            <w:shd w:val="clear" w:color="auto" w:fill="FAFAFA"/>
            <w:vAlign w:val="center"/>
          </w:tcPr>
          <w:p w14:paraId="45B3C996">
            <w:pPr>
              <w:jc w:val="center"/>
              <w:rPr>
                <w:rFonts w:hint="default" w:ascii="Times New Roman" w:hAnsi="Times New Roman" w:eastAsia="sans-serif" w:cs="Times New Roman"/>
                <w:b w:val="0"/>
                <w:bCs w:val="0"/>
                <w:i w:val="0"/>
                <w:iCs w:val="0"/>
                <w:caps w:val="0"/>
                <w:color w:val="333333"/>
                <w:spacing w:val="0"/>
                <w:sz w:val="21"/>
                <w:szCs w:val="21"/>
              </w:rPr>
            </w:pPr>
          </w:p>
        </w:tc>
      </w:tr>
      <w:tr w14:paraId="764D0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12DAEB7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ATRT vs HIIT</w:t>
            </w:r>
          </w:p>
        </w:tc>
        <w:tc>
          <w:tcPr>
            <w:tcW w:w="1041" w:type="dxa"/>
            <w:tcBorders>
              <w:top w:val="single" w:color="DDDDDD" w:sz="2" w:space="0"/>
            </w:tcBorders>
            <w:shd w:val="clear" w:color="auto" w:fill="FAFAFA"/>
            <w:tcMar>
              <w:top w:w="60" w:type="dxa"/>
              <w:left w:w="60" w:type="dxa"/>
              <w:bottom w:w="60" w:type="dxa"/>
              <w:right w:w="60" w:type="dxa"/>
            </w:tcMar>
            <w:vAlign w:val="center"/>
          </w:tcPr>
          <w:p w14:paraId="65799B2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28" w:type="dxa"/>
            <w:tcBorders>
              <w:top w:val="single" w:color="DDDDDD" w:sz="2" w:space="0"/>
            </w:tcBorders>
            <w:shd w:val="clear" w:color="auto" w:fill="E0DF02"/>
            <w:tcMar>
              <w:top w:w="60" w:type="dxa"/>
              <w:left w:w="60" w:type="dxa"/>
              <w:bottom w:w="60" w:type="dxa"/>
              <w:right w:w="60" w:type="dxa"/>
            </w:tcMar>
            <w:vAlign w:val="center"/>
          </w:tcPr>
          <w:p w14:paraId="243BD5D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77DC235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64CCF95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C00000"/>
            <w:tcMar>
              <w:top w:w="60" w:type="dxa"/>
              <w:left w:w="60" w:type="dxa"/>
              <w:bottom w:w="60" w:type="dxa"/>
              <w:right w:w="60" w:type="dxa"/>
            </w:tcMar>
            <w:vAlign w:val="center"/>
          </w:tcPr>
          <w:p w14:paraId="5428D94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w:t>
            </w:r>
          </w:p>
        </w:tc>
        <w:tc>
          <w:tcPr>
            <w:tcW w:w="1387" w:type="dxa"/>
            <w:tcBorders>
              <w:top w:val="single" w:color="DDDDDD" w:sz="2" w:space="0"/>
            </w:tcBorders>
            <w:shd w:val="clear" w:color="auto" w:fill="02C000"/>
            <w:tcMar>
              <w:top w:w="60" w:type="dxa"/>
              <w:left w:w="60" w:type="dxa"/>
              <w:bottom w:w="60" w:type="dxa"/>
              <w:right w:w="60" w:type="dxa"/>
            </w:tcMar>
            <w:vAlign w:val="center"/>
          </w:tcPr>
          <w:p w14:paraId="2F91ADE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5B16E49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42E257C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62B1A9D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w:t>
            </w:r>
          </w:p>
        </w:tc>
      </w:tr>
      <w:tr w14:paraId="12083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20199DF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ATRT vs IET</w:t>
            </w:r>
          </w:p>
        </w:tc>
        <w:tc>
          <w:tcPr>
            <w:tcW w:w="1041" w:type="dxa"/>
            <w:tcBorders>
              <w:top w:val="single" w:color="DDDDDD" w:sz="2" w:space="0"/>
            </w:tcBorders>
            <w:shd w:val="clear" w:color="auto" w:fill="FAFAFA"/>
            <w:tcMar>
              <w:top w:w="60" w:type="dxa"/>
              <w:left w:w="60" w:type="dxa"/>
              <w:bottom w:w="60" w:type="dxa"/>
              <w:right w:w="60" w:type="dxa"/>
            </w:tcMar>
            <w:vAlign w:val="center"/>
          </w:tcPr>
          <w:p w14:paraId="6698AD5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28" w:type="dxa"/>
            <w:tcBorders>
              <w:top w:val="single" w:color="DDDDDD" w:sz="2" w:space="0"/>
            </w:tcBorders>
            <w:shd w:val="clear" w:color="auto" w:fill="02C000"/>
            <w:tcMar>
              <w:top w:w="60" w:type="dxa"/>
              <w:left w:w="60" w:type="dxa"/>
              <w:bottom w:w="60" w:type="dxa"/>
              <w:right w:w="60" w:type="dxa"/>
            </w:tcMar>
            <w:vAlign w:val="center"/>
          </w:tcPr>
          <w:p w14:paraId="227C973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7BAB11E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026DDC7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E0DF02"/>
            <w:tcMar>
              <w:top w:w="60" w:type="dxa"/>
              <w:left w:w="60" w:type="dxa"/>
              <w:bottom w:w="60" w:type="dxa"/>
              <w:right w:w="60" w:type="dxa"/>
            </w:tcMar>
            <w:vAlign w:val="center"/>
          </w:tcPr>
          <w:p w14:paraId="38EF7C8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7" w:type="dxa"/>
            <w:tcBorders>
              <w:top w:val="single" w:color="DDDDDD" w:sz="2" w:space="0"/>
            </w:tcBorders>
            <w:shd w:val="clear" w:color="auto" w:fill="02C000"/>
            <w:tcMar>
              <w:top w:w="60" w:type="dxa"/>
              <w:left w:w="60" w:type="dxa"/>
              <w:bottom w:w="60" w:type="dxa"/>
              <w:right w:w="60" w:type="dxa"/>
            </w:tcMar>
            <w:vAlign w:val="center"/>
          </w:tcPr>
          <w:p w14:paraId="1B2372F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125E716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742D285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cyan"/>
                <w:bdr w:val="single" w:color="0C8CE7" w:sz="2" w:space="0"/>
                <w:shd w:val="clear" w:fill="FFFFFF"/>
                <w:lang w:val="en-US" w:eastAsia="zh-CN" w:bidi="ar"/>
              </w:rPr>
              <w:t>Moderate</w:t>
            </w:r>
          </w:p>
        </w:tc>
        <w:tc>
          <w:tcPr>
            <w:tcW w:w="2839" w:type="dxa"/>
            <w:tcBorders>
              <w:top w:val="single" w:color="DDDDDD" w:sz="2" w:space="0"/>
            </w:tcBorders>
            <w:shd w:val="clear" w:color="auto" w:fill="FAFAFA"/>
            <w:tcMar>
              <w:top w:w="60" w:type="dxa"/>
              <w:left w:w="60" w:type="dxa"/>
              <w:bottom w:w="60" w:type="dxa"/>
              <w:right w:w="60" w:type="dxa"/>
            </w:tcMar>
            <w:vAlign w:val="center"/>
          </w:tcPr>
          <w:p w14:paraId="5F05AA0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Imprecision |</w:t>
            </w:r>
          </w:p>
        </w:tc>
      </w:tr>
      <w:tr w14:paraId="2CA97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76F5FBE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ATRT vs LIT</w:t>
            </w:r>
          </w:p>
        </w:tc>
        <w:tc>
          <w:tcPr>
            <w:tcW w:w="1041" w:type="dxa"/>
            <w:tcBorders>
              <w:top w:val="single" w:color="DDDDDD" w:sz="2" w:space="0"/>
            </w:tcBorders>
            <w:shd w:val="clear" w:color="auto" w:fill="FAFAFA"/>
            <w:tcMar>
              <w:top w:w="60" w:type="dxa"/>
              <w:left w:w="60" w:type="dxa"/>
              <w:bottom w:w="60" w:type="dxa"/>
              <w:right w:w="60" w:type="dxa"/>
            </w:tcMar>
            <w:vAlign w:val="center"/>
          </w:tcPr>
          <w:p w14:paraId="5E50475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28" w:type="dxa"/>
            <w:tcBorders>
              <w:top w:val="single" w:color="DDDDDD" w:sz="2" w:space="0"/>
            </w:tcBorders>
            <w:shd w:val="clear" w:color="auto" w:fill="E0DF02"/>
            <w:tcMar>
              <w:top w:w="60" w:type="dxa"/>
              <w:left w:w="60" w:type="dxa"/>
              <w:bottom w:w="60" w:type="dxa"/>
              <w:right w:w="60" w:type="dxa"/>
            </w:tcMar>
            <w:vAlign w:val="center"/>
          </w:tcPr>
          <w:p w14:paraId="3FB33A5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7A1DB62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7AC55B5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E0DF02"/>
            <w:tcMar>
              <w:top w:w="60" w:type="dxa"/>
              <w:left w:w="60" w:type="dxa"/>
              <w:bottom w:w="60" w:type="dxa"/>
              <w:right w:w="60" w:type="dxa"/>
            </w:tcMar>
            <w:vAlign w:val="center"/>
          </w:tcPr>
          <w:p w14:paraId="4B894CF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7" w:type="dxa"/>
            <w:tcBorders>
              <w:top w:val="single" w:color="DDDDDD" w:sz="2" w:space="0"/>
            </w:tcBorders>
            <w:shd w:val="clear" w:color="auto" w:fill="E0DF02"/>
            <w:tcMar>
              <w:top w:w="60" w:type="dxa"/>
              <w:left w:w="60" w:type="dxa"/>
              <w:bottom w:w="60" w:type="dxa"/>
              <w:right w:w="60" w:type="dxa"/>
            </w:tcMar>
            <w:vAlign w:val="center"/>
          </w:tcPr>
          <w:p w14:paraId="5A312E5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3BE05CA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64D3516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7273E4F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 Heterogeneity |</w:t>
            </w:r>
          </w:p>
        </w:tc>
      </w:tr>
      <w:tr w14:paraId="68242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027E3B8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ATRT vs Tai chi</w:t>
            </w:r>
          </w:p>
        </w:tc>
        <w:tc>
          <w:tcPr>
            <w:tcW w:w="1041" w:type="dxa"/>
            <w:tcBorders>
              <w:top w:val="single" w:color="DDDDDD" w:sz="2" w:space="0"/>
            </w:tcBorders>
            <w:shd w:val="clear" w:color="auto" w:fill="FAFAFA"/>
            <w:tcMar>
              <w:top w:w="60" w:type="dxa"/>
              <w:left w:w="60" w:type="dxa"/>
              <w:bottom w:w="60" w:type="dxa"/>
              <w:right w:w="60" w:type="dxa"/>
            </w:tcMar>
            <w:vAlign w:val="center"/>
          </w:tcPr>
          <w:p w14:paraId="755F84D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28" w:type="dxa"/>
            <w:tcBorders>
              <w:top w:val="single" w:color="DDDDDD" w:sz="2" w:space="0"/>
            </w:tcBorders>
            <w:shd w:val="clear" w:color="auto" w:fill="02C000"/>
            <w:tcMar>
              <w:top w:w="60" w:type="dxa"/>
              <w:left w:w="60" w:type="dxa"/>
              <w:bottom w:w="60" w:type="dxa"/>
              <w:right w:w="60" w:type="dxa"/>
            </w:tcMar>
            <w:vAlign w:val="center"/>
          </w:tcPr>
          <w:p w14:paraId="2EFFCCD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33A9421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4C7419B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C00000"/>
            <w:tcMar>
              <w:top w:w="60" w:type="dxa"/>
              <w:left w:w="60" w:type="dxa"/>
              <w:bottom w:w="60" w:type="dxa"/>
              <w:right w:w="60" w:type="dxa"/>
            </w:tcMar>
            <w:vAlign w:val="center"/>
          </w:tcPr>
          <w:p w14:paraId="4A98455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w:t>
            </w:r>
          </w:p>
        </w:tc>
        <w:tc>
          <w:tcPr>
            <w:tcW w:w="1387" w:type="dxa"/>
            <w:tcBorders>
              <w:top w:val="single" w:color="DDDDDD" w:sz="2" w:space="0"/>
            </w:tcBorders>
            <w:shd w:val="clear" w:color="auto" w:fill="02C000"/>
            <w:tcMar>
              <w:top w:w="60" w:type="dxa"/>
              <w:left w:w="60" w:type="dxa"/>
              <w:bottom w:w="60" w:type="dxa"/>
              <w:right w:w="60" w:type="dxa"/>
            </w:tcMar>
            <w:vAlign w:val="center"/>
          </w:tcPr>
          <w:p w14:paraId="3C74A1D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33A088C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60A80F0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04043F5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Imprecision |</w:t>
            </w:r>
          </w:p>
        </w:tc>
      </w:tr>
      <w:tr w14:paraId="5B6CA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363BEBA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ATRT vs Yoga</w:t>
            </w:r>
          </w:p>
        </w:tc>
        <w:tc>
          <w:tcPr>
            <w:tcW w:w="1041" w:type="dxa"/>
            <w:tcBorders>
              <w:top w:val="single" w:color="DDDDDD" w:sz="2" w:space="0"/>
            </w:tcBorders>
            <w:shd w:val="clear" w:color="auto" w:fill="FAFAFA"/>
            <w:tcMar>
              <w:top w:w="60" w:type="dxa"/>
              <w:left w:w="60" w:type="dxa"/>
              <w:bottom w:w="60" w:type="dxa"/>
              <w:right w:w="60" w:type="dxa"/>
            </w:tcMar>
            <w:vAlign w:val="center"/>
          </w:tcPr>
          <w:p w14:paraId="1195CE9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28" w:type="dxa"/>
            <w:tcBorders>
              <w:top w:val="single" w:color="DDDDDD" w:sz="2" w:space="0"/>
            </w:tcBorders>
            <w:shd w:val="clear" w:color="auto" w:fill="E0DF02"/>
            <w:tcMar>
              <w:top w:w="60" w:type="dxa"/>
              <w:left w:w="60" w:type="dxa"/>
              <w:bottom w:w="60" w:type="dxa"/>
              <w:right w:w="60" w:type="dxa"/>
            </w:tcMar>
            <w:vAlign w:val="center"/>
          </w:tcPr>
          <w:p w14:paraId="0F3E939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656F8F7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7C163EC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E0DF02"/>
            <w:tcMar>
              <w:top w:w="60" w:type="dxa"/>
              <w:left w:w="60" w:type="dxa"/>
              <w:bottom w:w="60" w:type="dxa"/>
              <w:right w:w="60" w:type="dxa"/>
            </w:tcMar>
            <w:vAlign w:val="center"/>
          </w:tcPr>
          <w:p w14:paraId="5B99744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7" w:type="dxa"/>
            <w:tcBorders>
              <w:top w:val="single" w:color="DDDDDD" w:sz="2" w:space="0"/>
            </w:tcBorders>
            <w:shd w:val="clear" w:color="auto" w:fill="E0DF02"/>
            <w:tcMar>
              <w:top w:w="60" w:type="dxa"/>
              <w:left w:w="60" w:type="dxa"/>
              <w:bottom w:w="60" w:type="dxa"/>
              <w:right w:w="60" w:type="dxa"/>
            </w:tcMar>
            <w:vAlign w:val="center"/>
          </w:tcPr>
          <w:p w14:paraId="07D2E1B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4EF440A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5AD1CA1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232D1DA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 Heterogeneity |</w:t>
            </w:r>
          </w:p>
        </w:tc>
      </w:tr>
      <w:tr w14:paraId="58D45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4F0F8AA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HIIT vs IET</w:t>
            </w:r>
          </w:p>
        </w:tc>
        <w:tc>
          <w:tcPr>
            <w:tcW w:w="1041" w:type="dxa"/>
            <w:tcBorders>
              <w:top w:val="single" w:color="DDDDDD" w:sz="2" w:space="0"/>
            </w:tcBorders>
            <w:shd w:val="clear" w:color="auto" w:fill="FAFAFA"/>
            <w:tcMar>
              <w:top w:w="60" w:type="dxa"/>
              <w:left w:w="60" w:type="dxa"/>
              <w:bottom w:w="60" w:type="dxa"/>
              <w:right w:w="60" w:type="dxa"/>
            </w:tcMar>
            <w:vAlign w:val="center"/>
          </w:tcPr>
          <w:p w14:paraId="6265BB4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28" w:type="dxa"/>
            <w:tcBorders>
              <w:top w:val="single" w:color="DDDDDD" w:sz="2" w:space="0"/>
            </w:tcBorders>
            <w:shd w:val="clear" w:color="auto" w:fill="E0DF02"/>
            <w:tcMar>
              <w:top w:w="60" w:type="dxa"/>
              <w:left w:w="60" w:type="dxa"/>
              <w:bottom w:w="60" w:type="dxa"/>
              <w:right w:w="60" w:type="dxa"/>
            </w:tcMar>
            <w:vAlign w:val="center"/>
          </w:tcPr>
          <w:p w14:paraId="2BCC969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0F64519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615C32D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E0DF02"/>
            <w:tcMar>
              <w:top w:w="60" w:type="dxa"/>
              <w:left w:w="60" w:type="dxa"/>
              <w:bottom w:w="60" w:type="dxa"/>
              <w:right w:w="60" w:type="dxa"/>
            </w:tcMar>
            <w:vAlign w:val="center"/>
          </w:tcPr>
          <w:p w14:paraId="737B343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7" w:type="dxa"/>
            <w:tcBorders>
              <w:top w:val="single" w:color="DDDDDD" w:sz="2" w:space="0"/>
            </w:tcBorders>
            <w:shd w:val="clear" w:color="auto" w:fill="E0DF02"/>
            <w:tcMar>
              <w:top w:w="60" w:type="dxa"/>
              <w:left w:w="60" w:type="dxa"/>
              <w:bottom w:w="60" w:type="dxa"/>
              <w:right w:w="60" w:type="dxa"/>
            </w:tcMar>
            <w:vAlign w:val="center"/>
          </w:tcPr>
          <w:p w14:paraId="67D5946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74A9212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7F248B6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6D1869C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 Heterogeneity |</w:t>
            </w:r>
          </w:p>
        </w:tc>
      </w:tr>
      <w:tr w14:paraId="0F864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53603D2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HIIT vs LIT</w:t>
            </w:r>
          </w:p>
        </w:tc>
        <w:tc>
          <w:tcPr>
            <w:tcW w:w="1041" w:type="dxa"/>
            <w:tcBorders>
              <w:top w:val="single" w:color="DDDDDD" w:sz="2" w:space="0"/>
            </w:tcBorders>
            <w:shd w:val="clear" w:color="auto" w:fill="FAFAFA"/>
            <w:tcMar>
              <w:top w:w="60" w:type="dxa"/>
              <w:left w:w="60" w:type="dxa"/>
              <w:bottom w:w="60" w:type="dxa"/>
              <w:right w:w="60" w:type="dxa"/>
            </w:tcMar>
            <w:vAlign w:val="center"/>
          </w:tcPr>
          <w:p w14:paraId="2531292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28" w:type="dxa"/>
            <w:tcBorders>
              <w:top w:val="single" w:color="DDDDDD" w:sz="2" w:space="0"/>
            </w:tcBorders>
            <w:shd w:val="clear" w:color="auto" w:fill="E0DF02"/>
            <w:tcMar>
              <w:top w:w="60" w:type="dxa"/>
              <w:left w:w="60" w:type="dxa"/>
              <w:bottom w:w="60" w:type="dxa"/>
              <w:right w:w="60" w:type="dxa"/>
            </w:tcMar>
            <w:vAlign w:val="center"/>
          </w:tcPr>
          <w:p w14:paraId="638232A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47236E5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65B4662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E0DF02"/>
            <w:tcMar>
              <w:top w:w="60" w:type="dxa"/>
              <w:left w:w="60" w:type="dxa"/>
              <w:bottom w:w="60" w:type="dxa"/>
              <w:right w:w="60" w:type="dxa"/>
            </w:tcMar>
            <w:vAlign w:val="center"/>
          </w:tcPr>
          <w:p w14:paraId="67B2D72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7" w:type="dxa"/>
            <w:tcBorders>
              <w:top w:val="single" w:color="DDDDDD" w:sz="2" w:space="0"/>
            </w:tcBorders>
            <w:shd w:val="clear" w:color="auto" w:fill="E0DF02"/>
            <w:tcMar>
              <w:top w:w="60" w:type="dxa"/>
              <w:left w:w="60" w:type="dxa"/>
              <w:bottom w:w="60" w:type="dxa"/>
              <w:right w:w="60" w:type="dxa"/>
            </w:tcMar>
            <w:vAlign w:val="center"/>
          </w:tcPr>
          <w:p w14:paraId="084ABE2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0BFCD08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707D867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64BBF38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 Heterogeneity |</w:t>
            </w:r>
          </w:p>
        </w:tc>
      </w:tr>
      <w:tr w14:paraId="2F607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1989293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HIIT vs RT</w:t>
            </w:r>
          </w:p>
        </w:tc>
        <w:tc>
          <w:tcPr>
            <w:tcW w:w="1041" w:type="dxa"/>
            <w:tcBorders>
              <w:top w:val="single" w:color="DDDDDD" w:sz="2" w:space="0"/>
            </w:tcBorders>
            <w:shd w:val="clear" w:color="auto" w:fill="FAFAFA"/>
            <w:tcMar>
              <w:top w:w="60" w:type="dxa"/>
              <w:left w:w="60" w:type="dxa"/>
              <w:bottom w:w="60" w:type="dxa"/>
              <w:right w:w="60" w:type="dxa"/>
            </w:tcMar>
            <w:vAlign w:val="center"/>
          </w:tcPr>
          <w:p w14:paraId="195A2D3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28" w:type="dxa"/>
            <w:tcBorders>
              <w:top w:val="single" w:color="DDDDDD" w:sz="2" w:space="0"/>
            </w:tcBorders>
            <w:shd w:val="clear" w:color="auto" w:fill="E0DF02"/>
            <w:tcMar>
              <w:top w:w="60" w:type="dxa"/>
              <w:left w:w="60" w:type="dxa"/>
              <w:bottom w:w="60" w:type="dxa"/>
              <w:right w:w="60" w:type="dxa"/>
            </w:tcMar>
            <w:vAlign w:val="center"/>
          </w:tcPr>
          <w:p w14:paraId="48C718F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1159AE6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2ABF913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C00000"/>
            <w:tcMar>
              <w:top w:w="60" w:type="dxa"/>
              <w:left w:w="60" w:type="dxa"/>
              <w:bottom w:w="60" w:type="dxa"/>
              <w:right w:w="60" w:type="dxa"/>
            </w:tcMar>
            <w:vAlign w:val="center"/>
          </w:tcPr>
          <w:p w14:paraId="193329D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w:t>
            </w:r>
          </w:p>
        </w:tc>
        <w:tc>
          <w:tcPr>
            <w:tcW w:w="1387" w:type="dxa"/>
            <w:tcBorders>
              <w:top w:val="single" w:color="DDDDDD" w:sz="2" w:space="0"/>
            </w:tcBorders>
            <w:shd w:val="clear" w:color="auto" w:fill="02C000"/>
            <w:tcMar>
              <w:top w:w="60" w:type="dxa"/>
              <w:left w:w="60" w:type="dxa"/>
              <w:bottom w:w="60" w:type="dxa"/>
              <w:right w:w="60" w:type="dxa"/>
            </w:tcMar>
            <w:vAlign w:val="center"/>
          </w:tcPr>
          <w:p w14:paraId="39204D8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0DB3F76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4833144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71ACD55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w:t>
            </w:r>
          </w:p>
        </w:tc>
      </w:tr>
      <w:tr w14:paraId="7C54F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2D5E98D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HIIT vs Tai chi</w:t>
            </w:r>
          </w:p>
        </w:tc>
        <w:tc>
          <w:tcPr>
            <w:tcW w:w="1041" w:type="dxa"/>
            <w:tcBorders>
              <w:top w:val="single" w:color="DDDDDD" w:sz="2" w:space="0"/>
            </w:tcBorders>
            <w:shd w:val="clear" w:color="auto" w:fill="FAFAFA"/>
            <w:tcMar>
              <w:top w:w="60" w:type="dxa"/>
              <w:left w:w="60" w:type="dxa"/>
              <w:bottom w:w="60" w:type="dxa"/>
              <w:right w:w="60" w:type="dxa"/>
            </w:tcMar>
            <w:vAlign w:val="center"/>
          </w:tcPr>
          <w:p w14:paraId="596527F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28" w:type="dxa"/>
            <w:tcBorders>
              <w:top w:val="single" w:color="DDDDDD" w:sz="2" w:space="0"/>
            </w:tcBorders>
            <w:shd w:val="clear" w:color="auto" w:fill="E0DF02"/>
            <w:tcMar>
              <w:top w:w="60" w:type="dxa"/>
              <w:left w:w="60" w:type="dxa"/>
              <w:bottom w:w="60" w:type="dxa"/>
              <w:right w:w="60" w:type="dxa"/>
            </w:tcMar>
            <w:vAlign w:val="center"/>
          </w:tcPr>
          <w:p w14:paraId="2DAB96C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43C1CFC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1DBD6D2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C00000"/>
            <w:tcMar>
              <w:top w:w="60" w:type="dxa"/>
              <w:left w:w="60" w:type="dxa"/>
              <w:bottom w:w="60" w:type="dxa"/>
              <w:right w:w="60" w:type="dxa"/>
            </w:tcMar>
            <w:vAlign w:val="center"/>
          </w:tcPr>
          <w:p w14:paraId="4BF4C95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w:t>
            </w:r>
          </w:p>
        </w:tc>
        <w:tc>
          <w:tcPr>
            <w:tcW w:w="1387" w:type="dxa"/>
            <w:tcBorders>
              <w:top w:val="single" w:color="DDDDDD" w:sz="2" w:space="0"/>
            </w:tcBorders>
            <w:shd w:val="clear" w:color="auto" w:fill="02C000"/>
            <w:tcMar>
              <w:top w:w="60" w:type="dxa"/>
              <w:left w:w="60" w:type="dxa"/>
              <w:bottom w:w="60" w:type="dxa"/>
              <w:right w:w="60" w:type="dxa"/>
            </w:tcMar>
            <w:vAlign w:val="center"/>
          </w:tcPr>
          <w:p w14:paraId="7A15532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584DE4D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67164B5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52953BB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w:t>
            </w:r>
          </w:p>
        </w:tc>
      </w:tr>
      <w:tr w14:paraId="5ADAF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63933A5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HIIT vs Yoga</w:t>
            </w:r>
          </w:p>
        </w:tc>
        <w:tc>
          <w:tcPr>
            <w:tcW w:w="1041" w:type="dxa"/>
            <w:tcBorders>
              <w:top w:val="single" w:color="DDDDDD" w:sz="2" w:space="0"/>
            </w:tcBorders>
            <w:shd w:val="clear" w:color="auto" w:fill="FAFAFA"/>
            <w:tcMar>
              <w:top w:w="60" w:type="dxa"/>
              <w:left w:w="60" w:type="dxa"/>
              <w:bottom w:w="60" w:type="dxa"/>
              <w:right w:w="60" w:type="dxa"/>
            </w:tcMar>
            <w:vAlign w:val="center"/>
          </w:tcPr>
          <w:p w14:paraId="3263E2D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28" w:type="dxa"/>
            <w:tcBorders>
              <w:top w:val="single" w:color="DDDDDD" w:sz="2" w:space="0"/>
            </w:tcBorders>
            <w:shd w:val="clear" w:color="auto" w:fill="E0DF02"/>
            <w:tcMar>
              <w:top w:w="60" w:type="dxa"/>
              <w:left w:w="60" w:type="dxa"/>
              <w:bottom w:w="60" w:type="dxa"/>
              <w:right w:w="60" w:type="dxa"/>
            </w:tcMar>
            <w:vAlign w:val="center"/>
          </w:tcPr>
          <w:p w14:paraId="59647B1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0831643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7F9B0F7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C00000"/>
            <w:tcMar>
              <w:top w:w="60" w:type="dxa"/>
              <w:left w:w="60" w:type="dxa"/>
              <w:bottom w:w="60" w:type="dxa"/>
              <w:right w:w="60" w:type="dxa"/>
            </w:tcMar>
            <w:vAlign w:val="center"/>
          </w:tcPr>
          <w:p w14:paraId="65755E7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w:t>
            </w:r>
          </w:p>
        </w:tc>
        <w:tc>
          <w:tcPr>
            <w:tcW w:w="1387" w:type="dxa"/>
            <w:tcBorders>
              <w:top w:val="single" w:color="DDDDDD" w:sz="2" w:space="0"/>
            </w:tcBorders>
            <w:shd w:val="clear" w:color="auto" w:fill="02C000"/>
            <w:tcMar>
              <w:top w:w="60" w:type="dxa"/>
              <w:left w:w="60" w:type="dxa"/>
              <w:bottom w:w="60" w:type="dxa"/>
              <w:right w:w="60" w:type="dxa"/>
            </w:tcMar>
            <w:vAlign w:val="center"/>
          </w:tcPr>
          <w:p w14:paraId="301A214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054F845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032E578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79B04A4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w:t>
            </w:r>
          </w:p>
        </w:tc>
      </w:tr>
      <w:tr w14:paraId="7236A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4EDF33B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IET vs LIT</w:t>
            </w:r>
          </w:p>
        </w:tc>
        <w:tc>
          <w:tcPr>
            <w:tcW w:w="1041" w:type="dxa"/>
            <w:tcBorders>
              <w:top w:val="single" w:color="DDDDDD" w:sz="2" w:space="0"/>
            </w:tcBorders>
            <w:shd w:val="clear" w:color="auto" w:fill="FAFAFA"/>
            <w:tcMar>
              <w:top w:w="60" w:type="dxa"/>
              <w:left w:w="60" w:type="dxa"/>
              <w:bottom w:w="60" w:type="dxa"/>
              <w:right w:w="60" w:type="dxa"/>
            </w:tcMar>
            <w:vAlign w:val="center"/>
          </w:tcPr>
          <w:p w14:paraId="1BFA6CB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28" w:type="dxa"/>
            <w:tcBorders>
              <w:top w:val="single" w:color="DDDDDD" w:sz="2" w:space="0"/>
            </w:tcBorders>
            <w:shd w:val="clear" w:color="auto" w:fill="E0DF02"/>
            <w:tcMar>
              <w:top w:w="60" w:type="dxa"/>
              <w:left w:w="60" w:type="dxa"/>
              <w:bottom w:w="60" w:type="dxa"/>
              <w:right w:w="60" w:type="dxa"/>
            </w:tcMar>
            <w:vAlign w:val="center"/>
          </w:tcPr>
          <w:p w14:paraId="37D9892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2A39708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1AC34A1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02C000"/>
            <w:tcMar>
              <w:top w:w="60" w:type="dxa"/>
              <w:left w:w="60" w:type="dxa"/>
              <w:bottom w:w="60" w:type="dxa"/>
              <w:right w:w="60" w:type="dxa"/>
            </w:tcMar>
            <w:vAlign w:val="center"/>
          </w:tcPr>
          <w:p w14:paraId="1CF011F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87" w:type="dxa"/>
            <w:tcBorders>
              <w:top w:val="single" w:color="DDDDDD" w:sz="2" w:space="0"/>
            </w:tcBorders>
            <w:shd w:val="clear" w:color="auto" w:fill="E0DF02"/>
            <w:tcMar>
              <w:top w:w="60" w:type="dxa"/>
              <w:left w:w="60" w:type="dxa"/>
              <w:bottom w:w="60" w:type="dxa"/>
              <w:right w:w="60" w:type="dxa"/>
            </w:tcMar>
            <w:vAlign w:val="center"/>
          </w:tcPr>
          <w:p w14:paraId="230C6D1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18F83B6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4B1008A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6E49686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Heterogeneity |</w:t>
            </w:r>
          </w:p>
        </w:tc>
      </w:tr>
      <w:tr w14:paraId="462E9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66E88C2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IET vs MICT</w:t>
            </w:r>
          </w:p>
        </w:tc>
        <w:tc>
          <w:tcPr>
            <w:tcW w:w="1041" w:type="dxa"/>
            <w:tcBorders>
              <w:top w:val="single" w:color="DDDDDD" w:sz="2" w:space="0"/>
            </w:tcBorders>
            <w:shd w:val="clear" w:color="auto" w:fill="FAFAFA"/>
            <w:tcMar>
              <w:top w:w="60" w:type="dxa"/>
              <w:left w:w="60" w:type="dxa"/>
              <w:bottom w:w="60" w:type="dxa"/>
              <w:right w:w="60" w:type="dxa"/>
            </w:tcMar>
            <w:vAlign w:val="center"/>
          </w:tcPr>
          <w:p w14:paraId="748E21D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28" w:type="dxa"/>
            <w:tcBorders>
              <w:top w:val="single" w:color="DDDDDD" w:sz="2" w:space="0"/>
            </w:tcBorders>
            <w:shd w:val="clear" w:color="auto" w:fill="02C000"/>
            <w:tcMar>
              <w:top w:w="60" w:type="dxa"/>
              <w:left w:w="60" w:type="dxa"/>
              <w:bottom w:w="60" w:type="dxa"/>
              <w:right w:w="60" w:type="dxa"/>
            </w:tcMar>
            <w:vAlign w:val="center"/>
          </w:tcPr>
          <w:p w14:paraId="1258AE1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0863CA3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195AD0C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E0DF02"/>
            <w:tcMar>
              <w:top w:w="60" w:type="dxa"/>
              <w:left w:w="60" w:type="dxa"/>
              <w:bottom w:w="60" w:type="dxa"/>
              <w:right w:w="60" w:type="dxa"/>
            </w:tcMar>
            <w:vAlign w:val="center"/>
          </w:tcPr>
          <w:p w14:paraId="147F56D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7" w:type="dxa"/>
            <w:tcBorders>
              <w:top w:val="single" w:color="DDDDDD" w:sz="2" w:space="0"/>
            </w:tcBorders>
            <w:shd w:val="clear" w:color="auto" w:fill="E0DF02"/>
            <w:tcMar>
              <w:top w:w="60" w:type="dxa"/>
              <w:left w:w="60" w:type="dxa"/>
              <w:bottom w:w="60" w:type="dxa"/>
              <w:right w:w="60" w:type="dxa"/>
            </w:tcMar>
            <w:vAlign w:val="center"/>
          </w:tcPr>
          <w:p w14:paraId="04C5048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48FAF23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6BAD8DE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318FAF9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Imprecision | Heterogeneity |</w:t>
            </w:r>
          </w:p>
        </w:tc>
      </w:tr>
      <w:tr w14:paraId="2CEA9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57E20D6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IET vs RT</w:t>
            </w:r>
          </w:p>
        </w:tc>
        <w:tc>
          <w:tcPr>
            <w:tcW w:w="1041" w:type="dxa"/>
            <w:tcBorders>
              <w:top w:val="single" w:color="DDDDDD" w:sz="2" w:space="0"/>
            </w:tcBorders>
            <w:shd w:val="clear" w:color="auto" w:fill="FAFAFA"/>
            <w:tcMar>
              <w:top w:w="60" w:type="dxa"/>
              <w:left w:w="60" w:type="dxa"/>
              <w:bottom w:w="60" w:type="dxa"/>
              <w:right w:w="60" w:type="dxa"/>
            </w:tcMar>
            <w:vAlign w:val="center"/>
          </w:tcPr>
          <w:p w14:paraId="3C1700D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28" w:type="dxa"/>
            <w:tcBorders>
              <w:top w:val="single" w:color="DDDDDD" w:sz="2" w:space="0"/>
            </w:tcBorders>
            <w:shd w:val="clear" w:color="auto" w:fill="02C000"/>
            <w:tcMar>
              <w:top w:w="60" w:type="dxa"/>
              <w:left w:w="60" w:type="dxa"/>
              <w:bottom w:w="60" w:type="dxa"/>
              <w:right w:w="60" w:type="dxa"/>
            </w:tcMar>
            <w:vAlign w:val="center"/>
          </w:tcPr>
          <w:p w14:paraId="0D0F248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76AE299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5D4A396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E0DF02"/>
            <w:tcMar>
              <w:top w:w="60" w:type="dxa"/>
              <w:left w:w="60" w:type="dxa"/>
              <w:bottom w:w="60" w:type="dxa"/>
              <w:right w:w="60" w:type="dxa"/>
            </w:tcMar>
            <w:vAlign w:val="center"/>
          </w:tcPr>
          <w:p w14:paraId="6C27760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7" w:type="dxa"/>
            <w:tcBorders>
              <w:top w:val="single" w:color="DDDDDD" w:sz="2" w:space="0"/>
            </w:tcBorders>
            <w:shd w:val="clear" w:color="auto" w:fill="E0DF02"/>
            <w:tcMar>
              <w:top w:w="60" w:type="dxa"/>
              <w:left w:w="60" w:type="dxa"/>
              <w:bottom w:w="60" w:type="dxa"/>
              <w:right w:w="60" w:type="dxa"/>
            </w:tcMar>
            <w:vAlign w:val="center"/>
          </w:tcPr>
          <w:p w14:paraId="40194ED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106F381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497A64B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602BDFB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Imprecision | Heterogeneity |</w:t>
            </w:r>
          </w:p>
        </w:tc>
      </w:tr>
      <w:tr w14:paraId="5B7E2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2187D5A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IET vs Tai chi</w:t>
            </w:r>
          </w:p>
        </w:tc>
        <w:tc>
          <w:tcPr>
            <w:tcW w:w="1041" w:type="dxa"/>
            <w:tcBorders>
              <w:top w:val="single" w:color="DDDDDD" w:sz="2" w:space="0"/>
            </w:tcBorders>
            <w:shd w:val="clear" w:color="auto" w:fill="FAFAFA"/>
            <w:tcMar>
              <w:top w:w="60" w:type="dxa"/>
              <w:left w:w="60" w:type="dxa"/>
              <w:bottom w:w="60" w:type="dxa"/>
              <w:right w:w="60" w:type="dxa"/>
            </w:tcMar>
            <w:vAlign w:val="center"/>
          </w:tcPr>
          <w:p w14:paraId="1559B57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28" w:type="dxa"/>
            <w:tcBorders>
              <w:top w:val="single" w:color="DDDDDD" w:sz="2" w:space="0"/>
            </w:tcBorders>
            <w:shd w:val="clear" w:color="auto" w:fill="02C000"/>
            <w:tcMar>
              <w:top w:w="60" w:type="dxa"/>
              <w:left w:w="60" w:type="dxa"/>
              <w:bottom w:w="60" w:type="dxa"/>
              <w:right w:w="60" w:type="dxa"/>
            </w:tcMar>
            <w:vAlign w:val="center"/>
          </w:tcPr>
          <w:p w14:paraId="372E449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2C6C5FB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5B70074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C00000"/>
            <w:tcMar>
              <w:top w:w="60" w:type="dxa"/>
              <w:left w:w="60" w:type="dxa"/>
              <w:bottom w:w="60" w:type="dxa"/>
              <w:right w:w="60" w:type="dxa"/>
            </w:tcMar>
            <w:vAlign w:val="center"/>
          </w:tcPr>
          <w:p w14:paraId="2574DF8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w:t>
            </w:r>
          </w:p>
        </w:tc>
        <w:tc>
          <w:tcPr>
            <w:tcW w:w="1387" w:type="dxa"/>
            <w:tcBorders>
              <w:top w:val="single" w:color="DDDDDD" w:sz="2" w:space="0"/>
            </w:tcBorders>
            <w:shd w:val="clear" w:color="auto" w:fill="02C000"/>
            <w:tcMar>
              <w:top w:w="60" w:type="dxa"/>
              <w:left w:w="60" w:type="dxa"/>
              <w:bottom w:w="60" w:type="dxa"/>
              <w:right w:w="60" w:type="dxa"/>
            </w:tcMar>
            <w:vAlign w:val="center"/>
          </w:tcPr>
          <w:p w14:paraId="47EC3B2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2249325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2D8DB2A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7E30E74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Imprecision |</w:t>
            </w:r>
          </w:p>
        </w:tc>
      </w:tr>
      <w:tr w14:paraId="0F66C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05EE8F8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IET vs Yoga</w:t>
            </w:r>
          </w:p>
        </w:tc>
        <w:tc>
          <w:tcPr>
            <w:tcW w:w="1041" w:type="dxa"/>
            <w:tcBorders>
              <w:top w:val="single" w:color="DDDDDD" w:sz="2" w:space="0"/>
            </w:tcBorders>
            <w:shd w:val="clear" w:color="auto" w:fill="FAFAFA"/>
            <w:tcMar>
              <w:top w:w="60" w:type="dxa"/>
              <w:left w:w="60" w:type="dxa"/>
              <w:bottom w:w="60" w:type="dxa"/>
              <w:right w:w="60" w:type="dxa"/>
            </w:tcMar>
            <w:vAlign w:val="center"/>
          </w:tcPr>
          <w:p w14:paraId="198F6EC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28" w:type="dxa"/>
            <w:tcBorders>
              <w:top w:val="single" w:color="DDDDDD" w:sz="2" w:space="0"/>
            </w:tcBorders>
            <w:shd w:val="clear" w:color="auto" w:fill="E0DF02"/>
            <w:tcMar>
              <w:top w:w="60" w:type="dxa"/>
              <w:left w:w="60" w:type="dxa"/>
              <w:bottom w:w="60" w:type="dxa"/>
              <w:right w:w="60" w:type="dxa"/>
            </w:tcMar>
            <w:vAlign w:val="center"/>
          </w:tcPr>
          <w:p w14:paraId="2019266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3B5FD64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3FA6875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E0DF02"/>
            <w:tcMar>
              <w:top w:w="60" w:type="dxa"/>
              <w:left w:w="60" w:type="dxa"/>
              <w:bottom w:w="60" w:type="dxa"/>
              <w:right w:w="60" w:type="dxa"/>
            </w:tcMar>
            <w:vAlign w:val="center"/>
          </w:tcPr>
          <w:p w14:paraId="4092DA8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7" w:type="dxa"/>
            <w:tcBorders>
              <w:top w:val="single" w:color="DDDDDD" w:sz="2" w:space="0"/>
            </w:tcBorders>
            <w:shd w:val="clear" w:color="auto" w:fill="E0DF02"/>
            <w:tcMar>
              <w:top w:w="60" w:type="dxa"/>
              <w:left w:w="60" w:type="dxa"/>
              <w:bottom w:w="60" w:type="dxa"/>
              <w:right w:w="60" w:type="dxa"/>
            </w:tcMar>
            <w:vAlign w:val="center"/>
          </w:tcPr>
          <w:p w14:paraId="222EAC0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74A4260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0918383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057AA23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 Heterogeneity |</w:t>
            </w:r>
          </w:p>
        </w:tc>
      </w:tr>
      <w:tr w14:paraId="07157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4DCEDFF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LIT vs MICT</w:t>
            </w:r>
          </w:p>
        </w:tc>
        <w:tc>
          <w:tcPr>
            <w:tcW w:w="1041" w:type="dxa"/>
            <w:tcBorders>
              <w:top w:val="single" w:color="DDDDDD" w:sz="2" w:space="0"/>
            </w:tcBorders>
            <w:shd w:val="clear" w:color="auto" w:fill="FAFAFA"/>
            <w:tcMar>
              <w:top w:w="60" w:type="dxa"/>
              <w:left w:w="60" w:type="dxa"/>
              <w:bottom w:w="60" w:type="dxa"/>
              <w:right w:w="60" w:type="dxa"/>
            </w:tcMar>
            <w:vAlign w:val="center"/>
          </w:tcPr>
          <w:p w14:paraId="57BEEB1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28" w:type="dxa"/>
            <w:tcBorders>
              <w:top w:val="single" w:color="DDDDDD" w:sz="2" w:space="0"/>
            </w:tcBorders>
            <w:shd w:val="clear" w:color="auto" w:fill="E0DF02"/>
            <w:tcMar>
              <w:top w:w="60" w:type="dxa"/>
              <w:left w:w="60" w:type="dxa"/>
              <w:bottom w:w="60" w:type="dxa"/>
              <w:right w:w="60" w:type="dxa"/>
            </w:tcMar>
            <w:vAlign w:val="center"/>
          </w:tcPr>
          <w:p w14:paraId="2B4902A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2FA289F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03F696C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02C000"/>
            <w:tcMar>
              <w:top w:w="60" w:type="dxa"/>
              <w:left w:w="60" w:type="dxa"/>
              <w:bottom w:w="60" w:type="dxa"/>
              <w:right w:w="60" w:type="dxa"/>
            </w:tcMar>
            <w:vAlign w:val="center"/>
          </w:tcPr>
          <w:p w14:paraId="4B42F70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87" w:type="dxa"/>
            <w:tcBorders>
              <w:top w:val="single" w:color="DDDDDD" w:sz="2" w:space="0"/>
            </w:tcBorders>
            <w:shd w:val="clear" w:color="auto" w:fill="E0DF02"/>
            <w:tcMar>
              <w:top w:w="60" w:type="dxa"/>
              <w:left w:w="60" w:type="dxa"/>
              <w:bottom w:w="60" w:type="dxa"/>
              <w:right w:w="60" w:type="dxa"/>
            </w:tcMar>
            <w:vAlign w:val="center"/>
          </w:tcPr>
          <w:p w14:paraId="1A9E11F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3A8D85F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44B873F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05681DB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Heterogeneity |</w:t>
            </w:r>
          </w:p>
        </w:tc>
      </w:tr>
      <w:tr w14:paraId="65C73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7C73DA2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LIT vs RT</w:t>
            </w:r>
          </w:p>
        </w:tc>
        <w:tc>
          <w:tcPr>
            <w:tcW w:w="1041" w:type="dxa"/>
            <w:tcBorders>
              <w:top w:val="single" w:color="DDDDDD" w:sz="2" w:space="0"/>
            </w:tcBorders>
            <w:shd w:val="clear" w:color="auto" w:fill="FAFAFA"/>
            <w:tcMar>
              <w:top w:w="60" w:type="dxa"/>
              <w:left w:w="60" w:type="dxa"/>
              <w:bottom w:w="60" w:type="dxa"/>
              <w:right w:w="60" w:type="dxa"/>
            </w:tcMar>
            <w:vAlign w:val="center"/>
          </w:tcPr>
          <w:p w14:paraId="261CF2F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28" w:type="dxa"/>
            <w:tcBorders>
              <w:top w:val="single" w:color="DDDDDD" w:sz="2" w:space="0"/>
            </w:tcBorders>
            <w:shd w:val="clear" w:color="auto" w:fill="E0DF02"/>
            <w:tcMar>
              <w:top w:w="60" w:type="dxa"/>
              <w:left w:w="60" w:type="dxa"/>
              <w:bottom w:w="60" w:type="dxa"/>
              <w:right w:w="60" w:type="dxa"/>
            </w:tcMar>
            <w:vAlign w:val="center"/>
          </w:tcPr>
          <w:p w14:paraId="3752224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56F1C40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6EEEF2D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E0DF02"/>
            <w:tcMar>
              <w:top w:w="60" w:type="dxa"/>
              <w:left w:w="60" w:type="dxa"/>
              <w:bottom w:w="60" w:type="dxa"/>
              <w:right w:w="60" w:type="dxa"/>
            </w:tcMar>
            <w:vAlign w:val="center"/>
          </w:tcPr>
          <w:p w14:paraId="728F286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7" w:type="dxa"/>
            <w:tcBorders>
              <w:top w:val="single" w:color="DDDDDD" w:sz="2" w:space="0"/>
            </w:tcBorders>
            <w:shd w:val="clear" w:color="auto" w:fill="E0DF02"/>
            <w:tcMar>
              <w:top w:w="60" w:type="dxa"/>
              <w:left w:w="60" w:type="dxa"/>
              <w:bottom w:w="60" w:type="dxa"/>
              <w:right w:w="60" w:type="dxa"/>
            </w:tcMar>
            <w:vAlign w:val="center"/>
          </w:tcPr>
          <w:p w14:paraId="3697220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4F661A8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372855B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3E6F695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 Heterogeneity |</w:t>
            </w:r>
          </w:p>
        </w:tc>
      </w:tr>
      <w:tr w14:paraId="44220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4A750DD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LIT vs Tai chi</w:t>
            </w:r>
          </w:p>
        </w:tc>
        <w:tc>
          <w:tcPr>
            <w:tcW w:w="1041" w:type="dxa"/>
            <w:tcBorders>
              <w:top w:val="single" w:color="DDDDDD" w:sz="2" w:space="0"/>
            </w:tcBorders>
            <w:shd w:val="clear" w:color="auto" w:fill="FAFAFA"/>
            <w:tcMar>
              <w:top w:w="60" w:type="dxa"/>
              <w:left w:w="60" w:type="dxa"/>
              <w:bottom w:w="60" w:type="dxa"/>
              <w:right w:w="60" w:type="dxa"/>
            </w:tcMar>
            <w:vAlign w:val="center"/>
          </w:tcPr>
          <w:p w14:paraId="1FD1616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28" w:type="dxa"/>
            <w:tcBorders>
              <w:top w:val="single" w:color="DDDDDD" w:sz="2" w:space="0"/>
            </w:tcBorders>
            <w:shd w:val="clear" w:color="auto" w:fill="E0DF02"/>
            <w:tcMar>
              <w:top w:w="60" w:type="dxa"/>
              <w:left w:w="60" w:type="dxa"/>
              <w:bottom w:w="60" w:type="dxa"/>
              <w:right w:w="60" w:type="dxa"/>
            </w:tcMar>
            <w:vAlign w:val="center"/>
          </w:tcPr>
          <w:p w14:paraId="1BE9FB5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3653ED0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0E7E50C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E0DF02"/>
            <w:tcMar>
              <w:top w:w="60" w:type="dxa"/>
              <w:left w:w="60" w:type="dxa"/>
              <w:bottom w:w="60" w:type="dxa"/>
              <w:right w:w="60" w:type="dxa"/>
            </w:tcMar>
            <w:vAlign w:val="center"/>
          </w:tcPr>
          <w:p w14:paraId="1E25995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7" w:type="dxa"/>
            <w:tcBorders>
              <w:top w:val="single" w:color="DDDDDD" w:sz="2" w:space="0"/>
            </w:tcBorders>
            <w:shd w:val="clear" w:color="auto" w:fill="E0DF02"/>
            <w:tcMar>
              <w:top w:w="60" w:type="dxa"/>
              <w:left w:w="60" w:type="dxa"/>
              <w:bottom w:w="60" w:type="dxa"/>
              <w:right w:w="60" w:type="dxa"/>
            </w:tcMar>
            <w:vAlign w:val="center"/>
          </w:tcPr>
          <w:p w14:paraId="3056035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4339213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4EB94C2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691CF19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 Heterogeneity |</w:t>
            </w:r>
          </w:p>
        </w:tc>
      </w:tr>
      <w:tr w14:paraId="4154D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0D4E83A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MICT vs Yoga</w:t>
            </w:r>
          </w:p>
        </w:tc>
        <w:tc>
          <w:tcPr>
            <w:tcW w:w="1041" w:type="dxa"/>
            <w:tcBorders>
              <w:top w:val="single" w:color="DDDDDD" w:sz="2" w:space="0"/>
            </w:tcBorders>
            <w:shd w:val="clear" w:color="auto" w:fill="FAFAFA"/>
            <w:tcMar>
              <w:top w:w="60" w:type="dxa"/>
              <w:left w:w="60" w:type="dxa"/>
              <w:bottom w:w="60" w:type="dxa"/>
              <w:right w:w="60" w:type="dxa"/>
            </w:tcMar>
            <w:vAlign w:val="center"/>
          </w:tcPr>
          <w:p w14:paraId="67DBBA6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28" w:type="dxa"/>
            <w:tcBorders>
              <w:top w:val="single" w:color="DDDDDD" w:sz="2" w:space="0"/>
            </w:tcBorders>
            <w:shd w:val="clear" w:color="auto" w:fill="E0DF02"/>
            <w:tcMar>
              <w:top w:w="60" w:type="dxa"/>
              <w:left w:w="60" w:type="dxa"/>
              <w:bottom w:w="60" w:type="dxa"/>
              <w:right w:w="60" w:type="dxa"/>
            </w:tcMar>
            <w:vAlign w:val="center"/>
          </w:tcPr>
          <w:p w14:paraId="3730C7C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3E9C735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61B6DA0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E0DF02"/>
            <w:tcMar>
              <w:top w:w="60" w:type="dxa"/>
              <w:left w:w="60" w:type="dxa"/>
              <w:bottom w:w="60" w:type="dxa"/>
              <w:right w:w="60" w:type="dxa"/>
            </w:tcMar>
            <w:vAlign w:val="center"/>
          </w:tcPr>
          <w:p w14:paraId="4D35B0F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7" w:type="dxa"/>
            <w:tcBorders>
              <w:top w:val="single" w:color="DDDDDD" w:sz="2" w:space="0"/>
            </w:tcBorders>
            <w:shd w:val="clear" w:color="auto" w:fill="E0DF02"/>
            <w:tcMar>
              <w:top w:w="60" w:type="dxa"/>
              <w:left w:w="60" w:type="dxa"/>
              <w:bottom w:w="60" w:type="dxa"/>
              <w:right w:w="60" w:type="dxa"/>
            </w:tcMar>
            <w:vAlign w:val="center"/>
          </w:tcPr>
          <w:p w14:paraId="1CD22A0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157A00A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749FDB6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59DF060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 Heterogeneity |</w:t>
            </w:r>
          </w:p>
        </w:tc>
      </w:tr>
      <w:tr w14:paraId="45D3C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3382A04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RT vs Tai chi</w:t>
            </w:r>
          </w:p>
        </w:tc>
        <w:tc>
          <w:tcPr>
            <w:tcW w:w="1041" w:type="dxa"/>
            <w:tcBorders>
              <w:top w:val="single" w:color="DDDDDD" w:sz="2" w:space="0"/>
            </w:tcBorders>
            <w:shd w:val="clear" w:color="auto" w:fill="FAFAFA"/>
            <w:tcMar>
              <w:top w:w="60" w:type="dxa"/>
              <w:left w:w="60" w:type="dxa"/>
              <w:bottom w:w="60" w:type="dxa"/>
              <w:right w:w="60" w:type="dxa"/>
            </w:tcMar>
            <w:vAlign w:val="center"/>
          </w:tcPr>
          <w:p w14:paraId="591FD1F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28" w:type="dxa"/>
            <w:tcBorders>
              <w:top w:val="single" w:color="DDDDDD" w:sz="2" w:space="0"/>
            </w:tcBorders>
            <w:shd w:val="clear" w:color="auto" w:fill="02C000"/>
            <w:tcMar>
              <w:top w:w="60" w:type="dxa"/>
              <w:left w:w="60" w:type="dxa"/>
              <w:bottom w:w="60" w:type="dxa"/>
              <w:right w:w="60" w:type="dxa"/>
            </w:tcMar>
            <w:vAlign w:val="center"/>
          </w:tcPr>
          <w:p w14:paraId="0662537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3A000E1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476ACE1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C00000"/>
            <w:tcMar>
              <w:top w:w="60" w:type="dxa"/>
              <w:left w:w="60" w:type="dxa"/>
              <w:bottom w:w="60" w:type="dxa"/>
              <w:right w:w="60" w:type="dxa"/>
            </w:tcMar>
            <w:vAlign w:val="center"/>
          </w:tcPr>
          <w:p w14:paraId="2EA3F16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w:t>
            </w:r>
          </w:p>
        </w:tc>
        <w:tc>
          <w:tcPr>
            <w:tcW w:w="1387" w:type="dxa"/>
            <w:tcBorders>
              <w:top w:val="single" w:color="DDDDDD" w:sz="2" w:space="0"/>
            </w:tcBorders>
            <w:shd w:val="clear" w:color="auto" w:fill="02C000"/>
            <w:tcMar>
              <w:top w:w="60" w:type="dxa"/>
              <w:left w:w="60" w:type="dxa"/>
              <w:bottom w:w="60" w:type="dxa"/>
              <w:right w:w="60" w:type="dxa"/>
            </w:tcMar>
            <w:vAlign w:val="center"/>
          </w:tcPr>
          <w:p w14:paraId="0AC626A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3872D43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702BF3D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35B7727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Imprecision |</w:t>
            </w:r>
          </w:p>
        </w:tc>
      </w:tr>
      <w:tr w14:paraId="31B58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011874D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RT vs Yoga</w:t>
            </w:r>
          </w:p>
        </w:tc>
        <w:tc>
          <w:tcPr>
            <w:tcW w:w="1041" w:type="dxa"/>
            <w:tcBorders>
              <w:top w:val="single" w:color="DDDDDD" w:sz="2" w:space="0"/>
            </w:tcBorders>
            <w:shd w:val="clear" w:color="auto" w:fill="FAFAFA"/>
            <w:tcMar>
              <w:top w:w="60" w:type="dxa"/>
              <w:left w:w="60" w:type="dxa"/>
              <w:bottom w:w="60" w:type="dxa"/>
              <w:right w:w="60" w:type="dxa"/>
            </w:tcMar>
            <w:vAlign w:val="center"/>
          </w:tcPr>
          <w:p w14:paraId="307E60F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28" w:type="dxa"/>
            <w:tcBorders>
              <w:top w:val="single" w:color="DDDDDD" w:sz="2" w:space="0"/>
            </w:tcBorders>
            <w:shd w:val="clear" w:color="auto" w:fill="E0DF02"/>
            <w:tcMar>
              <w:top w:w="60" w:type="dxa"/>
              <w:left w:w="60" w:type="dxa"/>
              <w:bottom w:w="60" w:type="dxa"/>
              <w:right w:w="60" w:type="dxa"/>
            </w:tcMar>
            <w:vAlign w:val="center"/>
          </w:tcPr>
          <w:p w14:paraId="6ED63F2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6DE87B3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26AA1A1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E0DF02"/>
            <w:tcMar>
              <w:top w:w="60" w:type="dxa"/>
              <w:left w:w="60" w:type="dxa"/>
              <w:bottom w:w="60" w:type="dxa"/>
              <w:right w:w="60" w:type="dxa"/>
            </w:tcMar>
            <w:vAlign w:val="center"/>
          </w:tcPr>
          <w:p w14:paraId="5184752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7" w:type="dxa"/>
            <w:tcBorders>
              <w:top w:val="single" w:color="DDDDDD" w:sz="2" w:space="0"/>
            </w:tcBorders>
            <w:shd w:val="clear" w:color="auto" w:fill="E0DF02"/>
            <w:tcMar>
              <w:top w:w="60" w:type="dxa"/>
              <w:left w:w="60" w:type="dxa"/>
              <w:bottom w:w="60" w:type="dxa"/>
              <w:right w:w="60" w:type="dxa"/>
            </w:tcMar>
            <w:vAlign w:val="center"/>
          </w:tcPr>
          <w:p w14:paraId="281F2A1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3B206E0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2742CAA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6B3D5F0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 Heterogeneity |</w:t>
            </w:r>
          </w:p>
        </w:tc>
      </w:tr>
      <w:tr w14:paraId="76B02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55F5F7C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Tai chi vs Yoga</w:t>
            </w:r>
          </w:p>
        </w:tc>
        <w:tc>
          <w:tcPr>
            <w:tcW w:w="1041" w:type="dxa"/>
            <w:tcBorders>
              <w:top w:val="single" w:color="DDDDDD" w:sz="2" w:space="0"/>
            </w:tcBorders>
            <w:shd w:val="clear" w:color="auto" w:fill="FAFAFA"/>
            <w:tcMar>
              <w:top w:w="60" w:type="dxa"/>
              <w:left w:w="60" w:type="dxa"/>
              <w:bottom w:w="60" w:type="dxa"/>
              <w:right w:w="60" w:type="dxa"/>
            </w:tcMar>
            <w:vAlign w:val="center"/>
          </w:tcPr>
          <w:p w14:paraId="1DA098A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28" w:type="dxa"/>
            <w:tcBorders>
              <w:top w:val="single" w:color="DDDDDD" w:sz="2" w:space="0"/>
            </w:tcBorders>
            <w:shd w:val="clear" w:color="auto" w:fill="02C000"/>
            <w:tcMar>
              <w:top w:w="60" w:type="dxa"/>
              <w:left w:w="60" w:type="dxa"/>
              <w:bottom w:w="60" w:type="dxa"/>
              <w:right w:w="60" w:type="dxa"/>
            </w:tcMar>
            <w:vAlign w:val="center"/>
          </w:tcPr>
          <w:p w14:paraId="05C9B44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1BB774F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77688C0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C00000"/>
            <w:tcMar>
              <w:top w:w="60" w:type="dxa"/>
              <w:left w:w="60" w:type="dxa"/>
              <w:bottom w:w="60" w:type="dxa"/>
              <w:right w:w="60" w:type="dxa"/>
            </w:tcMar>
            <w:vAlign w:val="center"/>
          </w:tcPr>
          <w:p w14:paraId="5254FED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w:t>
            </w:r>
          </w:p>
        </w:tc>
        <w:tc>
          <w:tcPr>
            <w:tcW w:w="1387" w:type="dxa"/>
            <w:tcBorders>
              <w:top w:val="single" w:color="DDDDDD" w:sz="2" w:space="0"/>
            </w:tcBorders>
            <w:shd w:val="clear" w:color="auto" w:fill="02C000"/>
            <w:tcMar>
              <w:top w:w="60" w:type="dxa"/>
              <w:left w:w="60" w:type="dxa"/>
              <w:bottom w:w="60" w:type="dxa"/>
              <w:right w:w="60" w:type="dxa"/>
            </w:tcMar>
            <w:vAlign w:val="center"/>
          </w:tcPr>
          <w:p w14:paraId="2E59720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3A2F300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2FC4D95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37657BA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Imprecision |</w:t>
            </w:r>
          </w:p>
        </w:tc>
      </w:tr>
      <w:tr w14:paraId="3A316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89" w:type="dxa"/>
            <w:tcBorders>
              <w:top w:val="single" w:color="DDDDDD" w:sz="2" w:space="0"/>
            </w:tcBorders>
            <w:shd w:val="clear" w:color="auto" w:fill="FAFAFA"/>
            <w:tcMar>
              <w:top w:w="60" w:type="dxa"/>
              <w:left w:w="60" w:type="dxa"/>
              <w:bottom w:w="60" w:type="dxa"/>
              <w:right w:w="60" w:type="dxa"/>
            </w:tcMar>
            <w:vAlign w:val="center"/>
          </w:tcPr>
          <w:p w14:paraId="64BD761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Tai chi vs control</w:t>
            </w:r>
          </w:p>
        </w:tc>
        <w:tc>
          <w:tcPr>
            <w:tcW w:w="1041" w:type="dxa"/>
            <w:tcBorders>
              <w:top w:val="single" w:color="DDDDDD" w:sz="2" w:space="0"/>
            </w:tcBorders>
            <w:shd w:val="clear" w:color="auto" w:fill="FAFAFA"/>
            <w:tcMar>
              <w:top w:w="60" w:type="dxa"/>
              <w:left w:w="60" w:type="dxa"/>
              <w:bottom w:w="60" w:type="dxa"/>
              <w:right w:w="60" w:type="dxa"/>
            </w:tcMar>
            <w:vAlign w:val="center"/>
          </w:tcPr>
          <w:p w14:paraId="4D85A3E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28" w:type="dxa"/>
            <w:tcBorders>
              <w:top w:val="single" w:color="DDDDDD" w:sz="2" w:space="0"/>
            </w:tcBorders>
            <w:shd w:val="clear" w:color="auto" w:fill="02C000"/>
            <w:tcMar>
              <w:top w:w="60" w:type="dxa"/>
              <w:left w:w="60" w:type="dxa"/>
              <w:bottom w:w="60" w:type="dxa"/>
              <w:right w:w="60" w:type="dxa"/>
            </w:tcMar>
            <w:vAlign w:val="center"/>
          </w:tcPr>
          <w:p w14:paraId="024F764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62" w:type="dxa"/>
            <w:tcBorders>
              <w:top w:val="single" w:color="DDDDDD" w:sz="2" w:space="0"/>
            </w:tcBorders>
            <w:shd w:val="clear" w:color="auto" w:fill="02C000"/>
            <w:tcMar>
              <w:top w:w="60" w:type="dxa"/>
              <w:left w:w="60" w:type="dxa"/>
              <w:bottom w:w="60" w:type="dxa"/>
              <w:right w:w="60" w:type="dxa"/>
            </w:tcMar>
            <w:vAlign w:val="center"/>
          </w:tcPr>
          <w:p w14:paraId="35C31EC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19" w:type="dxa"/>
            <w:tcBorders>
              <w:top w:val="single" w:color="DDDDDD" w:sz="2" w:space="0"/>
            </w:tcBorders>
            <w:shd w:val="clear" w:color="auto" w:fill="02C000"/>
            <w:tcMar>
              <w:top w:w="60" w:type="dxa"/>
              <w:left w:w="60" w:type="dxa"/>
              <w:bottom w:w="60" w:type="dxa"/>
              <w:right w:w="60" w:type="dxa"/>
            </w:tcMar>
            <w:vAlign w:val="center"/>
          </w:tcPr>
          <w:p w14:paraId="4BB367C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38" w:type="dxa"/>
            <w:tcBorders>
              <w:top w:val="single" w:color="DDDDDD" w:sz="2" w:space="0"/>
            </w:tcBorders>
            <w:shd w:val="clear" w:color="auto" w:fill="E0DF02"/>
            <w:tcMar>
              <w:top w:w="60" w:type="dxa"/>
              <w:left w:w="60" w:type="dxa"/>
              <w:bottom w:w="60" w:type="dxa"/>
              <w:right w:w="60" w:type="dxa"/>
            </w:tcMar>
            <w:vAlign w:val="center"/>
          </w:tcPr>
          <w:p w14:paraId="656FD5B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387" w:type="dxa"/>
            <w:tcBorders>
              <w:top w:val="single" w:color="DDDDDD" w:sz="2" w:space="0"/>
            </w:tcBorders>
            <w:shd w:val="clear" w:color="auto" w:fill="E0DF02"/>
            <w:tcMar>
              <w:top w:w="60" w:type="dxa"/>
              <w:left w:w="60" w:type="dxa"/>
              <w:bottom w:w="60" w:type="dxa"/>
              <w:right w:w="60" w:type="dxa"/>
            </w:tcMar>
            <w:vAlign w:val="center"/>
          </w:tcPr>
          <w:p w14:paraId="7270FB1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72" w:type="dxa"/>
            <w:tcBorders>
              <w:top w:val="single" w:color="DDDDDD" w:sz="2" w:space="0"/>
            </w:tcBorders>
            <w:shd w:val="clear" w:color="auto" w:fill="02C000"/>
            <w:tcMar>
              <w:top w:w="60" w:type="dxa"/>
              <w:left w:w="60" w:type="dxa"/>
              <w:bottom w:w="60" w:type="dxa"/>
              <w:right w:w="60" w:type="dxa"/>
            </w:tcMar>
            <w:vAlign w:val="center"/>
          </w:tcPr>
          <w:p w14:paraId="1A5944D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03" w:type="dxa"/>
            <w:tcBorders>
              <w:top w:val="single" w:color="DDDDDD" w:sz="2" w:space="0"/>
            </w:tcBorders>
            <w:shd w:val="clear" w:color="auto" w:fill="FAFAFA"/>
            <w:tcMar>
              <w:top w:w="60" w:type="dxa"/>
              <w:left w:w="60" w:type="dxa"/>
              <w:bottom w:w="60" w:type="dxa"/>
              <w:right w:w="60" w:type="dxa"/>
            </w:tcMar>
            <w:vAlign w:val="center"/>
          </w:tcPr>
          <w:p w14:paraId="2AF20B2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839" w:type="dxa"/>
            <w:tcBorders>
              <w:top w:val="single" w:color="DDDDDD" w:sz="2" w:space="0"/>
            </w:tcBorders>
            <w:shd w:val="clear" w:color="auto" w:fill="FAFAFA"/>
            <w:tcMar>
              <w:top w:w="60" w:type="dxa"/>
              <w:left w:w="60" w:type="dxa"/>
              <w:bottom w:w="60" w:type="dxa"/>
              <w:right w:w="60" w:type="dxa"/>
            </w:tcMar>
            <w:vAlign w:val="center"/>
          </w:tcPr>
          <w:p w14:paraId="7324E94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Imprecision | Heterogeneity |</w:t>
            </w:r>
          </w:p>
        </w:tc>
      </w:tr>
    </w:tbl>
    <w:p w14:paraId="4B47EBB8">
      <w:pPr>
        <w:rPr>
          <w:rFonts w:hint="default" w:ascii="Times New Roman" w:hAnsi="Times New Roman" w:cs="Times New Roman"/>
          <w:sz w:val="24"/>
          <w:szCs w:val="24"/>
          <w:vertAlign w:val="baseline"/>
          <w:lang w:val="en-US" w:eastAsia="zh-CN"/>
        </w:rPr>
      </w:pPr>
    </w:p>
    <w:p w14:paraId="6FFF3195">
      <w:pPr>
        <w:rPr>
          <w:rFonts w:hint="default" w:ascii="Times New Roman" w:hAnsi="Times New Roman" w:cs="Times New Roman"/>
          <w:sz w:val="24"/>
          <w:szCs w:val="24"/>
          <w:vertAlign w:val="baseline"/>
          <w:lang w:val="en-US" w:eastAsia="zh-CN"/>
        </w:rPr>
      </w:pPr>
    </w:p>
    <w:p w14:paraId="07047AD3">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br w:type="page"/>
      </w:r>
    </w:p>
    <w:p w14:paraId="0E4D9B53">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CINeMA results for FMD</w:t>
      </w:r>
    </w:p>
    <w:tbl>
      <w:tblPr>
        <w:tblStyle w:val="6"/>
        <w:tblpPr w:leftFromText="180" w:rightFromText="180" w:vertAnchor="page" w:horzAnchor="page" w:tblpX="1460" w:tblpY="2365"/>
        <w:tblOverlap w:val="never"/>
        <w:tblW w:w="1407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Layout w:type="fixed"/>
        <w:tblCellMar>
          <w:top w:w="0" w:type="dxa"/>
          <w:left w:w="0" w:type="dxa"/>
          <w:bottom w:w="0" w:type="dxa"/>
          <w:right w:w="0" w:type="dxa"/>
        </w:tblCellMar>
      </w:tblPr>
      <w:tblGrid>
        <w:gridCol w:w="1273"/>
        <w:gridCol w:w="1141"/>
        <w:gridCol w:w="1347"/>
        <w:gridCol w:w="1054"/>
        <w:gridCol w:w="1245"/>
        <w:gridCol w:w="1177"/>
        <w:gridCol w:w="1354"/>
        <w:gridCol w:w="1249"/>
        <w:gridCol w:w="1121"/>
        <w:gridCol w:w="3116"/>
      </w:tblGrid>
      <w:tr w14:paraId="11310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38" w:hRule="atLeast"/>
        </w:trPr>
        <w:tc>
          <w:tcPr>
            <w:tcW w:w="1273" w:type="dxa"/>
            <w:tcBorders>
              <w:top w:val="nil"/>
              <w:bottom w:val="single" w:color="DDDDDD" w:sz="6" w:space="0"/>
            </w:tcBorders>
            <w:shd w:val="clear" w:color="auto" w:fill="FAFAFA"/>
            <w:tcMar>
              <w:top w:w="60" w:type="dxa"/>
              <w:left w:w="60" w:type="dxa"/>
              <w:bottom w:w="60" w:type="dxa"/>
              <w:right w:w="60" w:type="dxa"/>
            </w:tcMar>
            <w:vAlign w:val="center"/>
          </w:tcPr>
          <w:p w14:paraId="087EA827">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Comparison</w:t>
            </w:r>
          </w:p>
        </w:tc>
        <w:tc>
          <w:tcPr>
            <w:tcW w:w="1141" w:type="dxa"/>
            <w:tcBorders>
              <w:top w:val="nil"/>
              <w:bottom w:val="single" w:color="DDDDDD" w:sz="6" w:space="0"/>
            </w:tcBorders>
            <w:shd w:val="clear" w:color="auto" w:fill="FAFAFA"/>
            <w:tcMar>
              <w:top w:w="60" w:type="dxa"/>
              <w:left w:w="60" w:type="dxa"/>
              <w:bottom w:w="60" w:type="dxa"/>
              <w:right w:w="60" w:type="dxa"/>
            </w:tcMar>
            <w:vAlign w:val="center"/>
          </w:tcPr>
          <w:p w14:paraId="4ADCEDCB">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Number of Studies</w:t>
            </w:r>
          </w:p>
        </w:tc>
        <w:tc>
          <w:tcPr>
            <w:tcW w:w="1347" w:type="dxa"/>
            <w:tcBorders>
              <w:top w:val="nil"/>
              <w:bottom w:val="single" w:color="DDDDDD" w:sz="6" w:space="0"/>
            </w:tcBorders>
            <w:shd w:val="clear" w:color="auto" w:fill="FAFAFA"/>
            <w:tcMar>
              <w:top w:w="60" w:type="dxa"/>
              <w:left w:w="60" w:type="dxa"/>
              <w:bottom w:w="60" w:type="dxa"/>
              <w:right w:w="60" w:type="dxa"/>
            </w:tcMar>
            <w:vAlign w:val="center"/>
          </w:tcPr>
          <w:p w14:paraId="2C3CAD74">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Within-study bias</w:t>
            </w:r>
          </w:p>
        </w:tc>
        <w:tc>
          <w:tcPr>
            <w:tcW w:w="1054" w:type="dxa"/>
            <w:tcBorders>
              <w:top w:val="nil"/>
              <w:bottom w:val="single" w:color="DDDDDD" w:sz="6" w:space="0"/>
            </w:tcBorders>
            <w:shd w:val="clear" w:color="auto" w:fill="FAFAFA"/>
            <w:tcMar>
              <w:top w:w="60" w:type="dxa"/>
              <w:left w:w="60" w:type="dxa"/>
              <w:bottom w:w="60" w:type="dxa"/>
              <w:right w:w="60" w:type="dxa"/>
            </w:tcMar>
            <w:vAlign w:val="center"/>
          </w:tcPr>
          <w:p w14:paraId="069BAA74">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Reporting bias</w:t>
            </w:r>
          </w:p>
        </w:tc>
        <w:tc>
          <w:tcPr>
            <w:tcW w:w="1245" w:type="dxa"/>
            <w:tcBorders>
              <w:top w:val="nil"/>
              <w:bottom w:val="single" w:color="DDDDDD" w:sz="6" w:space="0"/>
            </w:tcBorders>
            <w:shd w:val="clear" w:color="auto" w:fill="FAFAFA"/>
            <w:tcMar>
              <w:top w:w="60" w:type="dxa"/>
              <w:left w:w="60" w:type="dxa"/>
              <w:bottom w:w="60" w:type="dxa"/>
              <w:right w:w="60" w:type="dxa"/>
            </w:tcMar>
            <w:vAlign w:val="center"/>
          </w:tcPr>
          <w:p w14:paraId="0534EC15">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Indirectness</w:t>
            </w:r>
          </w:p>
        </w:tc>
        <w:tc>
          <w:tcPr>
            <w:tcW w:w="1177" w:type="dxa"/>
            <w:tcBorders>
              <w:top w:val="nil"/>
              <w:bottom w:val="single" w:color="DDDDDD" w:sz="6" w:space="0"/>
            </w:tcBorders>
            <w:shd w:val="clear" w:color="auto" w:fill="FAFAFA"/>
            <w:tcMar>
              <w:top w:w="60" w:type="dxa"/>
              <w:left w:w="60" w:type="dxa"/>
              <w:bottom w:w="60" w:type="dxa"/>
              <w:right w:w="60" w:type="dxa"/>
            </w:tcMar>
            <w:vAlign w:val="center"/>
          </w:tcPr>
          <w:p w14:paraId="3C2660DB">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Imprecision</w:t>
            </w:r>
          </w:p>
        </w:tc>
        <w:tc>
          <w:tcPr>
            <w:tcW w:w="1354" w:type="dxa"/>
            <w:tcBorders>
              <w:top w:val="nil"/>
              <w:bottom w:val="single" w:color="DDDDDD" w:sz="6" w:space="0"/>
            </w:tcBorders>
            <w:shd w:val="clear" w:color="auto" w:fill="FAFAFA"/>
            <w:tcMar>
              <w:top w:w="60" w:type="dxa"/>
              <w:left w:w="60" w:type="dxa"/>
              <w:bottom w:w="60" w:type="dxa"/>
              <w:right w:w="60" w:type="dxa"/>
            </w:tcMar>
            <w:vAlign w:val="center"/>
          </w:tcPr>
          <w:p w14:paraId="31D492F0">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Heterogeneity</w:t>
            </w:r>
          </w:p>
        </w:tc>
        <w:tc>
          <w:tcPr>
            <w:tcW w:w="1249" w:type="dxa"/>
            <w:tcBorders>
              <w:top w:val="nil"/>
              <w:bottom w:val="single" w:color="DDDDDD" w:sz="6" w:space="0"/>
            </w:tcBorders>
            <w:shd w:val="clear" w:color="auto" w:fill="FAFAFA"/>
            <w:tcMar>
              <w:top w:w="60" w:type="dxa"/>
              <w:left w:w="60" w:type="dxa"/>
              <w:bottom w:w="60" w:type="dxa"/>
              <w:right w:w="60" w:type="dxa"/>
            </w:tcMar>
            <w:vAlign w:val="center"/>
          </w:tcPr>
          <w:p w14:paraId="20A8F0FE">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Incoherence</w:t>
            </w:r>
          </w:p>
        </w:tc>
        <w:tc>
          <w:tcPr>
            <w:tcW w:w="1121" w:type="dxa"/>
            <w:tcBorders>
              <w:top w:val="nil"/>
              <w:bottom w:val="single" w:color="DDDDDD" w:sz="6" w:space="0"/>
            </w:tcBorders>
            <w:shd w:val="clear" w:color="auto" w:fill="FAFAFA"/>
            <w:tcMar>
              <w:top w:w="60" w:type="dxa"/>
              <w:left w:w="60" w:type="dxa"/>
              <w:bottom w:w="60" w:type="dxa"/>
              <w:right w:w="60" w:type="dxa"/>
            </w:tcMar>
            <w:vAlign w:val="center"/>
          </w:tcPr>
          <w:p w14:paraId="1D5FC64C">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Confidence rating</w:t>
            </w:r>
          </w:p>
        </w:tc>
        <w:tc>
          <w:tcPr>
            <w:tcW w:w="3116" w:type="dxa"/>
            <w:tcBorders>
              <w:top w:val="nil"/>
              <w:bottom w:val="single" w:color="DDDDDD" w:sz="6" w:space="0"/>
            </w:tcBorders>
            <w:shd w:val="clear" w:color="auto" w:fill="FAFAFA"/>
            <w:tcMar>
              <w:top w:w="60" w:type="dxa"/>
              <w:left w:w="60" w:type="dxa"/>
              <w:bottom w:w="60" w:type="dxa"/>
              <w:right w:w="60" w:type="dxa"/>
            </w:tcMar>
            <w:vAlign w:val="center"/>
          </w:tcPr>
          <w:p w14:paraId="51701F5D">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Reason(s) for downgrading</w:t>
            </w:r>
          </w:p>
        </w:tc>
      </w:tr>
      <w:tr w14:paraId="58EA0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0961" w:type="dxa"/>
            <w:gridSpan w:val="9"/>
            <w:tcBorders>
              <w:top w:val="single" w:color="DDDDDD" w:sz="2" w:space="0"/>
            </w:tcBorders>
            <w:shd w:val="clear" w:color="auto" w:fill="FAFAFA"/>
            <w:tcMar>
              <w:top w:w="60" w:type="dxa"/>
              <w:left w:w="60" w:type="dxa"/>
              <w:bottom w:w="60" w:type="dxa"/>
              <w:right w:w="60" w:type="dxa"/>
            </w:tcMar>
            <w:vAlign w:val="center"/>
          </w:tcPr>
          <w:p w14:paraId="5ABD47E0">
            <w:pPr>
              <w:pStyle w:val="2"/>
              <w:keepNext w:val="0"/>
              <w:keepLines w:val="0"/>
              <w:widowControl/>
              <w:suppressLineNumbers w:val="0"/>
              <w:spacing w:before="75" w:beforeAutospacing="0" w:after="75" w:afterAutospacing="0" w:line="8" w:lineRule="atLeast"/>
              <w:jc w:val="center"/>
              <w:rPr>
                <w:rFonts w:hint="default" w:ascii="Times New Roman" w:hAnsi="Times New Roman" w:cs="Times New Roman"/>
                <w:b w:val="0"/>
                <w:bCs w:val="0"/>
                <w:sz w:val="21"/>
                <w:szCs w:val="21"/>
              </w:rPr>
            </w:pPr>
            <w:r>
              <w:rPr>
                <w:rFonts w:hint="default" w:ascii="Times New Roman" w:hAnsi="Times New Roman" w:cs="Times New Roman"/>
                <w:b w:val="0"/>
                <w:bCs w:val="0"/>
                <w:i w:val="0"/>
                <w:iCs w:val="0"/>
                <w:caps w:val="0"/>
                <w:color w:val="333333"/>
                <w:spacing w:val="0"/>
                <w:sz w:val="21"/>
                <w:szCs w:val="21"/>
              </w:rPr>
              <w:t>Mixed evidence</w:t>
            </w:r>
          </w:p>
        </w:tc>
        <w:tc>
          <w:tcPr>
            <w:tcW w:w="3116" w:type="dxa"/>
            <w:shd w:val="clear" w:color="auto" w:fill="FAFAFA"/>
            <w:vAlign w:val="center"/>
          </w:tcPr>
          <w:p w14:paraId="1CA1A553">
            <w:pPr>
              <w:jc w:val="center"/>
              <w:rPr>
                <w:rFonts w:hint="default" w:ascii="Times New Roman" w:hAnsi="Times New Roman" w:eastAsia="sans-serif" w:cs="Times New Roman"/>
                <w:b w:val="0"/>
                <w:bCs w:val="0"/>
                <w:i w:val="0"/>
                <w:iCs w:val="0"/>
                <w:caps w:val="0"/>
                <w:color w:val="333333"/>
                <w:spacing w:val="0"/>
                <w:sz w:val="21"/>
                <w:szCs w:val="21"/>
              </w:rPr>
            </w:pPr>
          </w:p>
        </w:tc>
      </w:tr>
      <w:tr w14:paraId="10036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273" w:type="dxa"/>
            <w:tcBorders>
              <w:top w:val="single" w:color="DDDDDD" w:sz="2" w:space="0"/>
            </w:tcBorders>
            <w:shd w:val="clear" w:color="auto" w:fill="FAFAFA"/>
            <w:tcMar>
              <w:top w:w="60" w:type="dxa"/>
              <w:left w:w="60" w:type="dxa"/>
              <w:bottom w:w="60" w:type="dxa"/>
              <w:right w:w="60" w:type="dxa"/>
            </w:tcMar>
            <w:vAlign w:val="center"/>
          </w:tcPr>
          <w:p w14:paraId="2013F59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ATRT vs Control</w:t>
            </w:r>
          </w:p>
        </w:tc>
        <w:tc>
          <w:tcPr>
            <w:tcW w:w="1141" w:type="dxa"/>
            <w:tcBorders>
              <w:top w:val="single" w:color="DDDDDD" w:sz="2" w:space="0"/>
            </w:tcBorders>
            <w:shd w:val="clear" w:color="auto" w:fill="FAFAFA"/>
            <w:tcMar>
              <w:top w:w="60" w:type="dxa"/>
              <w:left w:w="60" w:type="dxa"/>
              <w:bottom w:w="60" w:type="dxa"/>
              <w:right w:w="60" w:type="dxa"/>
            </w:tcMar>
            <w:vAlign w:val="center"/>
          </w:tcPr>
          <w:p w14:paraId="59D310F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1</w:t>
            </w:r>
          </w:p>
        </w:tc>
        <w:tc>
          <w:tcPr>
            <w:tcW w:w="1347" w:type="dxa"/>
            <w:tcBorders>
              <w:top w:val="single" w:color="DDDDDD" w:sz="2" w:space="0"/>
            </w:tcBorders>
            <w:shd w:val="clear" w:color="auto" w:fill="C00000"/>
            <w:tcMar>
              <w:top w:w="60" w:type="dxa"/>
              <w:left w:w="60" w:type="dxa"/>
              <w:bottom w:w="60" w:type="dxa"/>
              <w:right w:w="60" w:type="dxa"/>
            </w:tcMar>
            <w:vAlign w:val="center"/>
          </w:tcPr>
          <w:p w14:paraId="4570988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 </w:t>
            </w:r>
          </w:p>
        </w:tc>
        <w:tc>
          <w:tcPr>
            <w:tcW w:w="1054" w:type="dxa"/>
            <w:tcBorders>
              <w:top w:val="single" w:color="DDDDDD" w:sz="2" w:space="0"/>
            </w:tcBorders>
            <w:shd w:val="clear" w:color="auto" w:fill="02C000"/>
            <w:tcMar>
              <w:top w:w="60" w:type="dxa"/>
              <w:left w:w="60" w:type="dxa"/>
              <w:bottom w:w="60" w:type="dxa"/>
              <w:right w:w="60" w:type="dxa"/>
            </w:tcMar>
            <w:vAlign w:val="center"/>
          </w:tcPr>
          <w:p w14:paraId="76BCC62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45" w:type="dxa"/>
            <w:tcBorders>
              <w:top w:val="single" w:color="DDDDDD" w:sz="2" w:space="0"/>
            </w:tcBorders>
            <w:shd w:val="clear" w:color="auto" w:fill="02C000"/>
            <w:tcMar>
              <w:top w:w="60" w:type="dxa"/>
              <w:left w:w="60" w:type="dxa"/>
              <w:bottom w:w="60" w:type="dxa"/>
              <w:right w:w="60" w:type="dxa"/>
            </w:tcMar>
            <w:vAlign w:val="center"/>
          </w:tcPr>
          <w:p w14:paraId="4A22F51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77" w:type="dxa"/>
            <w:tcBorders>
              <w:top w:val="single" w:color="DDDDDD" w:sz="2" w:space="0"/>
            </w:tcBorders>
            <w:shd w:val="clear" w:color="auto" w:fill="C00000"/>
            <w:tcMar>
              <w:top w:w="60" w:type="dxa"/>
              <w:left w:w="60" w:type="dxa"/>
              <w:bottom w:w="60" w:type="dxa"/>
              <w:right w:w="60" w:type="dxa"/>
            </w:tcMar>
            <w:vAlign w:val="center"/>
          </w:tcPr>
          <w:p w14:paraId="7B8E85E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 </w:t>
            </w:r>
          </w:p>
        </w:tc>
        <w:tc>
          <w:tcPr>
            <w:tcW w:w="1354" w:type="dxa"/>
            <w:tcBorders>
              <w:top w:val="single" w:color="DDDDDD" w:sz="2" w:space="0"/>
            </w:tcBorders>
            <w:shd w:val="clear" w:color="auto" w:fill="02C000"/>
            <w:tcMar>
              <w:top w:w="60" w:type="dxa"/>
              <w:left w:w="60" w:type="dxa"/>
              <w:bottom w:w="60" w:type="dxa"/>
              <w:right w:w="60" w:type="dxa"/>
            </w:tcMar>
            <w:vAlign w:val="center"/>
          </w:tcPr>
          <w:p w14:paraId="300A9AB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49" w:type="dxa"/>
            <w:tcBorders>
              <w:top w:val="single" w:color="DDDDDD" w:sz="2" w:space="0"/>
            </w:tcBorders>
            <w:shd w:val="clear" w:color="auto" w:fill="C00000"/>
            <w:tcMar>
              <w:top w:w="60" w:type="dxa"/>
              <w:left w:w="60" w:type="dxa"/>
              <w:bottom w:w="60" w:type="dxa"/>
              <w:right w:w="60" w:type="dxa"/>
            </w:tcMar>
            <w:vAlign w:val="center"/>
          </w:tcPr>
          <w:p w14:paraId="09447D7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 </w:t>
            </w:r>
          </w:p>
        </w:tc>
        <w:tc>
          <w:tcPr>
            <w:tcW w:w="1121" w:type="dxa"/>
            <w:tcBorders>
              <w:top w:val="single" w:color="DDDDDD" w:sz="2" w:space="0"/>
            </w:tcBorders>
            <w:shd w:val="clear" w:color="auto" w:fill="FAFAFA"/>
            <w:tcMar>
              <w:top w:w="60" w:type="dxa"/>
              <w:left w:w="60" w:type="dxa"/>
              <w:bottom w:w="60" w:type="dxa"/>
              <w:right w:w="60" w:type="dxa"/>
            </w:tcMar>
            <w:vAlign w:val="center"/>
          </w:tcPr>
          <w:p w14:paraId="77CE7DE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3116" w:type="dxa"/>
            <w:tcBorders>
              <w:top w:val="single" w:color="DDDDDD" w:sz="2" w:space="0"/>
            </w:tcBorders>
            <w:shd w:val="clear" w:color="auto" w:fill="FAFAFA"/>
            <w:tcMar>
              <w:top w:w="60" w:type="dxa"/>
              <w:left w:w="60" w:type="dxa"/>
              <w:bottom w:w="60" w:type="dxa"/>
              <w:right w:w="60" w:type="dxa"/>
            </w:tcMar>
            <w:vAlign w:val="center"/>
          </w:tcPr>
          <w:p w14:paraId="1FEFF74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 Incoherence |</w:t>
            </w:r>
          </w:p>
        </w:tc>
      </w:tr>
      <w:tr w14:paraId="048D6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273" w:type="dxa"/>
            <w:tcBorders>
              <w:top w:val="single" w:color="DDDDDD" w:sz="2" w:space="0"/>
            </w:tcBorders>
            <w:shd w:val="clear" w:color="auto" w:fill="FAFAFA"/>
            <w:tcMar>
              <w:top w:w="60" w:type="dxa"/>
              <w:left w:w="60" w:type="dxa"/>
              <w:bottom w:w="60" w:type="dxa"/>
              <w:right w:w="60" w:type="dxa"/>
            </w:tcMar>
            <w:vAlign w:val="center"/>
          </w:tcPr>
          <w:p w14:paraId="2A4D37B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Control vs MICT</w:t>
            </w:r>
          </w:p>
        </w:tc>
        <w:tc>
          <w:tcPr>
            <w:tcW w:w="1141" w:type="dxa"/>
            <w:tcBorders>
              <w:top w:val="single" w:color="DDDDDD" w:sz="2" w:space="0"/>
            </w:tcBorders>
            <w:shd w:val="clear" w:color="auto" w:fill="FAFAFA"/>
            <w:tcMar>
              <w:top w:w="60" w:type="dxa"/>
              <w:left w:w="60" w:type="dxa"/>
              <w:bottom w:w="60" w:type="dxa"/>
              <w:right w:w="60" w:type="dxa"/>
            </w:tcMar>
            <w:vAlign w:val="center"/>
          </w:tcPr>
          <w:p w14:paraId="4CDCAF4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3</w:t>
            </w:r>
          </w:p>
        </w:tc>
        <w:tc>
          <w:tcPr>
            <w:tcW w:w="1347" w:type="dxa"/>
            <w:tcBorders>
              <w:top w:val="single" w:color="DDDDDD" w:sz="2" w:space="0"/>
            </w:tcBorders>
            <w:shd w:val="clear" w:color="auto" w:fill="E0DF02"/>
            <w:tcMar>
              <w:top w:w="60" w:type="dxa"/>
              <w:left w:w="60" w:type="dxa"/>
              <w:bottom w:w="60" w:type="dxa"/>
              <w:right w:w="60" w:type="dxa"/>
            </w:tcMar>
            <w:vAlign w:val="center"/>
          </w:tcPr>
          <w:p w14:paraId="1BD985D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 </w:t>
            </w:r>
          </w:p>
        </w:tc>
        <w:tc>
          <w:tcPr>
            <w:tcW w:w="1054" w:type="dxa"/>
            <w:tcBorders>
              <w:top w:val="single" w:color="DDDDDD" w:sz="2" w:space="0"/>
            </w:tcBorders>
            <w:shd w:val="clear" w:color="auto" w:fill="02C000"/>
            <w:tcMar>
              <w:top w:w="60" w:type="dxa"/>
              <w:left w:w="60" w:type="dxa"/>
              <w:bottom w:w="60" w:type="dxa"/>
              <w:right w:w="60" w:type="dxa"/>
            </w:tcMar>
            <w:vAlign w:val="center"/>
          </w:tcPr>
          <w:p w14:paraId="55CEBB7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45" w:type="dxa"/>
            <w:tcBorders>
              <w:top w:val="single" w:color="DDDDDD" w:sz="2" w:space="0"/>
            </w:tcBorders>
            <w:shd w:val="clear" w:color="auto" w:fill="02C000"/>
            <w:tcMar>
              <w:top w:w="60" w:type="dxa"/>
              <w:left w:w="60" w:type="dxa"/>
              <w:bottom w:w="60" w:type="dxa"/>
              <w:right w:w="60" w:type="dxa"/>
            </w:tcMar>
            <w:vAlign w:val="center"/>
          </w:tcPr>
          <w:p w14:paraId="35C34A0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77" w:type="dxa"/>
            <w:tcBorders>
              <w:top w:val="single" w:color="DDDDDD" w:sz="2" w:space="0"/>
            </w:tcBorders>
            <w:shd w:val="clear" w:color="auto" w:fill="02C000"/>
            <w:tcMar>
              <w:top w:w="60" w:type="dxa"/>
              <w:left w:w="60" w:type="dxa"/>
              <w:bottom w:w="60" w:type="dxa"/>
              <w:right w:w="60" w:type="dxa"/>
            </w:tcMar>
            <w:vAlign w:val="center"/>
          </w:tcPr>
          <w:p w14:paraId="389C91E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354" w:type="dxa"/>
            <w:tcBorders>
              <w:top w:val="single" w:color="DDDDDD" w:sz="2" w:space="0"/>
            </w:tcBorders>
            <w:shd w:val="clear" w:color="auto" w:fill="C00000"/>
            <w:tcMar>
              <w:top w:w="60" w:type="dxa"/>
              <w:left w:w="60" w:type="dxa"/>
              <w:bottom w:w="60" w:type="dxa"/>
              <w:right w:w="60" w:type="dxa"/>
            </w:tcMar>
            <w:vAlign w:val="center"/>
          </w:tcPr>
          <w:p w14:paraId="4AEE988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 </w:t>
            </w:r>
          </w:p>
        </w:tc>
        <w:tc>
          <w:tcPr>
            <w:tcW w:w="1249" w:type="dxa"/>
            <w:tcBorders>
              <w:top w:val="single" w:color="DDDDDD" w:sz="2" w:space="0"/>
            </w:tcBorders>
            <w:shd w:val="clear" w:color="auto" w:fill="02C000"/>
            <w:tcMar>
              <w:top w:w="60" w:type="dxa"/>
              <w:left w:w="60" w:type="dxa"/>
              <w:bottom w:w="60" w:type="dxa"/>
              <w:right w:w="60" w:type="dxa"/>
            </w:tcMar>
            <w:vAlign w:val="center"/>
          </w:tcPr>
          <w:p w14:paraId="2DEA111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21" w:type="dxa"/>
            <w:tcBorders>
              <w:top w:val="single" w:color="DDDDDD" w:sz="2" w:space="0"/>
            </w:tcBorders>
            <w:shd w:val="clear" w:color="auto" w:fill="FAFAFA"/>
            <w:tcMar>
              <w:top w:w="60" w:type="dxa"/>
              <w:left w:w="60" w:type="dxa"/>
              <w:bottom w:w="60" w:type="dxa"/>
              <w:right w:w="60" w:type="dxa"/>
            </w:tcMar>
            <w:vAlign w:val="center"/>
          </w:tcPr>
          <w:p w14:paraId="614FB90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3116" w:type="dxa"/>
            <w:tcBorders>
              <w:top w:val="single" w:color="DDDDDD" w:sz="2" w:space="0"/>
            </w:tcBorders>
            <w:shd w:val="clear" w:color="auto" w:fill="FAFAFA"/>
            <w:tcMar>
              <w:top w:w="60" w:type="dxa"/>
              <w:left w:w="60" w:type="dxa"/>
              <w:bottom w:w="60" w:type="dxa"/>
              <w:right w:w="60" w:type="dxa"/>
            </w:tcMar>
            <w:vAlign w:val="center"/>
          </w:tcPr>
          <w:p w14:paraId="5980B44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Heterogeneity |</w:t>
            </w:r>
          </w:p>
        </w:tc>
      </w:tr>
      <w:tr w14:paraId="01065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273" w:type="dxa"/>
            <w:tcBorders>
              <w:top w:val="single" w:color="DDDDDD" w:sz="2" w:space="0"/>
            </w:tcBorders>
            <w:shd w:val="clear" w:color="auto" w:fill="FAFAFA"/>
            <w:tcMar>
              <w:top w:w="60" w:type="dxa"/>
              <w:left w:w="60" w:type="dxa"/>
              <w:bottom w:w="60" w:type="dxa"/>
              <w:right w:w="60" w:type="dxa"/>
            </w:tcMar>
            <w:vAlign w:val="center"/>
          </w:tcPr>
          <w:p w14:paraId="60F04EB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Control vs RT</w:t>
            </w:r>
          </w:p>
        </w:tc>
        <w:tc>
          <w:tcPr>
            <w:tcW w:w="1141" w:type="dxa"/>
            <w:tcBorders>
              <w:top w:val="single" w:color="DDDDDD" w:sz="2" w:space="0"/>
            </w:tcBorders>
            <w:shd w:val="clear" w:color="auto" w:fill="FAFAFA"/>
            <w:tcMar>
              <w:top w:w="60" w:type="dxa"/>
              <w:left w:w="60" w:type="dxa"/>
              <w:bottom w:w="60" w:type="dxa"/>
              <w:right w:w="60" w:type="dxa"/>
            </w:tcMar>
            <w:vAlign w:val="center"/>
          </w:tcPr>
          <w:p w14:paraId="0BF6AB0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2</w:t>
            </w:r>
          </w:p>
        </w:tc>
        <w:tc>
          <w:tcPr>
            <w:tcW w:w="1347" w:type="dxa"/>
            <w:tcBorders>
              <w:top w:val="single" w:color="DDDDDD" w:sz="2" w:space="0"/>
            </w:tcBorders>
            <w:shd w:val="clear" w:color="auto" w:fill="E0DF02"/>
            <w:tcMar>
              <w:top w:w="60" w:type="dxa"/>
              <w:left w:w="60" w:type="dxa"/>
              <w:bottom w:w="60" w:type="dxa"/>
              <w:right w:w="60" w:type="dxa"/>
            </w:tcMar>
            <w:vAlign w:val="center"/>
          </w:tcPr>
          <w:p w14:paraId="2A894FB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 </w:t>
            </w:r>
          </w:p>
        </w:tc>
        <w:tc>
          <w:tcPr>
            <w:tcW w:w="1054" w:type="dxa"/>
            <w:tcBorders>
              <w:top w:val="single" w:color="DDDDDD" w:sz="2" w:space="0"/>
            </w:tcBorders>
            <w:shd w:val="clear" w:color="auto" w:fill="02C000"/>
            <w:tcMar>
              <w:top w:w="60" w:type="dxa"/>
              <w:left w:w="60" w:type="dxa"/>
              <w:bottom w:w="60" w:type="dxa"/>
              <w:right w:w="60" w:type="dxa"/>
            </w:tcMar>
            <w:vAlign w:val="center"/>
          </w:tcPr>
          <w:p w14:paraId="5002ED7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45" w:type="dxa"/>
            <w:tcBorders>
              <w:top w:val="single" w:color="DDDDDD" w:sz="2" w:space="0"/>
            </w:tcBorders>
            <w:shd w:val="clear" w:color="auto" w:fill="02C000"/>
            <w:tcMar>
              <w:top w:w="60" w:type="dxa"/>
              <w:left w:w="60" w:type="dxa"/>
              <w:bottom w:w="60" w:type="dxa"/>
              <w:right w:w="60" w:type="dxa"/>
            </w:tcMar>
            <w:vAlign w:val="center"/>
          </w:tcPr>
          <w:p w14:paraId="0AFACFC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77" w:type="dxa"/>
            <w:tcBorders>
              <w:top w:val="single" w:color="DDDDDD" w:sz="2" w:space="0"/>
            </w:tcBorders>
            <w:shd w:val="clear" w:color="auto" w:fill="C00000"/>
            <w:tcMar>
              <w:top w:w="60" w:type="dxa"/>
              <w:left w:w="60" w:type="dxa"/>
              <w:bottom w:w="60" w:type="dxa"/>
              <w:right w:w="60" w:type="dxa"/>
            </w:tcMar>
            <w:vAlign w:val="center"/>
          </w:tcPr>
          <w:p w14:paraId="084208F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 </w:t>
            </w:r>
          </w:p>
        </w:tc>
        <w:tc>
          <w:tcPr>
            <w:tcW w:w="1354" w:type="dxa"/>
            <w:tcBorders>
              <w:top w:val="single" w:color="DDDDDD" w:sz="2" w:space="0"/>
            </w:tcBorders>
            <w:shd w:val="clear" w:color="auto" w:fill="02C000"/>
            <w:tcMar>
              <w:top w:w="60" w:type="dxa"/>
              <w:left w:w="60" w:type="dxa"/>
              <w:bottom w:w="60" w:type="dxa"/>
              <w:right w:w="60" w:type="dxa"/>
            </w:tcMar>
            <w:vAlign w:val="center"/>
          </w:tcPr>
          <w:p w14:paraId="7E13564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49" w:type="dxa"/>
            <w:tcBorders>
              <w:top w:val="single" w:color="DDDDDD" w:sz="2" w:space="0"/>
            </w:tcBorders>
            <w:shd w:val="clear" w:color="auto" w:fill="C00000"/>
            <w:tcMar>
              <w:top w:w="60" w:type="dxa"/>
              <w:left w:w="60" w:type="dxa"/>
              <w:bottom w:w="60" w:type="dxa"/>
              <w:right w:w="60" w:type="dxa"/>
            </w:tcMar>
            <w:vAlign w:val="center"/>
          </w:tcPr>
          <w:p w14:paraId="55ABEBB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 </w:t>
            </w:r>
          </w:p>
        </w:tc>
        <w:tc>
          <w:tcPr>
            <w:tcW w:w="1121" w:type="dxa"/>
            <w:tcBorders>
              <w:top w:val="single" w:color="DDDDDD" w:sz="2" w:space="0"/>
            </w:tcBorders>
            <w:shd w:val="clear" w:color="auto" w:fill="FAFAFA"/>
            <w:tcMar>
              <w:top w:w="60" w:type="dxa"/>
              <w:left w:w="60" w:type="dxa"/>
              <w:bottom w:w="60" w:type="dxa"/>
              <w:right w:w="60" w:type="dxa"/>
            </w:tcMar>
            <w:vAlign w:val="center"/>
          </w:tcPr>
          <w:p w14:paraId="063B225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3116" w:type="dxa"/>
            <w:tcBorders>
              <w:top w:val="single" w:color="DDDDDD" w:sz="2" w:space="0"/>
            </w:tcBorders>
            <w:shd w:val="clear" w:color="auto" w:fill="FAFAFA"/>
            <w:tcMar>
              <w:top w:w="60" w:type="dxa"/>
              <w:left w:w="60" w:type="dxa"/>
              <w:bottom w:w="60" w:type="dxa"/>
              <w:right w:w="60" w:type="dxa"/>
            </w:tcMar>
            <w:vAlign w:val="center"/>
          </w:tcPr>
          <w:p w14:paraId="1FF96FE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 Incoherence |</w:t>
            </w:r>
          </w:p>
        </w:tc>
      </w:tr>
      <w:tr w14:paraId="1A0ED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273" w:type="dxa"/>
            <w:tcBorders>
              <w:top w:val="single" w:color="DDDDDD" w:sz="2" w:space="0"/>
            </w:tcBorders>
            <w:shd w:val="clear" w:color="auto" w:fill="FAFAFA"/>
            <w:tcMar>
              <w:top w:w="60" w:type="dxa"/>
              <w:left w:w="60" w:type="dxa"/>
              <w:bottom w:w="60" w:type="dxa"/>
              <w:right w:w="60" w:type="dxa"/>
            </w:tcMar>
            <w:vAlign w:val="center"/>
          </w:tcPr>
          <w:p w14:paraId="0B06487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MICT vs RT</w:t>
            </w:r>
          </w:p>
        </w:tc>
        <w:tc>
          <w:tcPr>
            <w:tcW w:w="1141" w:type="dxa"/>
            <w:tcBorders>
              <w:top w:val="single" w:color="DDDDDD" w:sz="2" w:space="0"/>
            </w:tcBorders>
            <w:shd w:val="clear" w:color="auto" w:fill="FAFAFA"/>
            <w:tcMar>
              <w:top w:w="60" w:type="dxa"/>
              <w:left w:w="60" w:type="dxa"/>
              <w:bottom w:w="60" w:type="dxa"/>
              <w:right w:w="60" w:type="dxa"/>
            </w:tcMar>
            <w:vAlign w:val="center"/>
          </w:tcPr>
          <w:p w14:paraId="249B94F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1</w:t>
            </w:r>
          </w:p>
        </w:tc>
        <w:tc>
          <w:tcPr>
            <w:tcW w:w="1347" w:type="dxa"/>
            <w:tcBorders>
              <w:top w:val="single" w:color="DDDDDD" w:sz="2" w:space="0"/>
            </w:tcBorders>
            <w:shd w:val="clear" w:color="auto" w:fill="E0DF02"/>
            <w:tcMar>
              <w:top w:w="60" w:type="dxa"/>
              <w:left w:w="60" w:type="dxa"/>
              <w:bottom w:w="60" w:type="dxa"/>
              <w:right w:w="60" w:type="dxa"/>
            </w:tcMar>
            <w:vAlign w:val="center"/>
          </w:tcPr>
          <w:p w14:paraId="1CFC1B0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 </w:t>
            </w:r>
          </w:p>
        </w:tc>
        <w:tc>
          <w:tcPr>
            <w:tcW w:w="1054" w:type="dxa"/>
            <w:tcBorders>
              <w:top w:val="single" w:color="DDDDDD" w:sz="2" w:space="0"/>
            </w:tcBorders>
            <w:shd w:val="clear" w:color="auto" w:fill="02C000"/>
            <w:tcMar>
              <w:top w:w="60" w:type="dxa"/>
              <w:left w:w="60" w:type="dxa"/>
              <w:bottom w:w="60" w:type="dxa"/>
              <w:right w:w="60" w:type="dxa"/>
            </w:tcMar>
            <w:vAlign w:val="center"/>
          </w:tcPr>
          <w:p w14:paraId="3E61E76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45" w:type="dxa"/>
            <w:tcBorders>
              <w:top w:val="single" w:color="DDDDDD" w:sz="2" w:space="0"/>
            </w:tcBorders>
            <w:shd w:val="clear" w:color="auto" w:fill="02C000"/>
            <w:tcMar>
              <w:top w:w="60" w:type="dxa"/>
              <w:left w:w="60" w:type="dxa"/>
              <w:bottom w:w="60" w:type="dxa"/>
              <w:right w:w="60" w:type="dxa"/>
            </w:tcMar>
            <w:vAlign w:val="center"/>
          </w:tcPr>
          <w:p w14:paraId="0E098ED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77" w:type="dxa"/>
            <w:tcBorders>
              <w:top w:val="single" w:color="DDDDDD" w:sz="2" w:space="0"/>
            </w:tcBorders>
            <w:shd w:val="clear" w:color="auto" w:fill="E0DF02"/>
            <w:tcMar>
              <w:top w:w="60" w:type="dxa"/>
              <w:left w:w="60" w:type="dxa"/>
              <w:bottom w:w="60" w:type="dxa"/>
              <w:right w:w="60" w:type="dxa"/>
            </w:tcMar>
            <w:vAlign w:val="center"/>
          </w:tcPr>
          <w:p w14:paraId="5D0F5E6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 </w:t>
            </w:r>
          </w:p>
        </w:tc>
        <w:tc>
          <w:tcPr>
            <w:tcW w:w="1354" w:type="dxa"/>
            <w:tcBorders>
              <w:top w:val="single" w:color="DDDDDD" w:sz="2" w:space="0"/>
            </w:tcBorders>
            <w:shd w:val="clear" w:color="auto" w:fill="E0DF02"/>
            <w:tcMar>
              <w:top w:w="60" w:type="dxa"/>
              <w:left w:w="60" w:type="dxa"/>
              <w:bottom w:w="60" w:type="dxa"/>
              <w:right w:w="60" w:type="dxa"/>
            </w:tcMar>
            <w:vAlign w:val="center"/>
          </w:tcPr>
          <w:p w14:paraId="5A25F6A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 </w:t>
            </w:r>
          </w:p>
        </w:tc>
        <w:tc>
          <w:tcPr>
            <w:tcW w:w="1249" w:type="dxa"/>
            <w:tcBorders>
              <w:top w:val="single" w:color="DDDDDD" w:sz="2" w:space="0"/>
            </w:tcBorders>
            <w:shd w:val="clear" w:color="auto" w:fill="02C000"/>
            <w:tcMar>
              <w:top w:w="60" w:type="dxa"/>
              <w:left w:w="60" w:type="dxa"/>
              <w:bottom w:w="60" w:type="dxa"/>
              <w:right w:w="60" w:type="dxa"/>
            </w:tcMar>
            <w:vAlign w:val="center"/>
          </w:tcPr>
          <w:p w14:paraId="7D00815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21" w:type="dxa"/>
            <w:tcBorders>
              <w:top w:val="single" w:color="DDDDDD" w:sz="2" w:space="0"/>
            </w:tcBorders>
            <w:shd w:val="clear" w:color="auto" w:fill="FAFAFA"/>
            <w:tcMar>
              <w:top w:w="60" w:type="dxa"/>
              <w:left w:w="60" w:type="dxa"/>
              <w:bottom w:w="60" w:type="dxa"/>
              <w:right w:w="60" w:type="dxa"/>
            </w:tcMar>
            <w:vAlign w:val="center"/>
          </w:tcPr>
          <w:p w14:paraId="5AB80E3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3116" w:type="dxa"/>
            <w:tcBorders>
              <w:top w:val="single" w:color="DDDDDD" w:sz="2" w:space="0"/>
            </w:tcBorders>
            <w:shd w:val="clear" w:color="auto" w:fill="FAFAFA"/>
            <w:tcMar>
              <w:top w:w="60" w:type="dxa"/>
              <w:left w:w="60" w:type="dxa"/>
              <w:bottom w:w="60" w:type="dxa"/>
              <w:right w:w="60" w:type="dxa"/>
            </w:tcMar>
            <w:vAlign w:val="center"/>
          </w:tcPr>
          <w:p w14:paraId="430035A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 Heterogeneity |</w:t>
            </w:r>
          </w:p>
        </w:tc>
      </w:tr>
      <w:tr w14:paraId="73240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0961" w:type="dxa"/>
            <w:gridSpan w:val="9"/>
            <w:tcBorders>
              <w:top w:val="single" w:color="DDDDDD" w:sz="2" w:space="0"/>
            </w:tcBorders>
            <w:shd w:val="clear" w:color="auto" w:fill="FAFAFA"/>
            <w:tcMar>
              <w:top w:w="60" w:type="dxa"/>
              <w:left w:w="60" w:type="dxa"/>
              <w:bottom w:w="60" w:type="dxa"/>
              <w:right w:w="60" w:type="dxa"/>
            </w:tcMar>
            <w:vAlign w:val="center"/>
          </w:tcPr>
          <w:p w14:paraId="04357689">
            <w:pPr>
              <w:pStyle w:val="2"/>
              <w:keepNext w:val="0"/>
              <w:keepLines w:val="0"/>
              <w:widowControl/>
              <w:suppressLineNumbers w:val="0"/>
              <w:spacing w:before="75" w:beforeAutospacing="0" w:after="75" w:afterAutospacing="0" w:line="8" w:lineRule="atLeast"/>
              <w:jc w:val="center"/>
              <w:rPr>
                <w:rFonts w:hint="default" w:ascii="Times New Roman" w:hAnsi="Times New Roman" w:cs="Times New Roman"/>
                <w:b w:val="0"/>
                <w:bCs w:val="0"/>
                <w:sz w:val="21"/>
                <w:szCs w:val="21"/>
              </w:rPr>
            </w:pPr>
            <w:r>
              <w:rPr>
                <w:rFonts w:hint="default" w:ascii="Times New Roman" w:hAnsi="Times New Roman" w:cs="Times New Roman"/>
                <w:b w:val="0"/>
                <w:bCs w:val="0"/>
                <w:i w:val="0"/>
                <w:iCs w:val="0"/>
                <w:caps w:val="0"/>
                <w:color w:val="333333"/>
                <w:spacing w:val="0"/>
                <w:sz w:val="21"/>
                <w:szCs w:val="21"/>
              </w:rPr>
              <w:t>Indirect evidence</w:t>
            </w:r>
          </w:p>
        </w:tc>
        <w:tc>
          <w:tcPr>
            <w:tcW w:w="3116" w:type="dxa"/>
            <w:shd w:val="clear" w:color="auto" w:fill="FAFAFA"/>
            <w:vAlign w:val="center"/>
          </w:tcPr>
          <w:p w14:paraId="5A77DFF6">
            <w:pPr>
              <w:jc w:val="center"/>
              <w:rPr>
                <w:rFonts w:hint="default" w:ascii="Times New Roman" w:hAnsi="Times New Roman" w:eastAsia="sans-serif" w:cs="Times New Roman"/>
                <w:b w:val="0"/>
                <w:bCs w:val="0"/>
                <w:i w:val="0"/>
                <w:iCs w:val="0"/>
                <w:caps w:val="0"/>
                <w:color w:val="333333"/>
                <w:spacing w:val="0"/>
                <w:sz w:val="21"/>
                <w:szCs w:val="21"/>
              </w:rPr>
            </w:pPr>
          </w:p>
        </w:tc>
      </w:tr>
      <w:tr w14:paraId="7804D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273" w:type="dxa"/>
            <w:tcBorders>
              <w:top w:val="single" w:color="DDDDDD" w:sz="2" w:space="0"/>
            </w:tcBorders>
            <w:shd w:val="clear" w:color="auto" w:fill="FAFAFA"/>
            <w:tcMar>
              <w:top w:w="60" w:type="dxa"/>
              <w:left w:w="60" w:type="dxa"/>
              <w:bottom w:w="60" w:type="dxa"/>
              <w:right w:w="60" w:type="dxa"/>
            </w:tcMar>
            <w:vAlign w:val="center"/>
          </w:tcPr>
          <w:p w14:paraId="6365B1E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ATRT vs MICT</w:t>
            </w:r>
          </w:p>
        </w:tc>
        <w:tc>
          <w:tcPr>
            <w:tcW w:w="1141" w:type="dxa"/>
            <w:tcBorders>
              <w:top w:val="single" w:color="DDDDDD" w:sz="2" w:space="0"/>
            </w:tcBorders>
            <w:shd w:val="clear" w:color="auto" w:fill="FAFAFA"/>
            <w:tcMar>
              <w:top w:w="60" w:type="dxa"/>
              <w:left w:w="60" w:type="dxa"/>
              <w:bottom w:w="60" w:type="dxa"/>
              <w:right w:w="60" w:type="dxa"/>
            </w:tcMar>
            <w:vAlign w:val="center"/>
          </w:tcPr>
          <w:p w14:paraId="2EBA682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347" w:type="dxa"/>
            <w:tcBorders>
              <w:top w:val="single" w:color="DDDDDD" w:sz="2" w:space="0"/>
            </w:tcBorders>
            <w:shd w:val="clear" w:color="auto" w:fill="E0DF02"/>
            <w:tcMar>
              <w:top w:w="60" w:type="dxa"/>
              <w:left w:w="60" w:type="dxa"/>
              <w:bottom w:w="60" w:type="dxa"/>
              <w:right w:w="60" w:type="dxa"/>
            </w:tcMar>
            <w:vAlign w:val="center"/>
          </w:tcPr>
          <w:p w14:paraId="03AB966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 </w:t>
            </w:r>
          </w:p>
        </w:tc>
        <w:tc>
          <w:tcPr>
            <w:tcW w:w="1054" w:type="dxa"/>
            <w:tcBorders>
              <w:top w:val="single" w:color="DDDDDD" w:sz="2" w:space="0"/>
            </w:tcBorders>
            <w:shd w:val="clear" w:color="auto" w:fill="02C000"/>
            <w:tcMar>
              <w:top w:w="60" w:type="dxa"/>
              <w:left w:w="60" w:type="dxa"/>
              <w:bottom w:w="60" w:type="dxa"/>
              <w:right w:w="60" w:type="dxa"/>
            </w:tcMar>
            <w:vAlign w:val="center"/>
          </w:tcPr>
          <w:p w14:paraId="48E32F0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45" w:type="dxa"/>
            <w:tcBorders>
              <w:top w:val="single" w:color="DDDDDD" w:sz="2" w:space="0"/>
            </w:tcBorders>
            <w:shd w:val="clear" w:color="auto" w:fill="02C000"/>
            <w:tcMar>
              <w:top w:w="60" w:type="dxa"/>
              <w:left w:w="60" w:type="dxa"/>
              <w:bottom w:w="60" w:type="dxa"/>
              <w:right w:w="60" w:type="dxa"/>
            </w:tcMar>
            <w:vAlign w:val="center"/>
          </w:tcPr>
          <w:p w14:paraId="1B0D964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77" w:type="dxa"/>
            <w:tcBorders>
              <w:top w:val="single" w:color="DDDDDD" w:sz="2" w:space="0"/>
            </w:tcBorders>
            <w:shd w:val="clear" w:color="auto" w:fill="C00000"/>
            <w:tcMar>
              <w:top w:w="60" w:type="dxa"/>
              <w:left w:w="60" w:type="dxa"/>
              <w:bottom w:w="60" w:type="dxa"/>
              <w:right w:w="60" w:type="dxa"/>
            </w:tcMar>
            <w:vAlign w:val="center"/>
          </w:tcPr>
          <w:p w14:paraId="14D10CA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 </w:t>
            </w:r>
          </w:p>
        </w:tc>
        <w:tc>
          <w:tcPr>
            <w:tcW w:w="1354" w:type="dxa"/>
            <w:tcBorders>
              <w:top w:val="single" w:color="DDDDDD" w:sz="2" w:space="0"/>
            </w:tcBorders>
            <w:shd w:val="clear" w:color="auto" w:fill="02C000"/>
            <w:tcMar>
              <w:top w:w="60" w:type="dxa"/>
              <w:left w:w="60" w:type="dxa"/>
              <w:bottom w:w="60" w:type="dxa"/>
              <w:right w:w="60" w:type="dxa"/>
            </w:tcMar>
            <w:vAlign w:val="center"/>
          </w:tcPr>
          <w:p w14:paraId="61627F9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49" w:type="dxa"/>
            <w:tcBorders>
              <w:top w:val="single" w:color="DDDDDD" w:sz="2" w:space="0"/>
            </w:tcBorders>
            <w:shd w:val="clear" w:color="auto" w:fill="C00000"/>
            <w:tcMar>
              <w:top w:w="60" w:type="dxa"/>
              <w:left w:w="60" w:type="dxa"/>
              <w:bottom w:w="60" w:type="dxa"/>
              <w:right w:w="60" w:type="dxa"/>
            </w:tcMar>
            <w:vAlign w:val="center"/>
          </w:tcPr>
          <w:p w14:paraId="5C92CDB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 </w:t>
            </w:r>
          </w:p>
        </w:tc>
        <w:tc>
          <w:tcPr>
            <w:tcW w:w="1121" w:type="dxa"/>
            <w:tcBorders>
              <w:top w:val="single" w:color="DDDDDD" w:sz="2" w:space="0"/>
            </w:tcBorders>
            <w:shd w:val="clear" w:color="auto" w:fill="FAFAFA"/>
            <w:tcMar>
              <w:top w:w="60" w:type="dxa"/>
              <w:left w:w="60" w:type="dxa"/>
              <w:bottom w:w="60" w:type="dxa"/>
              <w:right w:w="60" w:type="dxa"/>
            </w:tcMar>
            <w:vAlign w:val="center"/>
          </w:tcPr>
          <w:p w14:paraId="3A400E7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3116" w:type="dxa"/>
            <w:tcBorders>
              <w:top w:val="single" w:color="DDDDDD" w:sz="2" w:space="0"/>
            </w:tcBorders>
            <w:shd w:val="clear" w:color="auto" w:fill="FAFAFA"/>
            <w:tcMar>
              <w:top w:w="60" w:type="dxa"/>
              <w:left w:w="60" w:type="dxa"/>
              <w:bottom w:w="60" w:type="dxa"/>
              <w:right w:w="60" w:type="dxa"/>
            </w:tcMar>
            <w:vAlign w:val="center"/>
          </w:tcPr>
          <w:p w14:paraId="4B1EC99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 Incoherence |</w:t>
            </w:r>
          </w:p>
        </w:tc>
      </w:tr>
      <w:tr w14:paraId="67578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273" w:type="dxa"/>
            <w:tcBorders>
              <w:top w:val="single" w:color="DDDDDD" w:sz="2" w:space="0"/>
            </w:tcBorders>
            <w:shd w:val="clear" w:color="auto" w:fill="FAFAFA"/>
            <w:tcMar>
              <w:top w:w="60" w:type="dxa"/>
              <w:left w:w="60" w:type="dxa"/>
              <w:bottom w:w="60" w:type="dxa"/>
              <w:right w:w="60" w:type="dxa"/>
            </w:tcMar>
            <w:vAlign w:val="center"/>
          </w:tcPr>
          <w:p w14:paraId="6901FC4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ATRT vs RT</w:t>
            </w:r>
          </w:p>
        </w:tc>
        <w:tc>
          <w:tcPr>
            <w:tcW w:w="1141" w:type="dxa"/>
            <w:tcBorders>
              <w:top w:val="single" w:color="DDDDDD" w:sz="2" w:space="0"/>
            </w:tcBorders>
            <w:shd w:val="clear" w:color="auto" w:fill="FAFAFA"/>
            <w:tcMar>
              <w:top w:w="60" w:type="dxa"/>
              <w:left w:w="60" w:type="dxa"/>
              <w:bottom w:w="60" w:type="dxa"/>
              <w:right w:w="60" w:type="dxa"/>
            </w:tcMar>
            <w:vAlign w:val="center"/>
          </w:tcPr>
          <w:p w14:paraId="7B5626A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347" w:type="dxa"/>
            <w:tcBorders>
              <w:top w:val="single" w:color="DDDDDD" w:sz="2" w:space="0"/>
            </w:tcBorders>
            <w:shd w:val="clear" w:color="auto" w:fill="E0DF02"/>
            <w:tcMar>
              <w:top w:w="60" w:type="dxa"/>
              <w:left w:w="60" w:type="dxa"/>
              <w:bottom w:w="60" w:type="dxa"/>
              <w:right w:w="60" w:type="dxa"/>
            </w:tcMar>
            <w:vAlign w:val="center"/>
          </w:tcPr>
          <w:p w14:paraId="1AC2785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 </w:t>
            </w:r>
          </w:p>
        </w:tc>
        <w:tc>
          <w:tcPr>
            <w:tcW w:w="1054" w:type="dxa"/>
            <w:tcBorders>
              <w:top w:val="single" w:color="DDDDDD" w:sz="2" w:space="0"/>
            </w:tcBorders>
            <w:shd w:val="clear" w:color="auto" w:fill="02C000"/>
            <w:tcMar>
              <w:top w:w="60" w:type="dxa"/>
              <w:left w:w="60" w:type="dxa"/>
              <w:bottom w:w="60" w:type="dxa"/>
              <w:right w:w="60" w:type="dxa"/>
            </w:tcMar>
            <w:vAlign w:val="center"/>
          </w:tcPr>
          <w:p w14:paraId="2F7C86A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45" w:type="dxa"/>
            <w:tcBorders>
              <w:top w:val="single" w:color="DDDDDD" w:sz="2" w:space="0"/>
            </w:tcBorders>
            <w:shd w:val="clear" w:color="auto" w:fill="02C000"/>
            <w:tcMar>
              <w:top w:w="60" w:type="dxa"/>
              <w:left w:w="60" w:type="dxa"/>
              <w:bottom w:w="60" w:type="dxa"/>
              <w:right w:w="60" w:type="dxa"/>
            </w:tcMar>
            <w:vAlign w:val="center"/>
          </w:tcPr>
          <w:p w14:paraId="0CAB58B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177" w:type="dxa"/>
            <w:tcBorders>
              <w:top w:val="single" w:color="DDDDDD" w:sz="2" w:space="0"/>
            </w:tcBorders>
            <w:shd w:val="clear" w:color="auto" w:fill="C00000"/>
            <w:tcMar>
              <w:top w:w="60" w:type="dxa"/>
              <w:left w:w="60" w:type="dxa"/>
              <w:bottom w:w="60" w:type="dxa"/>
              <w:right w:w="60" w:type="dxa"/>
            </w:tcMar>
            <w:vAlign w:val="center"/>
          </w:tcPr>
          <w:p w14:paraId="0FE91D8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 </w:t>
            </w:r>
          </w:p>
        </w:tc>
        <w:tc>
          <w:tcPr>
            <w:tcW w:w="1354" w:type="dxa"/>
            <w:tcBorders>
              <w:top w:val="single" w:color="DDDDDD" w:sz="2" w:space="0"/>
            </w:tcBorders>
            <w:shd w:val="clear" w:color="auto" w:fill="02C000"/>
            <w:tcMar>
              <w:top w:w="60" w:type="dxa"/>
              <w:left w:w="60" w:type="dxa"/>
              <w:bottom w:w="60" w:type="dxa"/>
              <w:right w:w="60" w:type="dxa"/>
            </w:tcMar>
            <w:vAlign w:val="center"/>
          </w:tcPr>
          <w:p w14:paraId="1707EF0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49" w:type="dxa"/>
            <w:tcBorders>
              <w:top w:val="single" w:color="DDDDDD" w:sz="2" w:space="0"/>
            </w:tcBorders>
            <w:shd w:val="clear" w:color="auto" w:fill="C00000"/>
            <w:tcMar>
              <w:top w:w="60" w:type="dxa"/>
              <w:left w:w="60" w:type="dxa"/>
              <w:bottom w:w="60" w:type="dxa"/>
              <w:right w:w="60" w:type="dxa"/>
            </w:tcMar>
            <w:vAlign w:val="center"/>
          </w:tcPr>
          <w:p w14:paraId="70E11C1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Major concerns </w:t>
            </w:r>
          </w:p>
        </w:tc>
        <w:tc>
          <w:tcPr>
            <w:tcW w:w="1121" w:type="dxa"/>
            <w:tcBorders>
              <w:top w:val="single" w:color="DDDDDD" w:sz="2" w:space="0"/>
            </w:tcBorders>
            <w:shd w:val="clear" w:color="auto" w:fill="FAFAFA"/>
            <w:tcMar>
              <w:top w:w="60" w:type="dxa"/>
              <w:left w:w="60" w:type="dxa"/>
              <w:bottom w:w="60" w:type="dxa"/>
              <w:right w:w="60" w:type="dxa"/>
            </w:tcMar>
            <w:vAlign w:val="center"/>
          </w:tcPr>
          <w:p w14:paraId="76A4821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3116" w:type="dxa"/>
            <w:tcBorders>
              <w:top w:val="single" w:color="DDDDDD" w:sz="2" w:space="0"/>
            </w:tcBorders>
            <w:shd w:val="clear" w:color="auto" w:fill="FAFAFA"/>
            <w:tcMar>
              <w:top w:w="60" w:type="dxa"/>
              <w:left w:w="60" w:type="dxa"/>
              <w:bottom w:w="60" w:type="dxa"/>
              <w:right w:w="60" w:type="dxa"/>
            </w:tcMar>
            <w:vAlign w:val="center"/>
          </w:tcPr>
          <w:p w14:paraId="73A1136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 Incoherence |</w:t>
            </w:r>
          </w:p>
        </w:tc>
      </w:tr>
    </w:tbl>
    <w:p w14:paraId="15D8387A">
      <w:pPr>
        <w:rPr>
          <w:rFonts w:hint="default" w:ascii="Times New Roman" w:hAnsi="Times New Roman" w:cs="Times New Roman"/>
          <w:sz w:val="24"/>
          <w:szCs w:val="24"/>
          <w:vertAlign w:val="baseline"/>
          <w:lang w:val="en-US" w:eastAsia="zh-CN"/>
        </w:rPr>
      </w:pPr>
    </w:p>
    <w:p w14:paraId="3914CB5F">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br w:type="page"/>
      </w:r>
    </w:p>
    <w:p w14:paraId="543EAE76">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CINeMA results for PWV</w:t>
      </w:r>
    </w:p>
    <w:tbl>
      <w:tblPr>
        <w:tblStyle w:val="6"/>
        <w:tblW w:w="1397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Layout w:type="fixed"/>
        <w:tblCellMar>
          <w:top w:w="0" w:type="dxa"/>
          <w:left w:w="0" w:type="dxa"/>
          <w:bottom w:w="0" w:type="dxa"/>
          <w:right w:w="0" w:type="dxa"/>
        </w:tblCellMar>
      </w:tblPr>
      <w:tblGrid>
        <w:gridCol w:w="1199"/>
        <w:gridCol w:w="985"/>
        <w:gridCol w:w="1294"/>
        <w:gridCol w:w="1087"/>
        <w:gridCol w:w="1266"/>
        <w:gridCol w:w="1265"/>
        <w:gridCol w:w="1453"/>
        <w:gridCol w:w="1200"/>
        <w:gridCol w:w="1519"/>
        <w:gridCol w:w="2709"/>
      </w:tblGrid>
      <w:tr w14:paraId="5F8F8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35" w:hRule="atLeast"/>
        </w:trPr>
        <w:tc>
          <w:tcPr>
            <w:tcW w:w="1199" w:type="dxa"/>
            <w:tcBorders>
              <w:top w:val="nil"/>
              <w:bottom w:val="single" w:color="DDDDDD" w:sz="6" w:space="0"/>
            </w:tcBorders>
            <w:shd w:val="clear" w:color="auto" w:fill="FAFAFA"/>
            <w:tcMar>
              <w:top w:w="60" w:type="dxa"/>
              <w:left w:w="60" w:type="dxa"/>
              <w:bottom w:w="60" w:type="dxa"/>
              <w:right w:w="60" w:type="dxa"/>
            </w:tcMar>
            <w:vAlign w:val="center"/>
          </w:tcPr>
          <w:p w14:paraId="0A8D2F08">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Comparison</w:t>
            </w:r>
          </w:p>
        </w:tc>
        <w:tc>
          <w:tcPr>
            <w:tcW w:w="985" w:type="dxa"/>
            <w:tcBorders>
              <w:top w:val="nil"/>
              <w:bottom w:val="single" w:color="DDDDDD" w:sz="6" w:space="0"/>
            </w:tcBorders>
            <w:shd w:val="clear" w:color="auto" w:fill="FAFAFA"/>
            <w:tcMar>
              <w:top w:w="60" w:type="dxa"/>
              <w:left w:w="60" w:type="dxa"/>
              <w:bottom w:w="60" w:type="dxa"/>
              <w:right w:w="60" w:type="dxa"/>
            </w:tcMar>
            <w:vAlign w:val="center"/>
          </w:tcPr>
          <w:p w14:paraId="56B29561">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Number of Studies</w:t>
            </w:r>
          </w:p>
        </w:tc>
        <w:tc>
          <w:tcPr>
            <w:tcW w:w="1294" w:type="dxa"/>
            <w:tcBorders>
              <w:top w:val="nil"/>
              <w:bottom w:val="single" w:color="DDDDDD" w:sz="6" w:space="0"/>
            </w:tcBorders>
            <w:shd w:val="clear" w:color="auto" w:fill="FAFAFA"/>
            <w:tcMar>
              <w:top w:w="60" w:type="dxa"/>
              <w:left w:w="60" w:type="dxa"/>
              <w:bottom w:w="60" w:type="dxa"/>
              <w:right w:w="60" w:type="dxa"/>
            </w:tcMar>
            <w:vAlign w:val="center"/>
          </w:tcPr>
          <w:p w14:paraId="16B31803">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Within-study bias</w:t>
            </w:r>
          </w:p>
        </w:tc>
        <w:tc>
          <w:tcPr>
            <w:tcW w:w="1087" w:type="dxa"/>
            <w:tcBorders>
              <w:top w:val="nil"/>
              <w:bottom w:val="single" w:color="DDDDDD" w:sz="6" w:space="0"/>
            </w:tcBorders>
            <w:shd w:val="clear" w:color="auto" w:fill="FAFAFA"/>
            <w:tcMar>
              <w:top w:w="60" w:type="dxa"/>
              <w:left w:w="60" w:type="dxa"/>
              <w:bottom w:w="60" w:type="dxa"/>
              <w:right w:w="60" w:type="dxa"/>
            </w:tcMar>
            <w:vAlign w:val="center"/>
          </w:tcPr>
          <w:p w14:paraId="6EF60170">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Reporting bias</w:t>
            </w:r>
          </w:p>
        </w:tc>
        <w:tc>
          <w:tcPr>
            <w:tcW w:w="1266" w:type="dxa"/>
            <w:tcBorders>
              <w:top w:val="nil"/>
              <w:bottom w:val="single" w:color="DDDDDD" w:sz="6" w:space="0"/>
            </w:tcBorders>
            <w:shd w:val="clear" w:color="auto" w:fill="FAFAFA"/>
            <w:tcMar>
              <w:top w:w="60" w:type="dxa"/>
              <w:left w:w="60" w:type="dxa"/>
              <w:bottom w:w="60" w:type="dxa"/>
              <w:right w:w="60" w:type="dxa"/>
            </w:tcMar>
            <w:vAlign w:val="center"/>
          </w:tcPr>
          <w:p w14:paraId="21A9411E">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Indirectness</w:t>
            </w:r>
          </w:p>
        </w:tc>
        <w:tc>
          <w:tcPr>
            <w:tcW w:w="1265" w:type="dxa"/>
            <w:tcBorders>
              <w:top w:val="nil"/>
              <w:bottom w:val="single" w:color="DDDDDD" w:sz="6" w:space="0"/>
            </w:tcBorders>
            <w:shd w:val="clear" w:color="auto" w:fill="FAFAFA"/>
            <w:tcMar>
              <w:top w:w="60" w:type="dxa"/>
              <w:left w:w="60" w:type="dxa"/>
              <w:bottom w:w="60" w:type="dxa"/>
              <w:right w:w="60" w:type="dxa"/>
            </w:tcMar>
            <w:vAlign w:val="center"/>
          </w:tcPr>
          <w:p w14:paraId="45967259">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Imprecision</w:t>
            </w:r>
          </w:p>
        </w:tc>
        <w:tc>
          <w:tcPr>
            <w:tcW w:w="1453" w:type="dxa"/>
            <w:tcBorders>
              <w:top w:val="nil"/>
              <w:bottom w:val="single" w:color="DDDDDD" w:sz="6" w:space="0"/>
            </w:tcBorders>
            <w:shd w:val="clear" w:color="auto" w:fill="FAFAFA"/>
            <w:tcMar>
              <w:top w:w="60" w:type="dxa"/>
              <w:left w:w="60" w:type="dxa"/>
              <w:bottom w:w="60" w:type="dxa"/>
              <w:right w:w="60" w:type="dxa"/>
            </w:tcMar>
            <w:vAlign w:val="center"/>
          </w:tcPr>
          <w:p w14:paraId="19F01FFD">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Heterogeneity</w:t>
            </w:r>
          </w:p>
        </w:tc>
        <w:tc>
          <w:tcPr>
            <w:tcW w:w="1200" w:type="dxa"/>
            <w:tcBorders>
              <w:top w:val="nil"/>
              <w:bottom w:val="single" w:color="DDDDDD" w:sz="6" w:space="0"/>
            </w:tcBorders>
            <w:shd w:val="clear" w:color="auto" w:fill="FAFAFA"/>
            <w:tcMar>
              <w:top w:w="60" w:type="dxa"/>
              <w:left w:w="60" w:type="dxa"/>
              <w:bottom w:w="60" w:type="dxa"/>
              <w:right w:w="60" w:type="dxa"/>
            </w:tcMar>
            <w:vAlign w:val="center"/>
          </w:tcPr>
          <w:p w14:paraId="273D515B">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Incoherence</w:t>
            </w:r>
          </w:p>
        </w:tc>
        <w:tc>
          <w:tcPr>
            <w:tcW w:w="1519" w:type="dxa"/>
            <w:tcBorders>
              <w:top w:val="nil"/>
              <w:bottom w:val="single" w:color="DDDDDD" w:sz="6" w:space="0"/>
            </w:tcBorders>
            <w:shd w:val="clear" w:color="auto" w:fill="FAFAFA"/>
            <w:tcMar>
              <w:top w:w="60" w:type="dxa"/>
              <w:left w:w="60" w:type="dxa"/>
              <w:bottom w:w="60" w:type="dxa"/>
              <w:right w:w="60" w:type="dxa"/>
            </w:tcMar>
            <w:vAlign w:val="center"/>
          </w:tcPr>
          <w:p w14:paraId="410631EC">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Confidence rating</w:t>
            </w:r>
          </w:p>
        </w:tc>
        <w:tc>
          <w:tcPr>
            <w:tcW w:w="2709" w:type="dxa"/>
            <w:tcBorders>
              <w:top w:val="nil"/>
              <w:bottom w:val="single" w:color="DDDDDD" w:sz="6" w:space="0"/>
            </w:tcBorders>
            <w:shd w:val="clear" w:color="auto" w:fill="FAFAFA"/>
            <w:tcMar>
              <w:top w:w="60" w:type="dxa"/>
              <w:left w:w="60" w:type="dxa"/>
              <w:bottom w:w="60" w:type="dxa"/>
              <w:right w:w="60" w:type="dxa"/>
            </w:tcMar>
            <w:vAlign w:val="center"/>
          </w:tcPr>
          <w:p w14:paraId="08657147">
            <w:pPr>
              <w:keepNext w:val="0"/>
              <w:keepLines w:val="0"/>
              <w:widowControl/>
              <w:suppressLineNumbers w:val="0"/>
              <w:spacing w:line="11" w:lineRule="atLeast"/>
              <w:jc w:val="center"/>
              <w:textAlignment w:val="bottom"/>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Reason(s) for downgrading</w:t>
            </w:r>
          </w:p>
        </w:tc>
      </w:tr>
      <w:tr w14:paraId="323A5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0" w:hRule="atLeast"/>
        </w:trPr>
        <w:tc>
          <w:tcPr>
            <w:tcW w:w="11268" w:type="dxa"/>
            <w:gridSpan w:val="9"/>
            <w:tcBorders>
              <w:top w:val="single" w:color="DDDDDD" w:sz="2" w:space="0"/>
            </w:tcBorders>
            <w:shd w:val="clear" w:color="auto" w:fill="FAFAFA"/>
            <w:tcMar>
              <w:top w:w="60" w:type="dxa"/>
              <w:left w:w="60" w:type="dxa"/>
              <w:bottom w:w="60" w:type="dxa"/>
              <w:right w:w="60" w:type="dxa"/>
            </w:tcMar>
            <w:vAlign w:val="center"/>
          </w:tcPr>
          <w:p w14:paraId="0E9BECC5">
            <w:pPr>
              <w:pStyle w:val="2"/>
              <w:keepNext w:val="0"/>
              <w:keepLines w:val="0"/>
              <w:widowControl/>
              <w:suppressLineNumbers w:val="0"/>
              <w:spacing w:before="75" w:beforeAutospacing="0" w:after="75" w:afterAutospacing="0" w:line="8" w:lineRule="atLeast"/>
              <w:jc w:val="center"/>
              <w:rPr>
                <w:rFonts w:hint="default" w:ascii="Times New Roman" w:hAnsi="Times New Roman" w:cs="Times New Roman"/>
                <w:b w:val="0"/>
                <w:bCs w:val="0"/>
                <w:sz w:val="21"/>
                <w:szCs w:val="21"/>
              </w:rPr>
            </w:pPr>
            <w:r>
              <w:rPr>
                <w:rFonts w:hint="default" w:ascii="Times New Roman" w:hAnsi="Times New Roman" w:cs="Times New Roman"/>
                <w:b w:val="0"/>
                <w:bCs w:val="0"/>
                <w:i w:val="0"/>
                <w:iCs w:val="0"/>
                <w:caps w:val="0"/>
                <w:color w:val="333333"/>
                <w:spacing w:val="0"/>
                <w:sz w:val="21"/>
                <w:szCs w:val="21"/>
              </w:rPr>
              <w:t>Mixed evidence</w:t>
            </w:r>
          </w:p>
        </w:tc>
        <w:tc>
          <w:tcPr>
            <w:tcW w:w="2709" w:type="dxa"/>
            <w:shd w:val="clear" w:color="auto" w:fill="FAFAFA"/>
            <w:vAlign w:val="center"/>
          </w:tcPr>
          <w:p w14:paraId="5C45FCC0">
            <w:pPr>
              <w:jc w:val="center"/>
              <w:rPr>
                <w:rFonts w:hint="default" w:ascii="Times New Roman" w:hAnsi="Times New Roman" w:eastAsia="sans-serif" w:cs="Times New Roman"/>
                <w:b w:val="0"/>
                <w:bCs w:val="0"/>
                <w:i w:val="0"/>
                <w:iCs w:val="0"/>
                <w:caps w:val="0"/>
                <w:color w:val="333333"/>
                <w:spacing w:val="0"/>
                <w:sz w:val="21"/>
                <w:szCs w:val="21"/>
              </w:rPr>
            </w:pPr>
          </w:p>
        </w:tc>
      </w:tr>
      <w:tr w14:paraId="15468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CellMar>
            <w:top w:w="0" w:type="dxa"/>
            <w:left w:w="0" w:type="dxa"/>
            <w:bottom w:w="0" w:type="dxa"/>
            <w:right w:w="0" w:type="dxa"/>
          </w:tblCellMar>
        </w:tblPrEx>
        <w:trPr>
          <w:trHeight w:val="1048" w:hRule="atLeast"/>
        </w:trPr>
        <w:tc>
          <w:tcPr>
            <w:tcW w:w="1199" w:type="dxa"/>
            <w:tcBorders>
              <w:top w:val="single" w:color="DDDDDD" w:sz="2" w:space="0"/>
            </w:tcBorders>
            <w:shd w:val="clear" w:color="auto" w:fill="FAFAFA"/>
            <w:tcMar>
              <w:top w:w="60" w:type="dxa"/>
              <w:left w:w="60" w:type="dxa"/>
              <w:bottom w:w="60" w:type="dxa"/>
              <w:right w:w="60" w:type="dxa"/>
            </w:tcMar>
            <w:vAlign w:val="center"/>
          </w:tcPr>
          <w:p w14:paraId="7A57B5F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ATRT vs Control</w:t>
            </w:r>
          </w:p>
        </w:tc>
        <w:tc>
          <w:tcPr>
            <w:tcW w:w="985" w:type="dxa"/>
            <w:tcBorders>
              <w:top w:val="single" w:color="DDDDDD" w:sz="2" w:space="0"/>
            </w:tcBorders>
            <w:shd w:val="clear" w:color="auto" w:fill="FAFAFA"/>
            <w:tcMar>
              <w:top w:w="60" w:type="dxa"/>
              <w:left w:w="60" w:type="dxa"/>
              <w:bottom w:w="60" w:type="dxa"/>
              <w:right w:w="60" w:type="dxa"/>
            </w:tcMar>
            <w:vAlign w:val="center"/>
          </w:tcPr>
          <w:p w14:paraId="6229266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2</w:t>
            </w:r>
          </w:p>
        </w:tc>
        <w:tc>
          <w:tcPr>
            <w:tcW w:w="1294" w:type="dxa"/>
            <w:tcBorders>
              <w:top w:val="single" w:color="DDDDDD" w:sz="2" w:space="0"/>
            </w:tcBorders>
            <w:shd w:val="clear" w:color="auto" w:fill="E0DF02"/>
            <w:tcMar>
              <w:top w:w="60" w:type="dxa"/>
              <w:left w:w="60" w:type="dxa"/>
              <w:bottom w:w="60" w:type="dxa"/>
              <w:right w:w="60" w:type="dxa"/>
            </w:tcMar>
            <w:vAlign w:val="center"/>
          </w:tcPr>
          <w:p w14:paraId="4A72EF1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 </w:t>
            </w:r>
            <w:r>
              <w:rPr>
                <w:rFonts w:hint="default" w:ascii="Times New Roman" w:hAnsi="Times New Roman" w:eastAsia="sans-serif" w:cs="Times New Roman"/>
                <w:b w:val="0"/>
                <w:bCs w:val="0"/>
                <w:i w:val="0"/>
                <w:iCs w:val="0"/>
                <w:caps w:val="0"/>
                <w:color w:val="333333"/>
                <w:spacing w:val="0"/>
                <w:kern w:val="0"/>
                <w:sz w:val="21"/>
                <w:szCs w:val="21"/>
                <w:lang w:val="en-US" w:eastAsia="zh-CN" w:bidi="ar"/>
              </w:rPr>
              <mc:AlternateContent>
                <mc:Choice Requires="wps">
                  <w:drawing>
                    <wp:inline distT="0" distB="0" distL="114300" distR="114300">
                      <wp:extent cx="635" cy="0"/>
                      <wp:effectExtent l="0" t="4445" r="8890" b="5080"/>
                      <wp:docPr id="195" name="矩形 1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w="9525" cap="flat" cmpd="sng">
                                <a:solidFill>
                                  <a:srgbClr val="000000"/>
                                </a:solidFill>
                                <a:prstDash val="solid"/>
                                <a:miter/>
                                <a:headEnd type="none" w="med" len="med"/>
                                <a:tailEnd type="none" w="med" len="med"/>
                              </a:ln>
                            </wps:spPr>
                            <wps:bodyPr upright="1"/>
                          </wps:wsp>
                        </a:graphicData>
                      </a:graphic>
                    </wp:inline>
                  </w:drawing>
                </mc:Choice>
                <mc:Fallback>
                  <w:pict>
                    <v:rect id="_x0000_s1026" o:spid="_x0000_s1026" o:spt="1" style="height:0pt;width:0.05pt;" filled="f" stroked="t" coordsize="21600,21600"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r/spUAQIAABwEAAAOAAAAZHJzL2Uyb0RvYy54bWytU0tuGzEM3RfoHQTt&#10;63FcJGgGHgdB3HQTtAGSHoCWNDNC9IMoe+zTFOiuh+hxil6jlMZ2k3TjRWcxoCjyke+Rml9trWEb&#10;FVF71/CzyZQz5YSX2nUN//p4++4DZ5jASTDeqYbvFPKrxds38yHUauZ7b6SKjEAc1kNoeJ9SqKsK&#10;Ra8s4MQH5eiy9dFComPsKhlhIHRrqtl0elENPsoQvVCI5F2Ol3yPGE8B9G2rhVp6sbbKpRE1KgOJ&#10;KGGvA/JF6bZtlUhf2hZVYqbhxDSVPxUhe5X/1WIOdRch9FrsW4BTWnjFyYJ2VPQItYQEbB31P1BW&#10;i+jRt2kivK1GIkURYnE2faXNQw9BFS4kNYaj6Pj/YMXnzX1kWtImXJ5z5sDSyH9/+/Hr53eWPaTP&#10;ELCmsIdwHzNDDHdePCFz/qYH16lrDKQy5efY6kVwPuA+bdtGm9OJMtsW/XdH/dU2MUHOi/fUgjj4&#10;K6gPSSFi+qS8ZdloeKSCRW3Y3GHKZaE+hOQazt9qY8pojWNDwy/PZxkZaF1bWhMybSDK6LoCg95o&#10;mVMKv9itbkxkG8grU77CjJg/D8v1loD9GFeuxmWyOqlYavcK5EcnWdoFEtXRa+K5GaskZ0bR48tW&#10;iUygzSmRxNO4vcqjsFnilZc7GuI6RN31LyZBS1PE2S943srn54L091Ev/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U5CpzgAAAP8AAAAPAAAAAAAAAAEAIAAAACIAAABkcnMvZG93bnJldi54bWxQ&#10;SwECFAAUAAAACACHTuJAq/7KVAECAAAcBAAADgAAAAAAAAABACAAAAAdAQAAZHJzL2Uyb0RvYy54&#10;bWxQSwUGAAAAAAYABgBZAQAAkAUAAAAA&#10;">
                      <v:fill on="f" focussize="0,0"/>
                      <v:stroke color="#000000" joinstyle="miter"/>
                      <v:imagedata o:title=""/>
                      <o:lock v:ext="edit" aspectratio="t"/>
                      <w10:wrap type="none"/>
                      <w10:anchorlock/>
                    </v:rect>
                  </w:pict>
                </mc:Fallback>
              </mc:AlternateContent>
            </w:r>
          </w:p>
        </w:tc>
        <w:tc>
          <w:tcPr>
            <w:tcW w:w="1087" w:type="dxa"/>
            <w:tcBorders>
              <w:top w:val="single" w:color="DDDDDD" w:sz="2" w:space="0"/>
            </w:tcBorders>
            <w:shd w:val="clear" w:color="auto" w:fill="02C000"/>
            <w:tcMar>
              <w:top w:w="60" w:type="dxa"/>
              <w:left w:w="60" w:type="dxa"/>
              <w:bottom w:w="60" w:type="dxa"/>
              <w:right w:w="60" w:type="dxa"/>
            </w:tcMar>
            <w:vAlign w:val="center"/>
          </w:tcPr>
          <w:p w14:paraId="2E08BD6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66" w:type="dxa"/>
            <w:tcBorders>
              <w:top w:val="single" w:color="DDDDDD" w:sz="2" w:space="0"/>
            </w:tcBorders>
            <w:shd w:val="clear" w:color="auto" w:fill="02C000"/>
            <w:tcMar>
              <w:top w:w="60" w:type="dxa"/>
              <w:left w:w="60" w:type="dxa"/>
              <w:bottom w:w="60" w:type="dxa"/>
              <w:right w:w="60" w:type="dxa"/>
            </w:tcMar>
            <w:vAlign w:val="center"/>
          </w:tcPr>
          <w:p w14:paraId="6481945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65" w:type="dxa"/>
            <w:tcBorders>
              <w:top w:val="single" w:color="DDDDDD" w:sz="2" w:space="0"/>
            </w:tcBorders>
            <w:shd w:val="clear" w:color="auto" w:fill="DBD923"/>
            <w:tcMar>
              <w:top w:w="60" w:type="dxa"/>
              <w:left w:w="60" w:type="dxa"/>
              <w:bottom w:w="60" w:type="dxa"/>
              <w:right w:w="60" w:type="dxa"/>
            </w:tcMar>
            <w:vAlign w:val="center"/>
          </w:tcPr>
          <w:p w14:paraId="777BE30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53" w:type="dxa"/>
            <w:tcBorders>
              <w:top w:val="single" w:color="DDDDDD" w:sz="2" w:space="0"/>
            </w:tcBorders>
            <w:shd w:val="clear" w:color="auto" w:fill="DBD923"/>
            <w:tcMar>
              <w:top w:w="60" w:type="dxa"/>
              <w:left w:w="60" w:type="dxa"/>
              <w:bottom w:w="60" w:type="dxa"/>
              <w:right w:w="60" w:type="dxa"/>
            </w:tcMar>
            <w:vAlign w:val="center"/>
          </w:tcPr>
          <w:p w14:paraId="322A23F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200" w:type="dxa"/>
            <w:tcBorders>
              <w:top w:val="single" w:color="DDDDDD" w:sz="2" w:space="0"/>
            </w:tcBorders>
            <w:shd w:val="clear" w:color="auto" w:fill="02C000"/>
            <w:tcMar>
              <w:top w:w="60" w:type="dxa"/>
              <w:left w:w="60" w:type="dxa"/>
              <w:bottom w:w="60" w:type="dxa"/>
              <w:right w:w="60" w:type="dxa"/>
            </w:tcMar>
            <w:vAlign w:val="center"/>
          </w:tcPr>
          <w:p w14:paraId="3A36A0C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19" w:type="dxa"/>
            <w:tcBorders>
              <w:top w:val="single" w:color="DDDDDD" w:sz="2" w:space="0"/>
            </w:tcBorders>
            <w:shd w:val="clear" w:color="auto" w:fill="FAFAFA"/>
            <w:tcMar>
              <w:top w:w="60" w:type="dxa"/>
              <w:left w:w="60" w:type="dxa"/>
              <w:bottom w:w="60" w:type="dxa"/>
              <w:right w:w="60" w:type="dxa"/>
            </w:tcMar>
            <w:vAlign w:val="center"/>
          </w:tcPr>
          <w:p w14:paraId="6B79954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red"/>
                <w:bdr w:val="single" w:color="C00000" w:sz="2" w:space="0"/>
                <w:shd w:val="clear" w:fill="FFFFFF"/>
                <w:lang w:val="en-US" w:eastAsia="zh-CN" w:bidi="ar"/>
              </w:rPr>
              <w:t>Very low</w:t>
            </w:r>
          </w:p>
        </w:tc>
        <w:tc>
          <w:tcPr>
            <w:tcW w:w="2709" w:type="dxa"/>
            <w:tcBorders>
              <w:top w:val="single" w:color="DDDDDD" w:sz="2" w:space="0"/>
            </w:tcBorders>
            <w:shd w:val="clear" w:color="auto" w:fill="FAFAFA"/>
            <w:tcMar>
              <w:top w:w="60" w:type="dxa"/>
              <w:left w:w="60" w:type="dxa"/>
              <w:bottom w:w="60" w:type="dxa"/>
              <w:right w:w="60" w:type="dxa"/>
            </w:tcMar>
            <w:vAlign w:val="center"/>
          </w:tcPr>
          <w:p w14:paraId="46BF592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 Heterogeneity |</w:t>
            </w:r>
          </w:p>
        </w:tc>
      </w:tr>
      <w:tr w14:paraId="2EAA5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0" w:hRule="atLeast"/>
        </w:trPr>
        <w:tc>
          <w:tcPr>
            <w:tcW w:w="1199" w:type="dxa"/>
            <w:tcBorders>
              <w:top w:val="single" w:color="DDDDDD" w:sz="2" w:space="0"/>
            </w:tcBorders>
            <w:shd w:val="clear" w:color="auto" w:fill="FAFAFA"/>
            <w:tcMar>
              <w:top w:w="60" w:type="dxa"/>
              <w:left w:w="60" w:type="dxa"/>
              <w:bottom w:w="60" w:type="dxa"/>
              <w:right w:w="60" w:type="dxa"/>
            </w:tcMar>
            <w:vAlign w:val="center"/>
          </w:tcPr>
          <w:p w14:paraId="67EA33A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Control vs IET</w:t>
            </w:r>
          </w:p>
        </w:tc>
        <w:tc>
          <w:tcPr>
            <w:tcW w:w="985" w:type="dxa"/>
            <w:tcBorders>
              <w:top w:val="single" w:color="DDDDDD" w:sz="2" w:space="0"/>
            </w:tcBorders>
            <w:shd w:val="clear" w:color="auto" w:fill="FAFAFA"/>
            <w:tcMar>
              <w:top w:w="60" w:type="dxa"/>
              <w:left w:w="60" w:type="dxa"/>
              <w:bottom w:w="60" w:type="dxa"/>
              <w:right w:w="60" w:type="dxa"/>
            </w:tcMar>
            <w:vAlign w:val="center"/>
          </w:tcPr>
          <w:p w14:paraId="59D841A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1</w:t>
            </w:r>
          </w:p>
        </w:tc>
        <w:tc>
          <w:tcPr>
            <w:tcW w:w="1294" w:type="dxa"/>
            <w:tcBorders>
              <w:top w:val="single" w:color="DDDDDD" w:sz="2" w:space="0"/>
            </w:tcBorders>
            <w:shd w:val="clear" w:color="auto" w:fill="02C000"/>
            <w:tcMar>
              <w:top w:w="60" w:type="dxa"/>
              <w:left w:w="60" w:type="dxa"/>
              <w:bottom w:w="60" w:type="dxa"/>
              <w:right w:w="60" w:type="dxa"/>
            </w:tcMar>
            <w:vAlign w:val="center"/>
          </w:tcPr>
          <w:p w14:paraId="261CA21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087" w:type="dxa"/>
            <w:tcBorders>
              <w:top w:val="single" w:color="DDDDDD" w:sz="2" w:space="0"/>
            </w:tcBorders>
            <w:shd w:val="clear" w:color="auto" w:fill="02C000"/>
            <w:tcMar>
              <w:top w:w="60" w:type="dxa"/>
              <w:left w:w="60" w:type="dxa"/>
              <w:bottom w:w="60" w:type="dxa"/>
              <w:right w:w="60" w:type="dxa"/>
            </w:tcMar>
            <w:vAlign w:val="center"/>
          </w:tcPr>
          <w:p w14:paraId="726527B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66" w:type="dxa"/>
            <w:tcBorders>
              <w:top w:val="single" w:color="DDDDDD" w:sz="2" w:space="0"/>
            </w:tcBorders>
            <w:shd w:val="clear" w:color="auto" w:fill="02C000"/>
            <w:tcMar>
              <w:top w:w="60" w:type="dxa"/>
              <w:left w:w="60" w:type="dxa"/>
              <w:bottom w:w="60" w:type="dxa"/>
              <w:right w:w="60" w:type="dxa"/>
            </w:tcMar>
            <w:vAlign w:val="center"/>
          </w:tcPr>
          <w:p w14:paraId="41B0878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65" w:type="dxa"/>
            <w:tcBorders>
              <w:top w:val="single" w:color="DDDDDD" w:sz="2" w:space="0"/>
            </w:tcBorders>
            <w:shd w:val="clear" w:color="auto" w:fill="DBD923"/>
            <w:tcMar>
              <w:top w:w="60" w:type="dxa"/>
              <w:left w:w="60" w:type="dxa"/>
              <w:bottom w:w="60" w:type="dxa"/>
              <w:right w:w="60" w:type="dxa"/>
            </w:tcMar>
            <w:vAlign w:val="center"/>
          </w:tcPr>
          <w:p w14:paraId="07E0554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53" w:type="dxa"/>
            <w:tcBorders>
              <w:top w:val="single" w:color="DDDDDD" w:sz="2" w:space="0"/>
            </w:tcBorders>
            <w:shd w:val="clear" w:color="auto" w:fill="02C000"/>
            <w:tcMar>
              <w:top w:w="60" w:type="dxa"/>
              <w:left w:w="60" w:type="dxa"/>
              <w:bottom w:w="60" w:type="dxa"/>
              <w:right w:w="60" w:type="dxa"/>
            </w:tcMar>
            <w:vAlign w:val="center"/>
          </w:tcPr>
          <w:p w14:paraId="14D67E4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00" w:type="dxa"/>
            <w:tcBorders>
              <w:top w:val="single" w:color="DDDDDD" w:sz="2" w:space="0"/>
            </w:tcBorders>
            <w:shd w:val="clear" w:color="auto" w:fill="02C000"/>
            <w:tcMar>
              <w:top w:w="60" w:type="dxa"/>
              <w:left w:w="60" w:type="dxa"/>
              <w:bottom w:w="60" w:type="dxa"/>
              <w:right w:w="60" w:type="dxa"/>
            </w:tcMar>
            <w:vAlign w:val="center"/>
          </w:tcPr>
          <w:p w14:paraId="7A57E4A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19" w:type="dxa"/>
            <w:tcBorders>
              <w:top w:val="single" w:color="DDDDDD" w:sz="2" w:space="0"/>
            </w:tcBorders>
            <w:shd w:val="clear" w:color="auto" w:fill="FAFAFA"/>
            <w:tcMar>
              <w:top w:w="60" w:type="dxa"/>
              <w:left w:w="60" w:type="dxa"/>
              <w:bottom w:w="60" w:type="dxa"/>
              <w:right w:w="60" w:type="dxa"/>
            </w:tcMar>
            <w:vAlign w:val="center"/>
          </w:tcPr>
          <w:p w14:paraId="3BA9C54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cyan"/>
                <w:bdr w:val="single" w:color="0C8CE7" w:sz="2" w:space="0"/>
                <w:shd w:val="clear" w:fill="FFFFFF"/>
                <w:lang w:val="en-US" w:eastAsia="zh-CN" w:bidi="ar"/>
              </w:rPr>
              <w:t>Moderate</w:t>
            </w:r>
          </w:p>
        </w:tc>
        <w:tc>
          <w:tcPr>
            <w:tcW w:w="2709" w:type="dxa"/>
            <w:tcBorders>
              <w:top w:val="single" w:color="DDDDDD" w:sz="2" w:space="0"/>
            </w:tcBorders>
            <w:shd w:val="clear" w:color="auto" w:fill="FAFAFA"/>
            <w:tcMar>
              <w:top w:w="60" w:type="dxa"/>
              <w:left w:w="60" w:type="dxa"/>
              <w:bottom w:w="60" w:type="dxa"/>
              <w:right w:w="60" w:type="dxa"/>
            </w:tcMar>
            <w:vAlign w:val="center"/>
          </w:tcPr>
          <w:p w14:paraId="3BE75E0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Imprecision |</w:t>
            </w:r>
          </w:p>
        </w:tc>
      </w:tr>
      <w:tr w14:paraId="7FB68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0" w:hRule="atLeast"/>
        </w:trPr>
        <w:tc>
          <w:tcPr>
            <w:tcW w:w="1199" w:type="dxa"/>
            <w:tcBorders>
              <w:top w:val="single" w:color="DDDDDD" w:sz="2" w:space="0"/>
            </w:tcBorders>
            <w:shd w:val="clear" w:color="auto" w:fill="FAFAFA"/>
            <w:tcMar>
              <w:top w:w="60" w:type="dxa"/>
              <w:left w:w="60" w:type="dxa"/>
              <w:bottom w:w="60" w:type="dxa"/>
              <w:right w:w="60" w:type="dxa"/>
            </w:tcMar>
            <w:vAlign w:val="center"/>
          </w:tcPr>
          <w:p w14:paraId="22B174D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Control vs MICT</w:t>
            </w:r>
          </w:p>
        </w:tc>
        <w:tc>
          <w:tcPr>
            <w:tcW w:w="985" w:type="dxa"/>
            <w:tcBorders>
              <w:top w:val="single" w:color="DDDDDD" w:sz="2" w:space="0"/>
            </w:tcBorders>
            <w:shd w:val="clear" w:color="auto" w:fill="FAFAFA"/>
            <w:tcMar>
              <w:top w:w="60" w:type="dxa"/>
              <w:left w:w="60" w:type="dxa"/>
              <w:bottom w:w="60" w:type="dxa"/>
              <w:right w:w="60" w:type="dxa"/>
            </w:tcMar>
            <w:vAlign w:val="center"/>
          </w:tcPr>
          <w:p w14:paraId="53E41CD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1</w:t>
            </w:r>
          </w:p>
        </w:tc>
        <w:tc>
          <w:tcPr>
            <w:tcW w:w="1294" w:type="dxa"/>
            <w:tcBorders>
              <w:top w:val="single" w:color="DDDDDD" w:sz="2" w:space="0"/>
            </w:tcBorders>
            <w:shd w:val="clear" w:color="auto" w:fill="E0DF02"/>
            <w:tcMar>
              <w:top w:w="60" w:type="dxa"/>
              <w:left w:w="60" w:type="dxa"/>
              <w:bottom w:w="60" w:type="dxa"/>
              <w:right w:w="60" w:type="dxa"/>
            </w:tcMar>
            <w:vAlign w:val="center"/>
          </w:tcPr>
          <w:p w14:paraId="45E5A6A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 </w:t>
            </w:r>
            <w:r>
              <w:rPr>
                <w:rFonts w:hint="default" w:ascii="Times New Roman" w:hAnsi="Times New Roman" w:eastAsia="sans-serif" w:cs="Times New Roman"/>
                <w:b w:val="0"/>
                <w:bCs w:val="0"/>
                <w:i w:val="0"/>
                <w:iCs w:val="0"/>
                <w:caps w:val="0"/>
                <w:color w:val="333333"/>
                <w:spacing w:val="0"/>
                <w:kern w:val="0"/>
                <w:sz w:val="21"/>
                <w:szCs w:val="21"/>
                <w:lang w:val="en-US" w:eastAsia="zh-CN" w:bidi="ar"/>
              </w:rPr>
              <mc:AlternateContent>
                <mc:Choice Requires="wps">
                  <w:drawing>
                    <wp:inline distT="0" distB="0" distL="114300" distR="114300">
                      <wp:extent cx="635" cy="0"/>
                      <wp:effectExtent l="0" t="4445" r="8890" b="5080"/>
                      <wp:docPr id="196" name="矩形 1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w="9525" cap="flat" cmpd="sng">
                                <a:solidFill>
                                  <a:srgbClr val="000000"/>
                                </a:solidFill>
                                <a:prstDash val="solid"/>
                                <a:miter/>
                                <a:headEnd type="none" w="med" len="med"/>
                                <a:tailEnd type="none" w="med" len="med"/>
                              </a:ln>
                            </wps:spPr>
                            <wps:bodyPr upright="1"/>
                          </wps:wsp>
                        </a:graphicData>
                      </a:graphic>
                    </wp:inline>
                  </w:drawing>
                </mc:Choice>
                <mc:Fallback>
                  <w:pict>
                    <v:rect id="_x0000_s1026" o:spid="_x0000_s1026" o:spt="1" style="height:0pt;width:0.05pt;" filled="f" stroked="t" coordsize="21600,21600"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sx/FHAQIAABwEAAAOAAAAZHJzL2Uyb0RvYy54bWytU81uEzEQviPxDpbv&#10;ZNOgRnSVTYUayqWCSi0PMLG9uxb+k8fJJk+DxI2H4HEQr8HYm4S2XHJgD6vxeOab+b4ZL6531rCt&#10;iqi9a/jFZMqZcsJL7bqGf3m8ffOOM0zgJBjvVMP3Cvn18vWrxRBqNfO9N1JFRiAO6yE0vE8p1FWF&#10;olcWcOKDcnTZ+mgh0TF2lYwwELo11Ww6nVeDjzJELxQieVfjJT8gxnMAfdtqoVZebKxyaUSNykAi&#10;StjrgHxZum1bJdLntkWVmGk4MU3lT0XIXud/tVxA3UUIvRaHFuCcFl5wsqAdFT1BrSAB20T9D5TV&#10;Inr0bZoIb6uRSFGEWFxMX2jz0ENQhQtJjeEkOv4/WPFpex+ZlrQJV3POHFga+e9vP379/M6yh/QZ&#10;AtYU9hDuY2aI4c6Lr8icv+nBdeo9BlKZ8nNs9Sw4H/CQtmujzelEme2K/vuT/mqXmCDn/O0lZ+Lo&#10;r6A+JoWI6aPylmWj4ZEKFrVhe4cpl4X6GJJrOH+rjSmjNY4NDb+6nGVkoHVtaU3ItIEoo+sKDHqj&#10;ZU4p/GK3vjGRbSGvTPkKM2L+NCzXWwH2Y1y5GpfJ6qRiqd0rkB+cZGkfSFRHr4nnZqySnBlFjy9b&#10;JTKBNudEEk/jDiqPwmaJ117uaYibEHXXP5sELU0R57DgeSufngvS30e9/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U5CpzgAAAP8AAAAPAAAAAAAAAAEAIAAAACIAAABkcnMvZG93bnJldi54bWxQ&#10;SwECFAAUAAAACACHTuJArMfxRwECAAAcBAAADgAAAAAAAAABACAAAAAdAQAAZHJzL2Uyb0RvYy54&#10;bWxQSwUGAAAAAAYABgBZAQAAkAUAAAAA&#10;">
                      <v:fill on="f" focussize="0,0"/>
                      <v:stroke color="#000000" joinstyle="miter"/>
                      <v:imagedata o:title=""/>
                      <o:lock v:ext="edit" aspectratio="t"/>
                      <w10:wrap type="none"/>
                      <w10:anchorlock/>
                    </v:rect>
                  </w:pict>
                </mc:Fallback>
              </mc:AlternateContent>
            </w:r>
          </w:p>
        </w:tc>
        <w:tc>
          <w:tcPr>
            <w:tcW w:w="1087" w:type="dxa"/>
            <w:tcBorders>
              <w:top w:val="single" w:color="DDDDDD" w:sz="2" w:space="0"/>
            </w:tcBorders>
            <w:shd w:val="clear" w:color="auto" w:fill="02C000"/>
            <w:tcMar>
              <w:top w:w="60" w:type="dxa"/>
              <w:left w:w="60" w:type="dxa"/>
              <w:bottom w:w="60" w:type="dxa"/>
              <w:right w:w="60" w:type="dxa"/>
            </w:tcMar>
            <w:vAlign w:val="center"/>
          </w:tcPr>
          <w:p w14:paraId="21E98B1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66" w:type="dxa"/>
            <w:tcBorders>
              <w:top w:val="single" w:color="DDDDDD" w:sz="2" w:space="0"/>
            </w:tcBorders>
            <w:shd w:val="clear" w:color="auto" w:fill="02C000"/>
            <w:tcMar>
              <w:top w:w="60" w:type="dxa"/>
              <w:left w:w="60" w:type="dxa"/>
              <w:bottom w:w="60" w:type="dxa"/>
              <w:right w:w="60" w:type="dxa"/>
            </w:tcMar>
            <w:vAlign w:val="center"/>
          </w:tcPr>
          <w:p w14:paraId="45CB4E6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65" w:type="dxa"/>
            <w:tcBorders>
              <w:top w:val="single" w:color="DDDDDD" w:sz="2" w:space="0"/>
            </w:tcBorders>
            <w:shd w:val="clear" w:color="auto" w:fill="DBD923"/>
            <w:tcMar>
              <w:top w:w="60" w:type="dxa"/>
              <w:left w:w="60" w:type="dxa"/>
              <w:bottom w:w="60" w:type="dxa"/>
              <w:right w:w="60" w:type="dxa"/>
            </w:tcMar>
            <w:vAlign w:val="center"/>
          </w:tcPr>
          <w:p w14:paraId="265BF1D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53" w:type="dxa"/>
            <w:tcBorders>
              <w:top w:val="single" w:color="DDDDDD" w:sz="2" w:space="0"/>
            </w:tcBorders>
            <w:shd w:val="clear" w:color="auto" w:fill="02C000"/>
            <w:tcMar>
              <w:top w:w="60" w:type="dxa"/>
              <w:left w:w="60" w:type="dxa"/>
              <w:bottom w:w="60" w:type="dxa"/>
              <w:right w:w="60" w:type="dxa"/>
            </w:tcMar>
            <w:vAlign w:val="center"/>
          </w:tcPr>
          <w:p w14:paraId="29CD8EA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00" w:type="dxa"/>
            <w:tcBorders>
              <w:top w:val="single" w:color="DDDDDD" w:sz="2" w:space="0"/>
            </w:tcBorders>
            <w:shd w:val="clear" w:color="auto" w:fill="02C000"/>
            <w:tcMar>
              <w:top w:w="60" w:type="dxa"/>
              <w:left w:w="60" w:type="dxa"/>
              <w:bottom w:w="60" w:type="dxa"/>
              <w:right w:w="60" w:type="dxa"/>
            </w:tcMar>
            <w:vAlign w:val="center"/>
          </w:tcPr>
          <w:p w14:paraId="27D69DA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19" w:type="dxa"/>
            <w:tcBorders>
              <w:top w:val="single" w:color="DDDDDD" w:sz="2" w:space="0"/>
            </w:tcBorders>
            <w:shd w:val="clear" w:color="auto" w:fill="FAFAFA"/>
            <w:tcMar>
              <w:top w:w="60" w:type="dxa"/>
              <w:left w:w="60" w:type="dxa"/>
              <w:bottom w:w="60" w:type="dxa"/>
              <w:right w:w="60" w:type="dxa"/>
            </w:tcMar>
            <w:vAlign w:val="center"/>
          </w:tcPr>
          <w:p w14:paraId="4432567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709" w:type="dxa"/>
            <w:tcBorders>
              <w:top w:val="single" w:color="DDDDDD" w:sz="2" w:space="0"/>
            </w:tcBorders>
            <w:shd w:val="clear" w:color="auto" w:fill="FAFAFA"/>
            <w:tcMar>
              <w:top w:w="60" w:type="dxa"/>
              <w:left w:w="60" w:type="dxa"/>
              <w:bottom w:w="60" w:type="dxa"/>
              <w:right w:w="60" w:type="dxa"/>
            </w:tcMar>
            <w:vAlign w:val="center"/>
          </w:tcPr>
          <w:p w14:paraId="1950477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w:t>
            </w:r>
          </w:p>
        </w:tc>
      </w:tr>
      <w:tr w14:paraId="0FCF0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0" w:hRule="atLeast"/>
        </w:trPr>
        <w:tc>
          <w:tcPr>
            <w:tcW w:w="1199" w:type="dxa"/>
            <w:tcBorders>
              <w:top w:val="single" w:color="DDDDDD" w:sz="2" w:space="0"/>
            </w:tcBorders>
            <w:shd w:val="clear" w:color="auto" w:fill="FAFAFA"/>
            <w:tcMar>
              <w:top w:w="60" w:type="dxa"/>
              <w:left w:w="60" w:type="dxa"/>
              <w:bottom w:w="60" w:type="dxa"/>
              <w:right w:w="60" w:type="dxa"/>
            </w:tcMar>
            <w:vAlign w:val="center"/>
          </w:tcPr>
          <w:p w14:paraId="31D176F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Control vs RT</w:t>
            </w:r>
          </w:p>
        </w:tc>
        <w:tc>
          <w:tcPr>
            <w:tcW w:w="985" w:type="dxa"/>
            <w:tcBorders>
              <w:top w:val="single" w:color="DDDDDD" w:sz="2" w:space="0"/>
            </w:tcBorders>
            <w:shd w:val="clear" w:color="auto" w:fill="FAFAFA"/>
            <w:tcMar>
              <w:top w:w="60" w:type="dxa"/>
              <w:left w:w="60" w:type="dxa"/>
              <w:bottom w:w="60" w:type="dxa"/>
              <w:right w:w="60" w:type="dxa"/>
            </w:tcMar>
            <w:vAlign w:val="center"/>
          </w:tcPr>
          <w:p w14:paraId="462CCBE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1</w:t>
            </w:r>
          </w:p>
        </w:tc>
        <w:tc>
          <w:tcPr>
            <w:tcW w:w="1294" w:type="dxa"/>
            <w:tcBorders>
              <w:top w:val="single" w:color="DDDDDD" w:sz="2" w:space="0"/>
            </w:tcBorders>
            <w:shd w:val="clear" w:color="auto" w:fill="E0DF02"/>
            <w:tcMar>
              <w:top w:w="60" w:type="dxa"/>
              <w:left w:w="60" w:type="dxa"/>
              <w:bottom w:w="60" w:type="dxa"/>
              <w:right w:w="60" w:type="dxa"/>
            </w:tcMar>
            <w:vAlign w:val="center"/>
          </w:tcPr>
          <w:p w14:paraId="09CEBD4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 </w:t>
            </w:r>
            <w:r>
              <w:rPr>
                <w:rFonts w:hint="default" w:ascii="Times New Roman" w:hAnsi="Times New Roman" w:eastAsia="sans-serif" w:cs="Times New Roman"/>
                <w:b w:val="0"/>
                <w:bCs w:val="0"/>
                <w:i w:val="0"/>
                <w:iCs w:val="0"/>
                <w:caps w:val="0"/>
                <w:color w:val="333333"/>
                <w:spacing w:val="0"/>
                <w:kern w:val="0"/>
                <w:sz w:val="21"/>
                <w:szCs w:val="21"/>
                <w:lang w:val="en-US" w:eastAsia="zh-CN" w:bidi="ar"/>
              </w:rPr>
              <mc:AlternateContent>
                <mc:Choice Requires="wps">
                  <w:drawing>
                    <wp:inline distT="0" distB="0" distL="114300" distR="114300">
                      <wp:extent cx="635" cy="0"/>
                      <wp:effectExtent l="0" t="4445" r="8890" b="5080"/>
                      <wp:docPr id="192" name="矩形 1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w="9525" cap="flat" cmpd="sng">
                                <a:solidFill>
                                  <a:srgbClr val="000000"/>
                                </a:solidFill>
                                <a:prstDash val="solid"/>
                                <a:miter/>
                                <a:headEnd type="none" w="med" len="med"/>
                                <a:tailEnd type="none" w="med" len="med"/>
                              </a:ln>
                            </wps:spPr>
                            <wps:bodyPr upright="1"/>
                          </wps:wsp>
                        </a:graphicData>
                      </a:graphic>
                    </wp:inline>
                  </w:drawing>
                </mc:Choice>
                <mc:Fallback>
                  <w:pict>
                    <v:rect id="_x0000_s1026" o:spid="_x0000_s1026" o:spt="1" style="height:0pt;width:0.05pt;" filled="f" stroked="t" coordsize="21600,21600"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nZoXKAQIAABwEAAAOAAAAZHJzL2Uyb0RvYy54bWytU0tuGzEM3RfoHQTt&#10;63FcJGgGHgdB3HQTtAGSHoCWNDNC9IMoe+zTFOiuh+hxil6jlMZ2k3TjRWcxoCjyke+Rml9trWEb&#10;FVF71/CzyZQz5YSX2nUN//p4++4DZ5jASTDeqYbvFPKrxds38yHUauZ7b6SKjEAc1kNoeJ9SqKsK&#10;Ra8s4MQH5eiy9dFComPsKhlhIHRrqtl0elENPsoQvVCI5F2Ol3yPGE8B9G2rhVp6sbbKpRE1KgOJ&#10;KGGvA/JF6bZtlUhf2hZVYqbhxDSVPxUhe5X/1WIOdRch9FrsW4BTWnjFyYJ2VPQItYQEbB31P1BW&#10;i+jRt2kivK1GIkURYnE2faXNQw9BFS4kNYaj6Pj/YMXnzX1kWtImXM44c2Bp5L+//fj18zvLHtJn&#10;CFhT2EO4j5khhjsvnpA5f9OD69Q1BlKZ8nNs9SI4H3Cftm2jzelEmW2L/ruj/mqbmCDnxftzzsTB&#10;X0F9SAoR0yflLctGwyMVLGrD5g5TLgv1ISTXcP5WG1NGaxwbGn55PsvIQOva0pqQaQNRRtcVGPRG&#10;y5xS+MVudWMi20BemfIVZsT8eViutwTsx7hyNS6T1UnFUrtXID86ydIukKiOXhPPzVglOTOKHl+2&#10;SmQCbU6JJJ7G7VUehc0Sr7zc0RDXIequfzEJWpoizn7B81Y+Pxekv4968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U5CpzgAAAP8AAAAPAAAAAAAAAAEAIAAAACIAAABkcnMvZG93bnJldi54bWxQ&#10;SwECFAAUAAAACACHTuJAZ2aFygECAAAcBAAADgAAAAAAAAABACAAAAAdAQAAZHJzL2Uyb0RvYy54&#10;bWxQSwUGAAAAAAYABgBZAQAAkAUAAAAA&#10;">
                      <v:fill on="f" focussize="0,0"/>
                      <v:stroke color="#000000" joinstyle="miter"/>
                      <v:imagedata o:title=""/>
                      <o:lock v:ext="edit" aspectratio="t"/>
                      <w10:wrap type="none"/>
                      <w10:anchorlock/>
                    </v:rect>
                  </w:pict>
                </mc:Fallback>
              </mc:AlternateContent>
            </w:r>
          </w:p>
        </w:tc>
        <w:tc>
          <w:tcPr>
            <w:tcW w:w="1087" w:type="dxa"/>
            <w:tcBorders>
              <w:top w:val="single" w:color="DDDDDD" w:sz="2" w:space="0"/>
            </w:tcBorders>
            <w:shd w:val="clear" w:color="auto" w:fill="02C000"/>
            <w:tcMar>
              <w:top w:w="60" w:type="dxa"/>
              <w:left w:w="60" w:type="dxa"/>
              <w:bottom w:w="60" w:type="dxa"/>
              <w:right w:w="60" w:type="dxa"/>
            </w:tcMar>
            <w:vAlign w:val="center"/>
          </w:tcPr>
          <w:p w14:paraId="60CD2C2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66" w:type="dxa"/>
            <w:tcBorders>
              <w:top w:val="single" w:color="DDDDDD" w:sz="2" w:space="0"/>
            </w:tcBorders>
            <w:shd w:val="clear" w:color="auto" w:fill="02C000"/>
            <w:tcMar>
              <w:top w:w="60" w:type="dxa"/>
              <w:left w:w="60" w:type="dxa"/>
              <w:bottom w:w="60" w:type="dxa"/>
              <w:right w:w="60" w:type="dxa"/>
            </w:tcMar>
            <w:vAlign w:val="center"/>
          </w:tcPr>
          <w:p w14:paraId="605FA87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65" w:type="dxa"/>
            <w:tcBorders>
              <w:top w:val="single" w:color="DDDDDD" w:sz="2" w:space="0"/>
            </w:tcBorders>
            <w:shd w:val="clear" w:color="auto" w:fill="02C000"/>
            <w:tcMar>
              <w:top w:w="60" w:type="dxa"/>
              <w:left w:w="60" w:type="dxa"/>
              <w:bottom w:w="60" w:type="dxa"/>
              <w:right w:w="60" w:type="dxa"/>
            </w:tcMar>
            <w:vAlign w:val="center"/>
          </w:tcPr>
          <w:p w14:paraId="4FFE5EB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453" w:type="dxa"/>
            <w:tcBorders>
              <w:top w:val="single" w:color="DDDDDD" w:sz="2" w:space="0"/>
            </w:tcBorders>
            <w:shd w:val="clear" w:color="auto" w:fill="02C000"/>
            <w:tcMar>
              <w:top w:w="60" w:type="dxa"/>
              <w:left w:w="60" w:type="dxa"/>
              <w:bottom w:w="60" w:type="dxa"/>
              <w:right w:w="60" w:type="dxa"/>
            </w:tcMar>
            <w:vAlign w:val="center"/>
          </w:tcPr>
          <w:p w14:paraId="206F0DF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00" w:type="dxa"/>
            <w:tcBorders>
              <w:top w:val="single" w:color="DDDDDD" w:sz="2" w:space="0"/>
            </w:tcBorders>
            <w:shd w:val="clear" w:color="auto" w:fill="02C000"/>
            <w:tcMar>
              <w:top w:w="60" w:type="dxa"/>
              <w:left w:w="60" w:type="dxa"/>
              <w:bottom w:w="60" w:type="dxa"/>
              <w:right w:w="60" w:type="dxa"/>
            </w:tcMar>
            <w:vAlign w:val="center"/>
          </w:tcPr>
          <w:p w14:paraId="34BA289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19" w:type="dxa"/>
            <w:tcBorders>
              <w:top w:val="single" w:color="DDDDDD" w:sz="2" w:space="0"/>
            </w:tcBorders>
            <w:shd w:val="clear" w:color="auto" w:fill="FAFAFA"/>
            <w:tcMar>
              <w:top w:w="60" w:type="dxa"/>
              <w:left w:w="60" w:type="dxa"/>
              <w:bottom w:w="60" w:type="dxa"/>
              <w:right w:w="60" w:type="dxa"/>
            </w:tcMar>
            <w:vAlign w:val="center"/>
          </w:tcPr>
          <w:p w14:paraId="6BE5220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cyan"/>
                <w:bdr w:val="single" w:color="0C8CE7" w:sz="2" w:space="0"/>
                <w:shd w:val="clear" w:fill="FFFFFF"/>
                <w:lang w:val="en-US" w:eastAsia="zh-CN" w:bidi="ar"/>
              </w:rPr>
              <w:t>Moderate</w:t>
            </w:r>
          </w:p>
        </w:tc>
        <w:tc>
          <w:tcPr>
            <w:tcW w:w="2709" w:type="dxa"/>
            <w:tcBorders>
              <w:top w:val="single" w:color="DDDDDD" w:sz="2" w:space="0"/>
            </w:tcBorders>
            <w:shd w:val="clear" w:color="auto" w:fill="FAFAFA"/>
            <w:tcMar>
              <w:top w:w="60" w:type="dxa"/>
              <w:left w:w="60" w:type="dxa"/>
              <w:bottom w:w="60" w:type="dxa"/>
              <w:right w:w="60" w:type="dxa"/>
            </w:tcMar>
            <w:vAlign w:val="center"/>
          </w:tcPr>
          <w:p w14:paraId="60ECE02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w:t>
            </w:r>
          </w:p>
        </w:tc>
      </w:tr>
      <w:tr w14:paraId="509BA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0" w:hRule="atLeast"/>
        </w:trPr>
        <w:tc>
          <w:tcPr>
            <w:tcW w:w="11268" w:type="dxa"/>
            <w:gridSpan w:val="9"/>
            <w:tcBorders>
              <w:top w:val="single" w:color="DDDDDD" w:sz="2" w:space="0"/>
            </w:tcBorders>
            <w:shd w:val="clear" w:color="auto" w:fill="FAFAFA"/>
            <w:tcMar>
              <w:top w:w="60" w:type="dxa"/>
              <w:left w:w="60" w:type="dxa"/>
              <w:bottom w:w="60" w:type="dxa"/>
              <w:right w:w="60" w:type="dxa"/>
            </w:tcMar>
            <w:vAlign w:val="center"/>
          </w:tcPr>
          <w:p w14:paraId="2E63277B">
            <w:pPr>
              <w:pStyle w:val="2"/>
              <w:keepNext w:val="0"/>
              <w:keepLines w:val="0"/>
              <w:widowControl/>
              <w:suppressLineNumbers w:val="0"/>
              <w:spacing w:before="75" w:beforeAutospacing="0" w:after="75" w:afterAutospacing="0" w:line="8" w:lineRule="atLeast"/>
              <w:jc w:val="center"/>
              <w:rPr>
                <w:rFonts w:hint="default" w:ascii="Times New Roman" w:hAnsi="Times New Roman" w:cs="Times New Roman"/>
                <w:b w:val="0"/>
                <w:bCs w:val="0"/>
                <w:sz w:val="21"/>
                <w:szCs w:val="21"/>
              </w:rPr>
            </w:pPr>
            <w:r>
              <w:rPr>
                <w:rFonts w:hint="default" w:ascii="Times New Roman" w:hAnsi="Times New Roman" w:cs="Times New Roman"/>
                <w:b w:val="0"/>
                <w:bCs w:val="0"/>
                <w:i w:val="0"/>
                <w:iCs w:val="0"/>
                <w:caps w:val="0"/>
                <w:color w:val="333333"/>
                <w:spacing w:val="0"/>
                <w:sz w:val="21"/>
                <w:szCs w:val="21"/>
              </w:rPr>
              <w:t>Indirect evidence</w:t>
            </w:r>
          </w:p>
        </w:tc>
        <w:tc>
          <w:tcPr>
            <w:tcW w:w="2709" w:type="dxa"/>
            <w:shd w:val="clear" w:color="auto" w:fill="FAFAFA"/>
            <w:vAlign w:val="center"/>
          </w:tcPr>
          <w:p w14:paraId="03F3F814">
            <w:pPr>
              <w:jc w:val="center"/>
              <w:rPr>
                <w:rFonts w:hint="default" w:ascii="Times New Roman" w:hAnsi="Times New Roman" w:eastAsia="sans-serif" w:cs="Times New Roman"/>
                <w:b w:val="0"/>
                <w:bCs w:val="0"/>
                <w:i w:val="0"/>
                <w:iCs w:val="0"/>
                <w:caps w:val="0"/>
                <w:color w:val="333333"/>
                <w:spacing w:val="0"/>
                <w:sz w:val="21"/>
                <w:szCs w:val="21"/>
              </w:rPr>
            </w:pPr>
          </w:p>
        </w:tc>
      </w:tr>
      <w:tr w14:paraId="7D2F8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0" w:hRule="atLeast"/>
        </w:trPr>
        <w:tc>
          <w:tcPr>
            <w:tcW w:w="1199" w:type="dxa"/>
            <w:tcBorders>
              <w:top w:val="single" w:color="DDDDDD" w:sz="2" w:space="0"/>
            </w:tcBorders>
            <w:shd w:val="clear" w:color="auto" w:fill="FAFAFA"/>
            <w:tcMar>
              <w:top w:w="60" w:type="dxa"/>
              <w:left w:w="60" w:type="dxa"/>
              <w:bottom w:w="60" w:type="dxa"/>
              <w:right w:w="60" w:type="dxa"/>
            </w:tcMar>
            <w:vAlign w:val="center"/>
          </w:tcPr>
          <w:p w14:paraId="5ED17C6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ATRT vs IET</w:t>
            </w:r>
          </w:p>
        </w:tc>
        <w:tc>
          <w:tcPr>
            <w:tcW w:w="985" w:type="dxa"/>
            <w:tcBorders>
              <w:top w:val="single" w:color="DDDDDD" w:sz="2" w:space="0"/>
            </w:tcBorders>
            <w:shd w:val="clear" w:color="auto" w:fill="FAFAFA"/>
            <w:tcMar>
              <w:top w:w="60" w:type="dxa"/>
              <w:left w:w="60" w:type="dxa"/>
              <w:bottom w:w="60" w:type="dxa"/>
              <w:right w:w="60" w:type="dxa"/>
            </w:tcMar>
            <w:vAlign w:val="center"/>
          </w:tcPr>
          <w:p w14:paraId="18D66FC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94" w:type="dxa"/>
            <w:tcBorders>
              <w:top w:val="single" w:color="DDDDDD" w:sz="2" w:space="0"/>
            </w:tcBorders>
            <w:shd w:val="clear" w:color="auto" w:fill="02C000"/>
            <w:tcMar>
              <w:top w:w="60" w:type="dxa"/>
              <w:left w:w="60" w:type="dxa"/>
              <w:bottom w:w="60" w:type="dxa"/>
              <w:right w:w="60" w:type="dxa"/>
            </w:tcMar>
            <w:vAlign w:val="center"/>
          </w:tcPr>
          <w:p w14:paraId="5615403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087" w:type="dxa"/>
            <w:tcBorders>
              <w:top w:val="single" w:color="DDDDDD" w:sz="2" w:space="0"/>
            </w:tcBorders>
            <w:shd w:val="clear" w:color="auto" w:fill="02C000"/>
            <w:tcMar>
              <w:top w:w="60" w:type="dxa"/>
              <w:left w:w="60" w:type="dxa"/>
              <w:bottom w:w="60" w:type="dxa"/>
              <w:right w:w="60" w:type="dxa"/>
            </w:tcMar>
            <w:vAlign w:val="center"/>
          </w:tcPr>
          <w:p w14:paraId="1E311C5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66" w:type="dxa"/>
            <w:tcBorders>
              <w:top w:val="single" w:color="DDDDDD" w:sz="2" w:space="0"/>
            </w:tcBorders>
            <w:shd w:val="clear" w:color="auto" w:fill="02C000"/>
            <w:tcMar>
              <w:top w:w="60" w:type="dxa"/>
              <w:left w:w="60" w:type="dxa"/>
              <w:bottom w:w="60" w:type="dxa"/>
              <w:right w:w="60" w:type="dxa"/>
            </w:tcMar>
            <w:vAlign w:val="center"/>
          </w:tcPr>
          <w:p w14:paraId="6706345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65" w:type="dxa"/>
            <w:tcBorders>
              <w:top w:val="single" w:color="DDDDDD" w:sz="2" w:space="0"/>
            </w:tcBorders>
            <w:shd w:val="clear" w:color="auto" w:fill="DBD923"/>
            <w:tcMar>
              <w:top w:w="60" w:type="dxa"/>
              <w:left w:w="60" w:type="dxa"/>
              <w:bottom w:w="60" w:type="dxa"/>
              <w:right w:w="60" w:type="dxa"/>
            </w:tcMar>
            <w:vAlign w:val="center"/>
          </w:tcPr>
          <w:p w14:paraId="662D3CE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53" w:type="dxa"/>
            <w:tcBorders>
              <w:top w:val="single" w:color="DDDDDD" w:sz="2" w:space="0"/>
            </w:tcBorders>
            <w:shd w:val="clear" w:color="auto" w:fill="02C000"/>
            <w:tcMar>
              <w:top w:w="60" w:type="dxa"/>
              <w:left w:w="60" w:type="dxa"/>
              <w:bottom w:w="60" w:type="dxa"/>
              <w:right w:w="60" w:type="dxa"/>
            </w:tcMar>
            <w:vAlign w:val="center"/>
          </w:tcPr>
          <w:p w14:paraId="4C58AF4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00" w:type="dxa"/>
            <w:tcBorders>
              <w:top w:val="single" w:color="DDDDDD" w:sz="2" w:space="0"/>
            </w:tcBorders>
            <w:shd w:val="clear" w:color="auto" w:fill="02C000"/>
            <w:tcMar>
              <w:top w:w="60" w:type="dxa"/>
              <w:left w:w="60" w:type="dxa"/>
              <w:bottom w:w="60" w:type="dxa"/>
              <w:right w:w="60" w:type="dxa"/>
            </w:tcMar>
            <w:vAlign w:val="center"/>
          </w:tcPr>
          <w:p w14:paraId="78860CC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19" w:type="dxa"/>
            <w:tcBorders>
              <w:top w:val="single" w:color="DDDDDD" w:sz="2" w:space="0"/>
            </w:tcBorders>
            <w:shd w:val="clear" w:color="auto" w:fill="FAFAFA"/>
            <w:tcMar>
              <w:top w:w="60" w:type="dxa"/>
              <w:left w:w="60" w:type="dxa"/>
              <w:bottom w:w="60" w:type="dxa"/>
              <w:right w:w="60" w:type="dxa"/>
            </w:tcMar>
            <w:vAlign w:val="center"/>
          </w:tcPr>
          <w:p w14:paraId="05E975E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cyan"/>
                <w:bdr w:val="single" w:color="0C8CE7" w:sz="2" w:space="0"/>
                <w:shd w:val="clear" w:fill="FFFFFF"/>
                <w:lang w:val="en-US" w:eastAsia="zh-CN" w:bidi="ar"/>
              </w:rPr>
              <w:t>Moderate</w:t>
            </w:r>
          </w:p>
        </w:tc>
        <w:tc>
          <w:tcPr>
            <w:tcW w:w="2709" w:type="dxa"/>
            <w:tcBorders>
              <w:top w:val="single" w:color="DDDDDD" w:sz="2" w:space="0"/>
            </w:tcBorders>
            <w:shd w:val="clear" w:color="auto" w:fill="FAFAFA"/>
            <w:tcMar>
              <w:top w:w="60" w:type="dxa"/>
              <w:left w:w="60" w:type="dxa"/>
              <w:bottom w:w="60" w:type="dxa"/>
              <w:right w:w="60" w:type="dxa"/>
            </w:tcMar>
            <w:vAlign w:val="center"/>
          </w:tcPr>
          <w:p w14:paraId="1CBF929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lang w:val="en-US"/>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Imprecision |</w:t>
            </w:r>
          </w:p>
        </w:tc>
      </w:tr>
      <w:tr w14:paraId="7508E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0" w:hRule="atLeast"/>
        </w:trPr>
        <w:tc>
          <w:tcPr>
            <w:tcW w:w="1199" w:type="dxa"/>
            <w:tcBorders>
              <w:top w:val="single" w:color="DDDDDD" w:sz="2" w:space="0"/>
            </w:tcBorders>
            <w:shd w:val="clear" w:color="auto" w:fill="FAFAFA"/>
            <w:tcMar>
              <w:top w:w="60" w:type="dxa"/>
              <w:left w:w="60" w:type="dxa"/>
              <w:bottom w:w="60" w:type="dxa"/>
              <w:right w:w="60" w:type="dxa"/>
            </w:tcMar>
            <w:vAlign w:val="center"/>
          </w:tcPr>
          <w:p w14:paraId="1228EF5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ATRT vs MICT</w:t>
            </w:r>
          </w:p>
        </w:tc>
        <w:tc>
          <w:tcPr>
            <w:tcW w:w="985" w:type="dxa"/>
            <w:tcBorders>
              <w:top w:val="single" w:color="DDDDDD" w:sz="2" w:space="0"/>
            </w:tcBorders>
            <w:shd w:val="clear" w:color="auto" w:fill="FAFAFA"/>
            <w:tcMar>
              <w:top w:w="60" w:type="dxa"/>
              <w:left w:w="60" w:type="dxa"/>
              <w:bottom w:w="60" w:type="dxa"/>
              <w:right w:w="60" w:type="dxa"/>
            </w:tcMar>
            <w:vAlign w:val="center"/>
          </w:tcPr>
          <w:p w14:paraId="55DA049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94" w:type="dxa"/>
            <w:tcBorders>
              <w:top w:val="single" w:color="DDDDDD" w:sz="2" w:space="0"/>
            </w:tcBorders>
            <w:shd w:val="clear" w:color="auto" w:fill="E0DF02"/>
            <w:tcMar>
              <w:top w:w="60" w:type="dxa"/>
              <w:left w:w="60" w:type="dxa"/>
              <w:bottom w:w="60" w:type="dxa"/>
              <w:right w:w="60" w:type="dxa"/>
            </w:tcMar>
            <w:vAlign w:val="center"/>
          </w:tcPr>
          <w:p w14:paraId="4804642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 </w:t>
            </w:r>
            <w:r>
              <w:rPr>
                <w:rFonts w:hint="default" w:ascii="Times New Roman" w:hAnsi="Times New Roman" w:eastAsia="sans-serif" w:cs="Times New Roman"/>
                <w:b w:val="0"/>
                <w:bCs w:val="0"/>
                <w:i w:val="0"/>
                <w:iCs w:val="0"/>
                <w:caps w:val="0"/>
                <w:color w:val="333333"/>
                <w:spacing w:val="0"/>
                <w:kern w:val="0"/>
                <w:sz w:val="21"/>
                <w:szCs w:val="21"/>
                <w:lang w:val="en-US" w:eastAsia="zh-CN" w:bidi="ar"/>
              </w:rPr>
              <mc:AlternateContent>
                <mc:Choice Requires="wps">
                  <w:drawing>
                    <wp:inline distT="0" distB="0" distL="114300" distR="114300">
                      <wp:extent cx="635" cy="0"/>
                      <wp:effectExtent l="0" t="4445" r="8890" b="5080"/>
                      <wp:docPr id="197" name="矩形 1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w="9525" cap="flat" cmpd="sng">
                                <a:solidFill>
                                  <a:srgbClr val="000000"/>
                                </a:solidFill>
                                <a:prstDash val="solid"/>
                                <a:miter/>
                                <a:headEnd type="none" w="med" len="med"/>
                                <a:tailEnd type="none" w="med" len="med"/>
                              </a:ln>
                            </wps:spPr>
                            <wps:bodyPr upright="1"/>
                          </wps:wsp>
                        </a:graphicData>
                      </a:graphic>
                    </wp:inline>
                  </w:drawing>
                </mc:Choice>
                <mc:Fallback>
                  <w:pict>
                    <v:rect id="_x0000_s1026" o:spid="_x0000_s1026" o:spt="1" style="height:0pt;width:0.05pt;" filled="f" stroked="t" coordsize="21600,21600"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uLcj/AQIAABwEAAAOAAAAZHJzL2Uyb0RvYy54bWytU0tuGzEM3RfoHQTt&#10;63FcJG0GHgdF3HQTtAHSHoCWNDNC9YMoe+zTFOiuh+hxil6jlMZ289l4kVkMKIp85Huk5ldba9hG&#10;RdTeNfxsMuVMOeGldl3Dv329efOeM0zgJBjvVMN3CvnV4vWr+RBqNfO9N1JFRiAO6yE0vE8p1FWF&#10;olcWcOKDcnTZ+mgh0TF2lYwwELo11Ww6vagGH2WIXihE8i7HS75HjKcA+rbVQi29WFvl0ogalYFE&#10;lLDXAfmidNu2SqQvbYsqMdNwYprKn4qQvcr/ajGHuosQei32LcApLTzhZEE7KnqEWkICto76GZTV&#10;Inr0bZoIb6uRSFGEWJxNn2hz30NQhQtJjeEoOr4crPi8uYtMS9qEy3ecObA08r8/fv35/ZNlD+kz&#10;BKwp7D7cxcwQw60X35E5f92D69QHDKQy5efY6lFwPuA+bdtGm9OJMtsW/XdH/dU2MUHOi7fnnImD&#10;v4L6kBQipk/KW5aNhkcqWNSGzS2mXBbqQ0iu4fyNNqaM1jg2NPzyfJaRgda1pTUh0waijK4rMOiN&#10;ljml8Ivd6tpEtoG8MuUrzIj5w7BcbwnYj3Hlalwmq5OKpXavQH50kqVdIFEdvSaem7FKcmYUPb5s&#10;lcgE2pwSSTyN26s8CpslXnm5oyGuQ9Rd/2gStDRFnP2C5618eC5I/x/14h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U5CpzgAAAP8AAAAPAAAAAAAAAAEAIAAAACIAAABkcnMvZG93bnJldi54bWxQ&#10;SwECFAAUAAAACACHTuJAbi3I/wECAAAcBAAADgAAAAAAAAABACAAAAAdAQAAZHJzL2Uyb0RvYy54&#10;bWxQSwUGAAAAAAYABgBZAQAAkAUAAAAA&#10;">
                      <v:fill on="f" focussize="0,0"/>
                      <v:stroke color="#000000" joinstyle="miter"/>
                      <v:imagedata o:title=""/>
                      <o:lock v:ext="edit" aspectratio="t"/>
                      <w10:wrap type="none"/>
                      <w10:anchorlock/>
                    </v:rect>
                  </w:pict>
                </mc:Fallback>
              </mc:AlternateContent>
            </w:r>
          </w:p>
        </w:tc>
        <w:tc>
          <w:tcPr>
            <w:tcW w:w="1087" w:type="dxa"/>
            <w:tcBorders>
              <w:top w:val="single" w:color="DDDDDD" w:sz="2" w:space="0"/>
            </w:tcBorders>
            <w:shd w:val="clear" w:color="auto" w:fill="02C000"/>
            <w:tcMar>
              <w:top w:w="60" w:type="dxa"/>
              <w:left w:w="60" w:type="dxa"/>
              <w:bottom w:w="60" w:type="dxa"/>
              <w:right w:w="60" w:type="dxa"/>
            </w:tcMar>
            <w:vAlign w:val="center"/>
          </w:tcPr>
          <w:p w14:paraId="23AD382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66" w:type="dxa"/>
            <w:tcBorders>
              <w:top w:val="single" w:color="DDDDDD" w:sz="2" w:space="0"/>
            </w:tcBorders>
            <w:shd w:val="clear" w:color="auto" w:fill="02C000"/>
            <w:tcMar>
              <w:top w:w="60" w:type="dxa"/>
              <w:left w:w="60" w:type="dxa"/>
              <w:bottom w:w="60" w:type="dxa"/>
              <w:right w:w="60" w:type="dxa"/>
            </w:tcMar>
            <w:vAlign w:val="center"/>
          </w:tcPr>
          <w:p w14:paraId="0E3C21EB">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65" w:type="dxa"/>
            <w:tcBorders>
              <w:top w:val="single" w:color="DDDDDD" w:sz="2" w:space="0"/>
            </w:tcBorders>
            <w:shd w:val="clear" w:color="auto" w:fill="DBD923"/>
            <w:tcMar>
              <w:top w:w="60" w:type="dxa"/>
              <w:left w:w="60" w:type="dxa"/>
              <w:bottom w:w="60" w:type="dxa"/>
              <w:right w:w="60" w:type="dxa"/>
            </w:tcMar>
            <w:vAlign w:val="center"/>
          </w:tcPr>
          <w:p w14:paraId="2148AD0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53" w:type="dxa"/>
            <w:tcBorders>
              <w:top w:val="single" w:color="DDDDDD" w:sz="2" w:space="0"/>
            </w:tcBorders>
            <w:shd w:val="clear" w:color="auto" w:fill="02C000"/>
            <w:tcMar>
              <w:top w:w="60" w:type="dxa"/>
              <w:left w:w="60" w:type="dxa"/>
              <w:bottom w:w="60" w:type="dxa"/>
              <w:right w:w="60" w:type="dxa"/>
            </w:tcMar>
            <w:vAlign w:val="center"/>
          </w:tcPr>
          <w:p w14:paraId="6C997FE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00" w:type="dxa"/>
            <w:tcBorders>
              <w:top w:val="single" w:color="DDDDDD" w:sz="2" w:space="0"/>
            </w:tcBorders>
            <w:shd w:val="clear" w:color="auto" w:fill="02C000"/>
            <w:tcMar>
              <w:top w:w="60" w:type="dxa"/>
              <w:left w:w="60" w:type="dxa"/>
              <w:bottom w:w="60" w:type="dxa"/>
              <w:right w:w="60" w:type="dxa"/>
            </w:tcMar>
            <w:vAlign w:val="center"/>
          </w:tcPr>
          <w:p w14:paraId="5B99695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19" w:type="dxa"/>
            <w:tcBorders>
              <w:top w:val="single" w:color="DDDDDD" w:sz="2" w:space="0"/>
            </w:tcBorders>
            <w:shd w:val="clear" w:color="auto" w:fill="FAFAFA"/>
            <w:tcMar>
              <w:top w:w="60" w:type="dxa"/>
              <w:left w:w="60" w:type="dxa"/>
              <w:bottom w:w="60" w:type="dxa"/>
              <w:right w:w="60" w:type="dxa"/>
            </w:tcMar>
            <w:vAlign w:val="center"/>
          </w:tcPr>
          <w:p w14:paraId="5300C6B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709" w:type="dxa"/>
            <w:tcBorders>
              <w:top w:val="single" w:color="DDDDDD" w:sz="2" w:space="0"/>
            </w:tcBorders>
            <w:shd w:val="clear" w:color="auto" w:fill="FAFAFA"/>
            <w:tcMar>
              <w:top w:w="60" w:type="dxa"/>
              <w:left w:w="60" w:type="dxa"/>
              <w:bottom w:w="60" w:type="dxa"/>
              <w:right w:w="60" w:type="dxa"/>
            </w:tcMar>
            <w:vAlign w:val="center"/>
          </w:tcPr>
          <w:p w14:paraId="09E9F6F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w:t>
            </w:r>
          </w:p>
        </w:tc>
      </w:tr>
      <w:tr w14:paraId="2C9D8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0" w:hRule="atLeast"/>
        </w:trPr>
        <w:tc>
          <w:tcPr>
            <w:tcW w:w="1199" w:type="dxa"/>
            <w:tcBorders>
              <w:top w:val="single" w:color="DDDDDD" w:sz="2" w:space="0"/>
            </w:tcBorders>
            <w:shd w:val="clear" w:color="auto" w:fill="FAFAFA"/>
            <w:tcMar>
              <w:top w:w="60" w:type="dxa"/>
              <w:left w:w="60" w:type="dxa"/>
              <w:bottom w:w="60" w:type="dxa"/>
              <w:right w:w="60" w:type="dxa"/>
            </w:tcMar>
            <w:vAlign w:val="center"/>
          </w:tcPr>
          <w:p w14:paraId="55D85B9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ATRT vs RT</w:t>
            </w:r>
          </w:p>
        </w:tc>
        <w:tc>
          <w:tcPr>
            <w:tcW w:w="985" w:type="dxa"/>
            <w:tcBorders>
              <w:top w:val="single" w:color="DDDDDD" w:sz="2" w:space="0"/>
            </w:tcBorders>
            <w:shd w:val="clear" w:color="auto" w:fill="FAFAFA"/>
            <w:tcMar>
              <w:top w:w="60" w:type="dxa"/>
              <w:left w:w="60" w:type="dxa"/>
              <w:bottom w:w="60" w:type="dxa"/>
              <w:right w:w="60" w:type="dxa"/>
            </w:tcMar>
            <w:vAlign w:val="center"/>
          </w:tcPr>
          <w:p w14:paraId="5E2D0C59">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94" w:type="dxa"/>
            <w:tcBorders>
              <w:top w:val="single" w:color="DDDDDD" w:sz="2" w:space="0"/>
            </w:tcBorders>
            <w:shd w:val="clear" w:color="auto" w:fill="E0DF02"/>
            <w:tcMar>
              <w:top w:w="60" w:type="dxa"/>
              <w:left w:w="60" w:type="dxa"/>
              <w:bottom w:w="60" w:type="dxa"/>
              <w:right w:w="60" w:type="dxa"/>
            </w:tcMar>
            <w:vAlign w:val="center"/>
          </w:tcPr>
          <w:p w14:paraId="791DC8B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 </w:t>
            </w:r>
            <w:r>
              <w:rPr>
                <w:rFonts w:hint="default" w:ascii="Times New Roman" w:hAnsi="Times New Roman" w:eastAsia="sans-serif" w:cs="Times New Roman"/>
                <w:b w:val="0"/>
                <w:bCs w:val="0"/>
                <w:i w:val="0"/>
                <w:iCs w:val="0"/>
                <w:caps w:val="0"/>
                <w:color w:val="333333"/>
                <w:spacing w:val="0"/>
                <w:kern w:val="0"/>
                <w:sz w:val="21"/>
                <w:szCs w:val="21"/>
                <w:lang w:val="en-US" w:eastAsia="zh-CN" w:bidi="ar"/>
              </w:rPr>
              <mc:AlternateContent>
                <mc:Choice Requires="wps">
                  <w:drawing>
                    <wp:inline distT="0" distB="0" distL="114300" distR="114300">
                      <wp:extent cx="635" cy="0"/>
                      <wp:effectExtent l="0" t="4445" r="8890" b="5080"/>
                      <wp:docPr id="191" name="矩形 1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w="9525" cap="flat" cmpd="sng">
                                <a:solidFill>
                                  <a:srgbClr val="000000"/>
                                </a:solidFill>
                                <a:prstDash val="solid"/>
                                <a:miter/>
                                <a:headEnd type="none" w="med" len="med"/>
                                <a:tailEnd type="none" w="med" len="med"/>
                              </a:ln>
                            </wps:spPr>
                            <wps:bodyPr upright="1"/>
                          </wps:wsp>
                        </a:graphicData>
                      </a:graphic>
                    </wp:inline>
                  </w:drawing>
                </mc:Choice>
                <mc:Fallback>
                  <w:pict>
                    <v:rect id="_x0000_s1026" o:spid="_x0000_s1026" o:spt="1" style="height:0pt;width:0.05pt;" filled="f" stroked="t" coordsize="21600,21600"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gX77ZAQIAABwEAAAOAAAAZHJzL2Uyb0RvYy54bWytU81uEzEQviPxDpbv&#10;ZJOgVnSVTYUayqWCSi0PMLG9uxb+k8fJJk+DxI2H4HEQr8HYm4S2XHJgD6vxeOab+b4ZL6531rCt&#10;iqi9a/hsMuVMOeGldl3DvzzevnnHGSZwEox3quF7hfx6+frVYgi1mvveG6kiIxCH9RAa3qcU6qpC&#10;0SsLOPFBObpsfbSQ6Bi7SkYYCN2aaj6dXlaDjzJELxQieVfjJT8gxnMAfdtqoVZebKxyaUSNykAi&#10;StjrgHxZum1bJdLntkWVmGk4MU3lT0XIXud/tVxA3UUIvRaHFuCcFl5wsqAdFT1BrSAB20T9D5TV&#10;Inr0bZoIb6uRSFGEWMymL7R56CGowoWkxnASHf8frPi0vY9MS9qEqxlnDiyN/Pe3H79+fmfZQ/oM&#10;AWsKewj3MTPEcOfFV2TO3/TgOvUeA6lM+Tm2ehacD3hI27XR5nSizHZF//1Jf7VLTJDz8u0FZ+Lo&#10;r6A+JoWI6aPylmWj4ZEKFrVhe4cpl4X6GJJrOH+rjSmjNY4NDb+6mGdkoHVtaU3ItIEoo+sKDHqj&#10;ZU4p/GK3vjGRbSGvTPkKM2L+NCzXWwH2Y1y5GpfJ6qRiqd0rkB+cZGkfSFRHr4nnZqySnBlFjy9b&#10;JTKBNudEEk/jDiqPwmaJ117uaYibEHXXP5sELU0R57DgeSufngvS30e9/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U5CpzgAAAP8AAAAPAAAAAAAAAAEAIAAAACIAAABkcnMvZG93bnJldi54bWxQ&#10;SwECFAAUAAAACACHTuJAYF++2QECAAAcBAAADgAAAAAAAAABACAAAAAdAQAAZHJzL2Uyb0RvYy54&#10;bWxQSwUGAAAAAAYABgBZAQAAkAUAAAAA&#10;">
                      <v:fill on="f" focussize="0,0"/>
                      <v:stroke color="#000000" joinstyle="miter"/>
                      <v:imagedata o:title=""/>
                      <o:lock v:ext="edit" aspectratio="t"/>
                      <w10:wrap type="none"/>
                      <w10:anchorlock/>
                    </v:rect>
                  </w:pict>
                </mc:Fallback>
              </mc:AlternateContent>
            </w:r>
          </w:p>
        </w:tc>
        <w:tc>
          <w:tcPr>
            <w:tcW w:w="1087" w:type="dxa"/>
            <w:tcBorders>
              <w:top w:val="single" w:color="DDDDDD" w:sz="2" w:space="0"/>
            </w:tcBorders>
            <w:shd w:val="clear" w:color="auto" w:fill="02C000"/>
            <w:tcMar>
              <w:top w:w="60" w:type="dxa"/>
              <w:left w:w="60" w:type="dxa"/>
              <w:bottom w:w="60" w:type="dxa"/>
              <w:right w:w="60" w:type="dxa"/>
            </w:tcMar>
            <w:vAlign w:val="center"/>
          </w:tcPr>
          <w:p w14:paraId="3E1BE0C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66" w:type="dxa"/>
            <w:tcBorders>
              <w:top w:val="single" w:color="DDDDDD" w:sz="2" w:space="0"/>
            </w:tcBorders>
            <w:shd w:val="clear" w:color="auto" w:fill="02C000"/>
            <w:tcMar>
              <w:top w:w="60" w:type="dxa"/>
              <w:left w:w="60" w:type="dxa"/>
              <w:bottom w:w="60" w:type="dxa"/>
              <w:right w:w="60" w:type="dxa"/>
            </w:tcMar>
            <w:vAlign w:val="center"/>
          </w:tcPr>
          <w:p w14:paraId="08F6121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65" w:type="dxa"/>
            <w:tcBorders>
              <w:top w:val="single" w:color="DDDDDD" w:sz="2" w:space="0"/>
            </w:tcBorders>
            <w:shd w:val="clear" w:color="auto" w:fill="DBD923"/>
            <w:tcMar>
              <w:top w:w="60" w:type="dxa"/>
              <w:left w:w="60" w:type="dxa"/>
              <w:bottom w:w="60" w:type="dxa"/>
              <w:right w:w="60" w:type="dxa"/>
            </w:tcMar>
            <w:vAlign w:val="center"/>
          </w:tcPr>
          <w:p w14:paraId="53FC3AE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53" w:type="dxa"/>
            <w:tcBorders>
              <w:top w:val="single" w:color="DDDDDD" w:sz="2" w:space="0"/>
            </w:tcBorders>
            <w:shd w:val="clear" w:color="auto" w:fill="02C000"/>
            <w:tcMar>
              <w:top w:w="60" w:type="dxa"/>
              <w:left w:w="60" w:type="dxa"/>
              <w:bottom w:w="60" w:type="dxa"/>
              <w:right w:w="60" w:type="dxa"/>
            </w:tcMar>
            <w:vAlign w:val="center"/>
          </w:tcPr>
          <w:p w14:paraId="4504C27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00" w:type="dxa"/>
            <w:tcBorders>
              <w:top w:val="single" w:color="DDDDDD" w:sz="2" w:space="0"/>
            </w:tcBorders>
            <w:shd w:val="clear" w:color="auto" w:fill="02C000"/>
            <w:tcMar>
              <w:top w:w="60" w:type="dxa"/>
              <w:left w:w="60" w:type="dxa"/>
              <w:bottom w:w="60" w:type="dxa"/>
              <w:right w:w="60" w:type="dxa"/>
            </w:tcMar>
            <w:vAlign w:val="center"/>
          </w:tcPr>
          <w:p w14:paraId="2381AA9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19" w:type="dxa"/>
            <w:tcBorders>
              <w:top w:val="single" w:color="DDDDDD" w:sz="2" w:space="0"/>
            </w:tcBorders>
            <w:shd w:val="clear" w:color="auto" w:fill="FAFAFA"/>
            <w:tcMar>
              <w:top w:w="60" w:type="dxa"/>
              <w:left w:w="60" w:type="dxa"/>
              <w:bottom w:w="60" w:type="dxa"/>
              <w:right w:w="60" w:type="dxa"/>
            </w:tcMar>
            <w:vAlign w:val="center"/>
          </w:tcPr>
          <w:p w14:paraId="3F56067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709" w:type="dxa"/>
            <w:tcBorders>
              <w:top w:val="single" w:color="DDDDDD" w:sz="2" w:space="0"/>
            </w:tcBorders>
            <w:shd w:val="clear" w:color="auto" w:fill="FAFAFA"/>
            <w:tcMar>
              <w:top w:w="60" w:type="dxa"/>
              <w:left w:w="60" w:type="dxa"/>
              <w:bottom w:w="60" w:type="dxa"/>
              <w:right w:w="60" w:type="dxa"/>
            </w:tcMar>
            <w:vAlign w:val="center"/>
          </w:tcPr>
          <w:p w14:paraId="1AF3612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w:t>
            </w:r>
          </w:p>
        </w:tc>
      </w:tr>
      <w:tr w14:paraId="2A718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0" w:hRule="atLeast"/>
        </w:trPr>
        <w:tc>
          <w:tcPr>
            <w:tcW w:w="1199" w:type="dxa"/>
            <w:tcBorders>
              <w:top w:val="single" w:color="DDDDDD" w:sz="2" w:space="0"/>
            </w:tcBorders>
            <w:shd w:val="clear" w:color="auto" w:fill="FAFAFA"/>
            <w:tcMar>
              <w:top w:w="60" w:type="dxa"/>
              <w:left w:w="60" w:type="dxa"/>
              <w:bottom w:w="60" w:type="dxa"/>
              <w:right w:w="60" w:type="dxa"/>
            </w:tcMar>
            <w:vAlign w:val="center"/>
          </w:tcPr>
          <w:p w14:paraId="38C3E66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IET vs MICT</w:t>
            </w:r>
          </w:p>
        </w:tc>
        <w:tc>
          <w:tcPr>
            <w:tcW w:w="985" w:type="dxa"/>
            <w:tcBorders>
              <w:top w:val="single" w:color="DDDDDD" w:sz="2" w:space="0"/>
            </w:tcBorders>
            <w:shd w:val="clear" w:color="auto" w:fill="FAFAFA"/>
            <w:tcMar>
              <w:top w:w="60" w:type="dxa"/>
              <w:left w:w="60" w:type="dxa"/>
              <w:bottom w:w="60" w:type="dxa"/>
              <w:right w:w="60" w:type="dxa"/>
            </w:tcMar>
            <w:vAlign w:val="center"/>
          </w:tcPr>
          <w:p w14:paraId="561D077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94" w:type="dxa"/>
            <w:tcBorders>
              <w:top w:val="single" w:color="DDDDDD" w:sz="2" w:space="0"/>
            </w:tcBorders>
            <w:shd w:val="clear" w:color="auto" w:fill="02C000"/>
            <w:tcMar>
              <w:top w:w="60" w:type="dxa"/>
              <w:left w:w="60" w:type="dxa"/>
              <w:bottom w:w="60" w:type="dxa"/>
              <w:right w:w="60" w:type="dxa"/>
            </w:tcMar>
            <w:vAlign w:val="center"/>
          </w:tcPr>
          <w:p w14:paraId="6219671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087" w:type="dxa"/>
            <w:tcBorders>
              <w:top w:val="single" w:color="DDDDDD" w:sz="2" w:space="0"/>
            </w:tcBorders>
            <w:shd w:val="clear" w:color="auto" w:fill="02C000"/>
            <w:tcMar>
              <w:top w:w="60" w:type="dxa"/>
              <w:left w:w="60" w:type="dxa"/>
              <w:bottom w:w="60" w:type="dxa"/>
              <w:right w:w="60" w:type="dxa"/>
            </w:tcMar>
            <w:vAlign w:val="center"/>
          </w:tcPr>
          <w:p w14:paraId="66CB932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66" w:type="dxa"/>
            <w:tcBorders>
              <w:top w:val="single" w:color="DDDDDD" w:sz="2" w:space="0"/>
            </w:tcBorders>
            <w:shd w:val="clear" w:color="auto" w:fill="02C000"/>
            <w:tcMar>
              <w:top w:w="60" w:type="dxa"/>
              <w:left w:w="60" w:type="dxa"/>
              <w:bottom w:w="60" w:type="dxa"/>
              <w:right w:w="60" w:type="dxa"/>
            </w:tcMar>
            <w:vAlign w:val="center"/>
          </w:tcPr>
          <w:p w14:paraId="34EB4B7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65" w:type="dxa"/>
            <w:tcBorders>
              <w:top w:val="single" w:color="DDDDDD" w:sz="2" w:space="0"/>
            </w:tcBorders>
            <w:shd w:val="clear" w:color="auto" w:fill="DBD923"/>
            <w:tcMar>
              <w:top w:w="60" w:type="dxa"/>
              <w:left w:w="60" w:type="dxa"/>
              <w:bottom w:w="60" w:type="dxa"/>
              <w:right w:w="60" w:type="dxa"/>
            </w:tcMar>
            <w:vAlign w:val="center"/>
          </w:tcPr>
          <w:p w14:paraId="404DDE28">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53" w:type="dxa"/>
            <w:tcBorders>
              <w:top w:val="single" w:color="DDDDDD" w:sz="2" w:space="0"/>
            </w:tcBorders>
            <w:shd w:val="clear" w:color="auto" w:fill="02C000"/>
            <w:tcMar>
              <w:top w:w="60" w:type="dxa"/>
              <w:left w:w="60" w:type="dxa"/>
              <w:bottom w:w="60" w:type="dxa"/>
              <w:right w:w="60" w:type="dxa"/>
            </w:tcMar>
            <w:vAlign w:val="center"/>
          </w:tcPr>
          <w:p w14:paraId="6EB24A1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00" w:type="dxa"/>
            <w:tcBorders>
              <w:top w:val="single" w:color="DDDDDD" w:sz="2" w:space="0"/>
            </w:tcBorders>
            <w:shd w:val="clear" w:color="auto" w:fill="02C000"/>
            <w:tcMar>
              <w:top w:w="60" w:type="dxa"/>
              <w:left w:w="60" w:type="dxa"/>
              <w:bottom w:w="60" w:type="dxa"/>
              <w:right w:w="60" w:type="dxa"/>
            </w:tcMar>
            <w:vAlign w:val="center"/>
          </w:tcPr>
          <w:p w14:paraId="22D9B9F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19" w:type="dxa"/>
            <w:tcBorders>
              <w:top w:val="single" w:color="DDDDDD" w:sz="2" w:space="0"/>
            </w:tcBorders>
            <w:shd w:val="clear" w:color="auto" w:fill="FAFAFA"/>
            <w:tcMar>
              <w:top w:w="60" w:type="dxa"/>
              <w:left w:w="60" w:type="dxa"/>
              <w:bottom w:w="60" w:type="dxa"/>
              <w:right w:w="60" w:type="dxa"/>
            </w:tcMar>
            <w:vAlign w:val="center"/>
          </w:tcPr>
          <w:p w14:paraId="09781365">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cyan"/>
                <w:bdr w:val="single" w:color="0C8CE7" w:sz="2" w:space="0"/>
                <w:shd w:val="clear" w:fill="FFFFFF"/>
                <w:lang w:val="en-US" w:eastAsia="zh-CN" w:bidi="ar"/>
              </w:rPr>
              <w:t>Moderate</w:t>
            </w:r>
          </w:p>
        </w:tc>
        <w:tc>
          <w:tcPr>
            <w:tcW w:w="2709" w:type="dxa"/>
            <w:tcBorders>
              <w:top w:val="single" w:color="DDDDDD" w:sz="2" w:space="0"/>
            </w:tcBorders>
            <w:shd w:val="clear" w:color="auto" w:fill="FAFAFA"/>
            <w:tcMar>
              <w:top w:w="60" w:type="dxa"/>
              <w:left w:w="60" w:type="dxa"/>
              <w:bottom w:w="60" w:type="dxa"/>
              <w:right w:w="60" w:type="dxa"/>
            </w:tcMar>
            <w:vAlign w:val="center"/>
          </w:tcPr>
          <w:p w14:paraId="732422C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Imprecision |</w:t>
            </w:r>
          </w:p>
        </w:tc>
      </w:tr>
      <w:tr w14:paraId="194FC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0" w:hRule="atLeast"/>
        </w:trPr>
        <w:tc>
          <w:tcPr>
            <w:tcW w:w="1199" w:type="dxa"/>
            <w:tcBorders>
              <w:top w:val="single" w:color="DDDDDD" w:sz="2" w:space="0"/>
            </w:tcBorders>
            <w:shd w:val="clear" w:color="auto" w:fill="FAFAFA"/>
            <w:tcMar>
              <w:top w:w="60" w:type="dxa"/>
              <w:left w:w="60" w:type="dxa"/>
              <w:bottom w:w="60" w:type="dxa"/>
              <w:right w:w="60" w:type="dxa"/>
            </w:tcMar>
            <w:vAlign w:val="center"/>
          </w:tcPr>
          <w:p w14:paraId="29D54B34">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IET vs RT</w:t>
            </w:r>
          </w:p>
        </w:tc>
        <w:tc>
          <w:tcPr>
            <w:tcW w:w="985" w:type="dxa"/>
            <w:tcBorders>
              <w:top w:val="single" w:color="DDDDDD" w:sz="2" w:space="0"/>
            </w:tcBorders>
            <w:shd w:val="clear" w:color="auto" w:fill="FAFAFA"/>
            <w:tcMar>
              <w:top w:w="60" w:type="dxa"/>
              <w:left w:w="60" w:type="dxa"/>
              <w:bottom w:w="60" w:type="dxa"/>
              <w:right w:w="60" w:type="dxa"/>
            </w:tcMar>
            <w:vAlign w:val="center"/>
          </w:tcPr>
          <w:p w14:paraId="2630CCB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94" w:type="dxa"/>
            <w:tcBorders>
              <w:top w:val="single" w:color="DDDDDD" w:sz="2" w:space="0"/>
            </w:tcBorders>
            <w:shd w:val="clear" w:color="auto" w:fill="02C000"/>
            <w:tcMar>
              <w:top w:w="60" w:type="dxa"/>
              <w:left w:w="60" w:type="dxa"/>
              <w:bottom w:w="60" w:type="dxa"/>
              <w:right w:w="60" w:type="dxa"/>
            </w:tcMar>
            <w:vAlign w:val="center"/>
          </w:tcPr>
          <w:p w14:paraId="30EF2C81">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087" w:type="dxa"/>
            <w:tcBorders>
              <w:top w:val="single" w:color="DDDDDD" w:sz="2" w:space="0"/>
            </w:tcBorders>
            <w:shd w:val="clear" w:color="auto" w:fill="02C000"/>
            <w:tcMar>
              <w:top w:w="60" w:type="dxa"/>
              <w:left w:w="60" w:type="dxa"/>
              <w:bottom w:w="60" w:type="dxa"/>
              <w:right w:w="60" w:type="dxa"/>
            </w:tcMar>
            <w:vAlign w:val="center"/>
          </w:tcPr>
          <w:p w14:paraId="7F9EEA93">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66" w:type="dxa"/>
            <w:tcBorders>
              <w:top w:val="single" w:color="DDDDDD" w:sz="2" w:space="0"/>
            </w:tcBorders>
            <w:shd w:val="clear" w:color="auto" w:fill="02C000"/>
            <w:tcMar>
              <w:top w:w="60" w:type="dxa"/>
              <w:left w:w="60" w:type="dxa"/>
              <w:bottom w:w="60" w:type="dxa"/>
              <w:right w:w="60" w:type="dxa"/>
            </w:tcMar>
            <w:vAlign w:val="center"/>
          </w:tcPr>
          <w:p w14:paraId="500746E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65" w:type="dxa"/>
            <w:tcBorders>
              <w:top w:val="single" w:color="DDDDDD" w:sz="2" w:space="0"/>
            </w:tcBorders>
            <w:shd w:val="clear" w:color="auto" w:fill="DBD923"/>
            <w:tcMar>
              <w:top w:w="60" w:type="dxa"/>
              <w:left w:w="60" w:type="dxa"/>
              <w:bottom w:w="60" w:type="dxa"/>
              <w:right w:w="60" w:type="dxa"/>
            </w:tcMar>
            <w:vAlign w:val="center"/>
          </w:tcPr>
          <w:p w14:paraId="4AECC11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53" w:type="dxa"/>
            <w:tcBorders>
              <w:top w:val="single" w:color="DDDDDD" w:sz="2" w:space="0"/>
            </w:tcBorders>
            <w:shd w:val="clear" w:color="auto" w:fill="02C000"/>
            <w:tcMar>
              <w:top w:w="60" w:type="dxa"/>
              <w:left w:w="60" w:type="dxa"/>
              <w:bottom w:w="60" w:type="dxa"/>
              <w:right w:w="60" w:type="dxa"/>
            </w:tcMar>
            <w:vAlign w:val="center"/>
          </w:tcPr>
          <w:p w14:paraId="584DA16A">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00" w:type="dxa"/>
            <w:tcBorders>
              <w:top w:val="single" w:color="DDDDDD" w:sz="2" w:space="0"/>
            </w:tcBorders>
            <w:shd w:val="clear" w:color="auto" w:fill="02C000"/>
            <w:tcMar>
              <w:top w:w="60" w:type="dxa"/>
              <w:left w:w="60" w:type="dxa"/>
              <w:bottom w:w="60" w:type="dxa"/>
              <w:right w:w="60" w:type="dxa"/>
            </w:tcMar>
            <w:vAlign w:val="center"/>
          </w:tcPr>
          <w:p w14:paraId="42E5EF1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19" w:type="dxa"/>
            <w:tcBorders>
              <w:top w:val="single" w:color="DDDDDD" w:sz="2" w:space="0"/>
            </w:tcBorders>
            <w:shd w:val="clear" w:color="auto" w:fill="FAFAFA"/>
            <w:tcMar>
              <w:top w:w="60" w:type="dxa"/>
              <w:left w:w="60" w:type="dxa"/>
              <w:bottom w:w="60" w:type="dxa"/>
              <w:right w:w="60" w:type="dxa"/>
            </w:tcMar>
            <w:vAlign w:val="center"/>
          </w:tcPr>
          <w:p w14:paraId="56E2CF7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cyan"/>
                <w:bdr w:val="single" w:color="0C8CE7" w:sz="2" w:space="0"/>
                <w:shd w:val="clear" w:fill="FFFFFF"/>
                <w:lang w:val="en-US" w:eastAsia="zh-CN" w:bidi="ar"/>
              </w:rPr>
              <w:t>Moderate</w:t>
            </w:r>
          </w:p>
        </w:tc>
        <w:tc>
          <w:tcPr>
            <w:tcW w:w="2709" w:type="dxa"/>
            <w:tcBorders>
              <w:top w:val="single" w:color="DDDDDD" w:sz="2" w:space="0"/>
            </w:tcBorders>
            <w:shd w:val="clear" w:color="auto" w:fill="FAFAFA"/>
            <w:tcMar>
              <w:top w:w="60" w:type="dxa"/>
              <w:left w:w="60" w:type="dxa"/>
              <w:bottom w:w="60" w:type="dxa"/>
              <w:right w:w="60" w:type="dxa"/>
            </w:tcMar>
            <w:vAlign w:val="center"/>
          </w:tcPr>
          <w:p w14:paraId="5D1AA8AE">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Imprecision |</w:t>
            </w:r>
          </w:p>
        </w:tc>
      </w:tr>
      <w:tr w14:paraId="48E0F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AFAFA"/>
          <w:tblCellMar>
            <w:top w:w="0" w:type="dxa"/>
            <w:left w:w="0" w:type="dxa"/>
            <w:bottom w:w="0" w:type="dxa"/>
            <w:right w:w="0" w:type="dxa"/>
          </w:tblCellMar>
        </w:tblPrEx>
        <w:trPr>
          <w:trHeight w:val="740" w:hRule="atLeast"/>
        </w:trPr>
        <w:tc>
          <w:tcPr>
            <w:tcW w:w="1199" w:type="dxa"/>
            <w:tcBorders>
              <w:top w:val="single" w:color="DDDDDD" w:sz="2" w:space="0"/>
            </w:tcBorders>
            <w:shd w:val="clear" w:color="auto" w:fill="FAFAFA"/>
            <w:tcMar>
              <w:top w:w="60" w:type="dxa"/>
              <w:left w:w="60" w:type="dxa"/>
              <w:bottom w:w="60" w:type="dxa"/>
              <w:right w:w="60" w:type="dxa"/>
            </w:tcMar>
            <w:vAlign w:val="center"/>
          </w:tcPr>
          <w:p w14:paraId="7CD940E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MICT vs RT</w:t>
            </w:r>
          </w:p>
        </w:tc>
        <w:tc>
          <w:tcPr>
            <w:tcW w:w="985" w:type="dxa"/>
            <w:tcBorders>
              <w:top w:val="single" w:color="DDDDDD" w:sz="2" w:space="0"/>
            </w:tcBorders>
            <w:shd w:val="clear" w:color="auto" w:fill="FAFAFA"/>
            <w:tcMar>
              <w:top w:w="60" w:type="dxa"/>
              <w:left w:w="60" w:type="dxa"/>
              <w:bottom w:w="60" w:type="dxa"/>
              <w:right w:w="60" w:type="dxa"/>
            </w:tcMar>
            <w:vAlign w:val="center"/>
          </w:tcPr>
          <w:p w14:paraId="17C3F83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w:t>
            </w:r>
          </w:p>
        </w:tc>
        <w:tc>
          <w:tcPr>
            <w:tcW w:w="1294" w:type="dxa"/>
            <w:tcBorders>
              <w:top w:val="single" w:color="DDDDDD" w:sz="2" w:space="0"/>
            </w:tcBorders>
            <w:shd w:val="clear" w:color="auto" w:fill="E0DF02"/>
            <w:tcMar>
              <w:top w:w="60" w:type="dxa"/>
              <w:left w:w="60" w:type="dxa"/>
              <w:bottom w:w="60" w:type="dxa"/>
              <w:right w:w="60" w:type="dxa"/>
            </w:tcMar>
            <w:vAlign w:val="center"/>
          </w:tcPr>
          <w:p w14:paraId="05DC6836">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087" w:type="dxa"/>
            <w:tcBorders>
              <w:top w:val="single" w:color="DDDDDD" w:sz="2" w:space="0"/>
            </w:tcBorders>
            <w:shd w:val="clear" w:color="auto" w:fill="02C000"/>
            <w:tcMar>
              <w:top w:w="60" w:type="dxa"/>
              <w:left w:w="60" w:type="dxa"/>
              <w:bottom w:w="60" w:type="dxa"/>
              <w:right w:w="60" w:type="dxa"/>
            </w:tcMar>
            <w:vAlign w:val="center"/>
          </w:tcPr>
          <w:p w14:paraId="2547971C">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Low risk</w:t>
            </w:r>
          </w:p>
        </w:tc>
        <w:tc>
          <w:tcPr>
            <w:tcW w:w="1266" w:type="dxa"/>
            <w:tcBorders>
              <w:top w:val="single" w:color="DDDDDD" w:sz="2" w:space="0"/>
            </w:tcBorders>
            <w:shd w:val="clear" w:color="auto" w:fill="02C000"/>
            <w:tcMar>
              <w:top w:w="60" w:type="dxa"/>
              <w:left w:w="60" w:type="dxa"/>
              <w:bottom w:w="60" w:type="dxa"/>
              <w:right w:w="60" w:type="dxa"/>
            </w:tcMar>
            <w:vAlign w:val="center"/>
          </w:tcPr>
          <w:p w14:paraId="3D86C5C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65" w:type="dxa"/>
            <w:tcBorders>
              <w:top w:val="single" w:color="DDDDDD" w:sz="2" w:space="0"/>
            </w:tcBorders>
            <w:shd w:val="clear" w:color="auto" w:fill="DBD923"/>
            <w:tcMar>
              <w:top w:w="60" w:type="dxa"/>
              <w:left w:w="60" w:type="dxa"/>
              <w:bottom w:w="60" w:type="dxa"/>
              <w:right w:w="60" w:type="dxa"/>
            </w:tcMar>
            <w:vAlign w:val="center"/>
          </w:tcPr>
          <w:p w14:paraId="618C171F">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Some concerns</w:t>
            </w:r>
          </w:p>
        </w:tc>
        <w:tc>
          <w:tcPr>
            <w:tcW w:w="1453" w:type="dxa"/>
            <w:tcBorders>
              <w:top w:val="single" w:color="DDDDDD" w:sz="2" w:space="0"/>
            </w:tcBorders>
            <w:shd w:val="clear" w:color="auto" w:fill="02C000"/>
            <w:tcMar>
              <w:top w:w="60" w:type="dxa"/>
              <w:left w:w="60" w:type="dxa"/>
              <w:bottom w:w="60" w:type="dxa"/>
              <w:right w:w="60" w:type="dxa"/>
            </w:tcMar>
            <w:vAlign w:val="center"/>
          </w:tcPr>
          <w:p w14:paraId="4481561D">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200" w:type="dxa"/>
            <w:tcBorders>
              <w:top w:val="single" w:color="DDDDDD" w:sz="2" w:space="0"/>
            </w:tcBorders>
            <w:shd w:val="clear" w:color="auto" w:fill="02C000"/>
            <w:tcMar>
              <w:top w:w="60" w:type="dxa"/>
              <w:left w:w="60" w:type="dxa"/>
              <w:bottom w:w="60" w:type="dxa"/>
              <w:right w:w="60" w:type="dxa"/>
            </w:tcMar>
            <w:vAlign w:val="center"/>
          </w:tcPr>
          <w:p w14:paraId="48959142">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No concerns</w:t>
            </w:r>
          </w:p>
        </w:tc>
        <w:tc>
          <w:tcPr>
            <w:tcW w:w="1519" w:type="dxa"/>
            <w:tcBorders>
              <w:top w:val="single" w:color="DDDDDD" w:sz="2" w:space="0"/>
            </w:tcBorders>
            <w:shd w:val="clear" w:color="auto" w:fill="FAFAFA"/>
            <w:tcMar>
              <w:top w:w="60" w:type="dxa"/>
              <w:left w:w="60" w:type="dxa"/>
              <w:bottom w:w="60" w:type="dxa"/>
              <w:right w:w="60" w:type="dxa"/>
            </w:tcMar>
            <w:vAlign w:val="center"/>
          </w:tcPr>
          <w:p w14:paraId="39668797">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kern w:val="2"/>
                <w:sz w:val="21"/>
                <w:szCs w:val="21"/>
                <w:lang w:val="en-US" w:eastAsia="zh-CN" w:bidi="ar-SA"/>
              </w:rPr>
            </w:pPr>
            <w:r>
              <w:rPr>
                <w:rFonts w:hint="default" w:ascii="Times New Roman" w:hAnsi="Times New Roman" w:eastAsia="sans-serif" w:cs="Times New Roman"/>
                <w:b w:val="0"/>
                <w:bCs w:val="0"/>
                <w:i w:val="0"/>
                <w:iCs w:val="0"/>
                <w:caps w:val="0"/>
                <w:color w:val="333333"/>
                <w:spacing w:val="0"/>
                <w:kern w:val="0"/>
                <w:sz w:val="21"/>
                <w:szCs w:val="21"/>
                <w:highlight w:val="yellow"/>
                <w:bdr w:val="single" w:color="E0DF02" w:sz="2" w:space="0"/>
                <w:shd w:val="clear" w:fill="FFFFFF"/>
                <w:lang w:val="en-US" w:eastAsia="zh-CN" w:bidi="ar"/>
              </w:rPr>
              <w:t>Low</w:t>
            </w:r>
          </w:p>
        </w:tc>
        <w:tc>
          <w:tcPr>
            <w:tcW w:w="2709" w:type="dxa"/>
            <w:tcBorders>
              <w:top w:val="single" w:color="DDDDDD" w:sz="2" w:space="0"/>
            </w:tcBorders>
            <w:shd w:val="clear" w:color="auto" w:fill="FAFAFA"/>
            <w:tcMar>
              <w:top w:w="60" w:type="dxa"/>
              <w:left w:w="60" w:type="dxa"/>
              <w:bottom w:w="60" w:type="dxa"/>
              <w:right w:w="60" w:type="dxa"/>
            </w:tcMar>
            <w:vAlign w:val="center"/>
          </w:tcPr>
          <w:p w14:paraId="67DED500">
            <w:pPr>
              <w:keepNext w:val="0"/>
              <w:keepLines w:val="0"/>
              <w:widowControl/>
              <w:suppressLineNumbers w:val="0"/>
              <w:spacing w:line="11" w:lineRule="atLeast"/>
              <w:jc w:val="center"/>
              <w:textAlignment w:val="top"/>
              <w:rPr>
                <w:rFonts w:hint="default" w:ascii="Times New Roman" w:hAnsi="Times New Roman" w:eastAsia="sans-serif" w:cs="Times New Roman"/>
                <w:b w:val="0"/>
                <w:bCs w:val="0"/>
                <w:i w:val="0"/>
                <w:iCs w:val="0"/>
                <w:caps w:val="0"/>
                <w:color w:val="333333"/>
                <w:spacing w:val="0"/>
                <w:sz w:val="21"/>
                <w:szCs w:val="21"/>
              </w:rPr>
            </w:pPr>
            <w:r>
              <w:rPr>
                <w:rFonts w:hint="default" w:ascii="Times New Roman" w:hAnsi="Times New Roman" w:eastAsia="sans-serif" w:cs="Times New Roman"/>
                <w:b w:val="0"/>
                <w:bCs w:val="0"/>
                <w:i w:val="0"/>
                <w:iCs w:val="0"/>
                <w:caps w:val="0"/>
                <w:color w:val="333333"/>
                <w:spacing w:val="0"/>
                <w:kern w:val="0"/>
                <w:sz w:val="21"/>
                <w:szCs w:val="21"/>
                <w:lang w:val="en-US" w:eastAsia="zh-CN" w:bidi="ar"/>
              </w:rPr>
              <w:t>| Within-study bias | Imprecision |</w:t>
            </w:r>
          </w:p>
        </w:tc>
      </w:tr>
    </w:tbl>
    <w:p w14:paraId="3B99CE0A">
      <w:pPr>
        <w:rPr>
          <w:rFonts w:hint="default" w:ascii="Times New Roman" w:hAnsi="Times New Roman" w:cs="Times New Roman"/>
          <w:sz w:val="24"/>
          <w:szCs w:val="24"/>
          <w:vertAlign w:val="baseline"/>
          <w:lang w:val="en-US" w:eastAsia="zh-CN"/>
        </w:rPr>
      </w:pPr>
    </w:p>
    <w:p w14:paraId="67365E5B">
      <w:pPr>
        <w:rPr>
          <w:rFonts w:hint="default" w:ascii="Times New Roman" w:hAnsi="Times New Roman" w:cs="Times New Roman"/>
          <w:sz w:val="24"/>
          <w:szCs w:val="24"/>
          <w:vertAlign w:val="baseline"/>
          <w:lang w:val="en-US" w:eastAsia="zh-CN"/>
        </w:rPr>
      </w:pPr>
    </w:p>
    <w:p w14:paraId="6E09F25C">
      <w:pP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br w:type="page"/>
      </w:r>
    </w:p>
    <w:p w14:paraId="2C781F5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sz w:val="24"/>
          <w:szCs w:val="32"/>
          <w:lang w:val="en-US" w:eastAsia="zh-CN"/>
        </w:rPr>
        <w:sectPr>
          <w:pgSz w:w="16838" w:h="11906" w:orient="landscape"/>
          <w:pgMar w:top="1800" w:right="1440" w:bottom="1800" w:left="1440" w:header="851" w:footer="992" w:gutter="0"/>
          <w:pgNumType w:fmt="decimal"/>
          <w:cols w:space="425" w:num="1"/>
          <w:docGrid w:type="lines" w:linePitch="312" w:charSpace="0"/>
        </w:sectPr>
      </w:pPr>
    </w:p>
    <w:p w14:paraId="55A8CD2C">
      <w:pP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Supplementary Figure 1. Detailed information of the risk of bias assessment for each eligible study</w:t>
      </w:r>
    </w:p>
    <w:p w14:paraId="49D2CF85">
      <w:pPr>
        <w:jc w:val="center"/>
        <w:rPr>
          <w:rFonts w:hint="default" w:ascii="Times New Roman" w:hAnsi="Times New Roman" w:cs="Times New Roman"/>
          <w:b/>
          <w:bCs/>
          <w:sz w:val="24"/>
          <w:szCs w:val="32"/>
          <w:lang w:val="en-US" w:eastAsia="zh-CN"/>
        </w:rPr>
      </w:pPr>
      <w:r>
        <w:rPr>
          <w:rFonts w:hint="default" w:ascii="Times New Roman" w:hAnsi="Times New Roman" w:eastAsia="宋体" w:cs="Times New Roman"/>
          <w:i w:val="0"/>
          <w:iCs w:val="0"/>
          <w:caps w:val="0"/>
          <w:color w:val="000000"/>
          <w:spacing w:val="8"/>
          <w:sz w:val="24"/>
          <w:szCs w:val="24"/>
          <w:lang w:val="en-US" w:eastAsia="zh-CN"/>
        </w:rPr>
        <w:drawing>
          <wp:inline distT="0" distB="0" distL="114300" distR="114300">
            <wp:extent cx="5237480" cy="6789420"/>
            <wp:effectExtent l="0" t="0" r="1270" b="1905"/>
            <wp:docPr id="10" name="图片 10" descr="ROB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ROB Fig"/>
                    <pic:cNvPicPr>
                      <a:picLocks noChangeAspect="1"/>
                    </pic:cNvPicPr>
                  </pic:nvPicPr>
                  <pic:blipFill>
                    <a:blip r:embed="rId6"/>
                    <a:stretch>
                      <a:fillRect/>
                    </a:stretch>
                  </pic:blipFill>
                  <pic:spPr>
                    <a:xfrm>
                      <a:off x="0" y="0"/>
                      <a:ext cx="5237480" cy="6789420"/>
                    </a:xfrm>
                    <a:prstGeom prst="rect">
                      <a:avLst/>
                    </a:prstGeom>
                  </pic:spPr>
                </pic:pic>
              </a:graphicData>
            </a:graphic>
          </wp:inline>
        </w:drawing>
      </w:r>
    </w:p>
    <w:p w14:paraId="671F900E">
      <w:pP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br w:type="page"/>
      </w:r>
    </w:p>
    <w:p w14:paraId="153ED90B">
      <w:pP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Supplementary Figure 2. Forest plot of each modality of exercise compared to Control</w:t>
      </w:r>
    </w:p>
    <w:p w14:paraId="2057B2C6">
      <w:pPr>
        <w:rPr>
          <w:rFonts w:hint="default" w:ascii="Times New Roman" w:hAnsi="Times New Roman" w:cs="Times New Roman"/>
          <w:b w:val="0"/>
          <w:bCs w:val="0"/>
          <w:sz w:val="24"/>
          <w:szCs w:val="24"/>
          <w:lang w:val="en-US" w:eastAsia="zh-CN"/>
        </w:rPr>
      </w:pPr>
      <w:r>
        <w:rPr>
          <w:rFonts w:hint="default" w:ascii="Times New Roman" w:hAnsi="Times New Roman" w:cs="Times New Roman"/>
        </w:rPr>
        <w:drawing>
          <wp:inline distT="0" distB="0" distL="114300" distR="114300">
            <wp:extent cx="5274310" cy="3429000"/>
            <wp:effectExtent l="0" t="0" r="254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7"/>
                    <a:stretch>
                      <a:fillRect/>
                    </a:stretch>
                  </pic:blipFill>
                  <pic:spPr>
                    <a:xfrm>
                      <a:off x="0" y="0"/>
                      <a:ext cx="5274310" cy="3429000"/>
                    </a:xfrm>
                    <a:prstGeom prst="rect">
                      <a:avLst/>
                    </a:prstGeom>
                    <a:noFill/>
                    <a:ln>
                      <a:noFill/>
                    </a:ln>
                  </pic:spPr>
                </pic:pic>
              </a:graphicData>
            </a:graphic>
          </wp:inline>
        </w:drawing>
      </w:r>
    </w:p>
    <w:p w14:paraId="5FF004F1">
      <w:pP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Supplementary Figure 2.1. Forest plot compared to Control for SBP</w:t>
      </w:r>
    </w:p>
    <w:p w14:paraId="6436E676">
      <w:pPr>
        <w:rPr>
          <w:rFonts w:hint="default" w:ascii="Times New Roman" w:hAnsi="Times New Roman" w:cs="Times New Roman"/>
        </w:rPr>
      </w:pPr>
      <w:r>
        <w:rPr>
          <w:rFonts w:hint="default" w:ascii="Times New Roman" w:hAnsi="Times New Roman" w:cs="Times New Roman"/>
        </w:rPr>
        <w:drawing>
          <wp:inline distT="0" distB="0" distL="114300" distR="114300">
            <wp:extent cx="5274310" cy="3545205"/>
            <wp:effectExtent l="0" t="0" r="2540" b="762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8"/>
                    <a:stretch>
                      <a:fillRect/>
                    </a:stretch>
                  </pic:blipFill>
                  <pic:spPr>
                    <a:xfrm>
                      <a:off x="0" y="0"/>
                      <a:ext cx="5274310" cy="3545205"/>
                    </a:xfrm>
                    <a:prstGeom prst="rect">
                      <a:avLst/>
                    </a:prstGeom>
                    <a:noFill/>
                    <a:ln>
                      <a:noFill/>
                    </a:ln>
                  </pic:spPr>
                </pic:pic>
              </a:graphicData>
            </a:graphic>
          </wp:inline>
        </w:drawing>
      </w:r>
    </w:p>
    <w:p w14:paraId="71B8D740">
      <w:pPr>
        <w:rPr>
          <w:rFonts w:hint="default" w:ascii="Times New Roman" w:hAnsi="Times New Roman" w:cs="Times New Roman"/>
          <w:b w:val="0"/>
          <w:bCs w:val="0"/>
          <w:sz w:val="24"/>
          <w:szCs w:val="24"/>
          <w:lang w:val="en-US" w:eastAsia="zh-CN"/>
        </w:rPr>
      </w:pPr>
      <w:r>
        <w:rPr>
          <w:rFonts w:hint="default" w:ascii="Times New Roman" w:hAnsi="Times New Roman" w:cs="Times New Roman"/>
          <w:b/>
          <w:bCs/>
          <w:sz w:val="24"/>
          <w:szCs w:val="32"/>
          <w:lang w:val="en-US" w:eastAsia="zh-CN"/>
        </w:rPr>
        <w:t>Supplementary Figure 2.2. Forest plot compared to Control for DBP</w:t>
      </w:r>
    </w:p>
    <w:p w14:paraId="76288511">
      <w:pPr>
        <w:rPr>
          <w:rFonts w:hint="default" w:ascii="Times New Roman" w:hAnsi="Times New Roman" w:cs="Times New Roman"/>
        </w:rPr>
      </w:pPr>
    </w:p>
    <w:p w14:paraId="55AA50C8">
      <w:pPr>
        <w:rPr>
          <w:rFonts w:hint="default" w:ascii="Times New Roman" w:hAnsi="Times New Roman" w:cs="Times New Roman"/>
        </w:rPr>
      </w:pPr>
      <w:r>
        <w:rPr>
          <w:rFonts w:hint="default" w:ascii="Times New Roman" w:hAnsi="Times New Roman" w:cs="Times New Roman"/>
        </w:rPr>
        <w:br w:type="page"/>
      </w:r>
    </w:p>
    <w:p w14:paraId="6A500F97">
      <w:pPr>
        <w:rPr>
          <w:rFonts w:hint="default" w:ascii="Times New Roman" w:hAnsi="Times New Roman" w:cs="Times New Roman"/>
        </w:rPr>
      </w:pPr>
    </w:p>
    <w:p w14:paraId="4E3A06F0">
      <w:pPr>
        <w:rPr>
          <w:rFonts w:hint="default" w:ascii="Times New Roman" w:hAnsi="Times New Roman" w:cs="Times New Roman"/>
        </w:rPr>
      </w:pPr>
      <w:r>
        <w:rPr>
          <w:rFonts w:hint="default" w:ascii="Times New Roman" w:hAnsi="Times New Roman" w:cs="Times New Roman"/>
        </w:rPr>
        <w:drawing>
          <wp:inline distT="0" distB="0" distL="114300" distR="114300">
            <wp:extent cx="5268595" cy="2769870"/>
            <wp:effectExtent l="0" t="0" r="8255" b="190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9"/>
                    <a:stretch>
                      <a:fillRect/>
                    </a:stretch>
                  </pic:blipFill>
                  <pic:spPr>
                    <a:xfrm>
                      <a:off x="0" y="0"/>
                      <a:ext cx="5268595" cy="2769870"/>
                    </a:xfrm>
                    <a:prstGeom prst="rect">
                      <a:avLst/>
                    </a:prstGeom>
                    <a:noFill/>
                    <a:ln>
                      <a:noFill/>
                    </a:ln>
                  </pic:spPr>
                </pic:pic>
              </a:graphicData>
            </a:graphic>
          </wp:inline>
        </w:drawing>
      </w:r>
    </w:p>
    <w:p w14:paraId="193698EE">
      <w:pPr>
        <w:rPr>
          <w:rFonts w:hint="default" w:ascii="Times New Roman" w:hAnsi="Times New Roman" w:cs="Times New Roman"/>
          <w:lang w:val="en-US" w:eastAsia="zh-CN"/>
        </w:rPr>
      </w:pPr>
    </w:p>
    <w:p w14:paraId="762CCBEF">
      <w:pP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Supplementary Figure 2.3. Forest plot compared to Control for FMD</w:t>
      </w:r>
    </w:p>
    <w:p w14:paraId="624374E6">
      <w:pPr>
        <w:rPr>
          <w:rFonts w:hint="default" w:ascii="Times New Roman" w:hAnsi="Times New Roman" w:cs="Times New Roman"/>
        </w:rPr>
      </w:pPr>
      <w:r>
        <w:rPr>
          <w:rFonts w:hint="default" w:ascii="Times New Roman" w:hAnsi="Times New Roman" w:cs="Times New Roman"/>
        </w:rPr>
        <w:drawing>
          <wp:inline distT="0" distB="0" distL="114300" distR="114300">
            <wp:extent cx="5269230" cy="3023870"/>
            <wp:effectExtent l="0" t="0" r="7620" b="508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0"/>
                    <a:stretch>
                      <a:fillRect/>
                    </a:stretch>
                  </pic:blipFill>
                  <pic:spPr>
                    <a:xfrm>
                      <a:off x="0" y="0"/>
                      <a:ext cx="5269230" cy="3023870"/>
                    </a:xfrm>
                    <a:prstGeom prst="rect">
                      <a:avLst/>
                    </a:prstGeom>
                    <a:noFill/>
                    <a:ln>
                      <a:noFill/>
                    </a:ln>
                  </pic:spPr>
                </pic:pic>
              </a:graphicData>
            </a:graphic>
          </wp:inline>
        </w:drawing>
      </w:r>
    </w:p>
    <w:p w14:paraId="5B28F548">
      <w:pP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Supplementary Figure 2.4. Forest plot compared to Control for PWV</w:t>
      </w:r>
    </w:p>
    <w:p w14:paraId="27EB568C">
      <w:pPr>
        <w:rPr>
          <w:rFonts w:hint="default" w:ascii="Times New Roman" w:hAnsi="Times New Roman" w:cs="Times New Roman"/>
        </w:rPr>
      </w:pPr>
    </w:p>
    <w:p w14:paraId="0B3135E4">
      <w:pPr>
        <w:rPr>
          <w:rFonts w:hint="default" w:ascii="Times New Roman" w:hAnsi="Times New Roman" w:cs="Times New Roman"/>
        </w:rPr>
      </w:pPr>
      <w:r>
        <w:rPr>
          <w:rFonts w:hint="default" w:ascii="Times New Roman" w:hAnsi="Times New Roman" w:cs="Times New Roman"/>
        </w:rPr>
        <w:br w:type="page"/>
      </w:r>
    </w:p>
    <w:p w14:paraId="7B5D80F0">
      <w:pPr>
        <w:rPr>
          <w:rFonts w:hint="default" w:ascii="Times New Roman" w:hAnsi="Times New Roman" w:cs="Times New Roman"/>
          <w:b/>
          <w:bCs/>
          <w:sz w:val="24"/>
          <w:szCs w:val="32"/>
          <w:lang w:val="en-US" w:eastAsia="zh-CN"/>
        </w:rPr>
        <w:sectPr>
          <w:pgSz w:w="11906" w:h="16838"/>
          <w:pgMar w:top="1440" w:right="1800" w:bottom="1440" w:left="1800" w:header="851" w:footer="992" w:gutter="0"/>
          <w:pgNumType w:fmt="decimal"/>
          <w:cols w:space="425" w:num="1"/>
          <w:docGrid w:type="lines" w:linePitch="312" w:charSpace="0"/>
        </w:sectPr>
      </w:pPr>
    </w:p>
    <w:p w14:paraId="6D3460F9">
      <w:pP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Supplementary Figure 3. League heat plot for SBP</w:t>
      </w:r>
    </w:p>
    <w:p w14:paraId="03F9EA09">
      <w:pP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drawing>
          <wp:inline distT="0" distB="0" distL="114300" distR="114300">
            <wp:extent cx="8849995" cy="4572000"/>
            <wp:effectExtent l="0" t="0" r="1905" b="0"/>
            <wp:docPr id="21" name="图片 21" descr="表热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表热图"/>
                    <pic:cNvPicPr>
                      <a:picLocks noChangeAspect="1"/>
                    </pic:cNvPicPr>
                  </pic:nvPicPr>
                  <pic:blipFill>
                    <a:blip r:embed="rId11"/>
                    <a:stretch>
                      <a:fillRect/>
                    </a:stretch>
                  </pic:blipFill>
                  <pic:spPr>
                    <a:xfrm>
                      <a:off x="0" y="0"/>
                      <a:ext cx="8849995" cy="4572000"/>
                    </a:xfrm>
                    <a:prstGeom prst="rect">
                      <a:avLst/>
                    </a:prstGeom>
                  </pic:spPr>
                </pic:pic>
              </a:graphicData>
            </a:graphic>
          </wp:inline>
        </w:drawing>
      </w:r>
    </w:p>
    <w:p w14:paraId="646BFFD3">
      <w:pP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br w:type="page"/>
      </w:r>
    </w:p>
    <w:p w14:paraId="5D941D9A">
      <w:pP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Supplementary Figure 4. League heat plot for DBP</w:t>
      </w:r>
    </w:p>
    <w:p w14:paraId="5C8981E3">
      <w:pP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drawing>
          <wp:inline distT="0" distB="0" distL="114300" distR="114300">
            <wp:extent cx="8910320" cy="4583430"/>
            <wp:effectExtent l="0" t="0" r="5080" b="1270"/>
            <wp:docPr id="22" name="图片 22" descr="表热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表热图"/>
                    <pic:cNvPicPr>
                      <a:picLocks noChangeAspect="1"/>
                    </pic:cNvPicPr>
                  </pic:nvPicPr>
                  <pic:blipFill>
                    <a:blip r:embed="rId12"/>
                    <a:stretch>
                      <a:fillRect/>
                    </a:stretch>
                  </pic:blipFill>
                  <pic:spPr>
                    <a:xfrm>
                      <a:off x="0" y="0"/>
                      <a:ext cx="8910320" cy="4583430"/>
                    </a:xfrm>
                    <a:prstGeom prst="rect">
                      <a:avLst/>
                    </a:prstGeom>
                  </pic:spPr>
                </pic:pic>
              </a:graphicData>
            </a:graphic>
          </wp:inline>
        </w:drawing>
      </w:r>
    </w:p>
    <w:p w14:paraId="3E2F3EED">
      <w:pP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br w:type="page"/>
      </w:r>
    </w:p>
    <w:p w14:paraId="50A87FD5">
      <w:pPr>
        <w:rPr>
          <w:rFonts w:hint="default" w:ascii="Times New Roman" w:hAnsi="Times New Roman" w:cs="Times New Roman"/>
          <w:b/>
          <w:bCs/>
          <w:sz w:val="24"/>
          <w:szCs w:val="32"/>
          <w:lang w:val="en-US" w:eastAsia="zh-CN"/>
        </w:rPr>
        <w:sectPr>
          <w:pgSz w:w="16838" w:h="11906" w:orient="landscape"/>
          <w:pgMar w:top="1800" w:right="1440" w:bottom="1800" w:left="1440" w:header="851" w:footer="992" w:gutter="0"/>
          <w:pgNumType w:fmt="decimal"/>
          <w:cols w:space="425" w:num="1"/>
          <w:docGrid w:type="lines" w:linePitch="312" w:charSpace="0"/>
        </w:sectPr>
      </w:pPr>
    </w:p>
    <w:p w14:paraId="28C2D338">
      <w:pP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Supplementary Figure 5. Ranking superiority and NMA estimates for FMD</w:t>
      </w:r>
    </w:p>
    <w:p w14:paraId="16D402B7">
      <w:pPr>
        <w:jc w:val="center"/>
        <w:rPr>
          <w:rFonts w:hint="default" w:ascii="Times New Roman" w:hAnsi="Times New Roman" w:cs="Times New Roman"/>
          <w:b/>
          <w:bCs/>
          <w:sz w:val="24"/>
          <w:szCs w:val="32"/>
          <w:lang w:val="en-US" w:eastAsia="zh-CN"/>
        </w:rPr>
      </w:pPr>
      <w:r>
        <w:rPr>
          <w:rFonts w:hint="default" w:ascii="Times New Roman" w:hAnsi="Times New Roman" w:cs="Times New Roman" w:eastAsiaTheme="minorEastAsia"/>
          <w:lang w:eastAsia="zh-CN"/>
        </w:rPr>
        <w:drawing>
          <wp:inline distT="0" distB="0" distL="114300" distR="114300">
            <wp:extent cx="2765425" cy="2566035"/>
            <wp:effectExtent l="0" t="0" r="6350" b="5715"/>
            <wp:docPr id="24" name="图片 24" descr="排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排名图"/>
                    <pic:cNvPicPr>
                      <a:picLocks noChangeAspect="1"/>
                    </pic:cNvPicPr>
                  </pic:nvPicPr>
                  <pic:blipFill>
                    <a:blip r:embed="rId13"/>
                    <a:srcRect l="49798"/>
                    <a:stretch>
                      <a:fillRect/>
                    </a:stretch>
                  </pic:blipFill>
                  <pic:spPr>
                    <a:xfrm>
                      <a:off x="0" y="0"/>
                      <a:ext cx="2765425" cy="2566035"/>
                    </a:xfrm>
                    <a:prstGeom prst="rect">
                      <a:avLst/>
                    </a:prstGeom>
                  </pic:spPr>
                </pic:pic>
              </a:graphicData>
            </a:graphic>
          </wp:inline>
        </w:drawing>
      </w:r>
    </w:p>
    <w:p w14:paraId="7B50FA5A">
      <w:pP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 xml:space="preserve">Supplementary Figure 5.1. Treatment rank probabilities plot for FMD </w:t>
      </w:r>
    </w:p>
    <w:p w14:paraId="45463C4F">
      <w:pPr>
        <w:jc w:val="center"/>
        <w:rPr>
          <w:rFonts w:hint="default" w:ascii="Times New Roman" w:hAnsi="Times New Roman" w:cs="Times New Roman"/>
          <w:b/>
          <w:bCs/>
          <w:sz w:val="24"/>
          <w:szCs w:val="32"/>
          <w:lang w:val="en-US" w:eastAsia="zh-CN"/>
        </w:rPr>
      </w:pPr>
      <w:r>
        <w:rPr>
          <w:rFonts w:hint="default" w:ascii="Times New Roman" w:hAnsi="Times New Roman" w:cs="Times New Roman" w:eastAsiaTheme="minorEastAsia"/>
          <w:lang w:eastAsia="zh-CN"/>
        </w:rPr>
        <w:drawing>
          <wp:inline distT="0" distB="0" distL="114300" distR="114300">
            <wp:extent cx="2846070" cy="2661285"/>
            <wp:effectExtent l="0" t="0" r="1905" b="5715"/>
            <wp:docPr id="25" name="图片 25" descr="排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排名图"/>
                    <pic:cNvPicPr>
                      <a:picLocks noChangeAspect="1"/>
                    </pic:cNvPicPr>
                  </pic:nvPicPr>
                  <pic:blipFill>
                    <a:blip r:embed="rId13"/>
                    <a:srcRect r="50180"/>
                    <a:stretch>
                      <a:fillRect/>
                    </a:stretch>
                  </pic:blipFill>
                  <pic:spPr>
                    <a:xfrm>
                      <a:off x="0" y="0"/>
                      <a:ext cx="2846070" cy="2661285"/>
                    </a:xfrm>
                    <a:prstGeom prst="rect">
                      <a:avLst/>
                    </a:prstGeom>
                  </pic:spPr>
                </pic:pic>
              </a:graphicData>
            </a:graphic>
          </wp:inline>
        </w:drawing>
      </w:r>
    </w:p>
    <w:p w14:paraId="29E3D0ED">
      <w:pP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Supplementary Figure 5.2. SUCRA plot for FMD</w:t>
      </w:r>
    </w:p>
    <w:p w14:paraId="47B806FA">
      <w:pPr>
        <w:jc w:val="cente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4608830" cy="2305050"/>
            <wp:effectExtent l="0" t="0" r="1270" b="6350"/>
            <wp:docPr id="23" name="图片 23" descr="表热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表热图"/>
                    <pic:cNvPicPr>
                      <a:picLocks noChangeAspect="1"/>
                    </pic:cNvPicPr>
                  </pic:nvPicPr>
                  <pic:blipFill>
                    <a:blip r:embed="rId14"/>
                    <a:stretch>
                      <a:fillRect/>
                    </a:stretch>
                  </pic:blipFill>
                  <pic:spPr>
                    <a:xfrm>
                      <a:off x="0" y="0"/>
                      <a:ext cx="4608830" cy="2305050"/>
                    </a:xfrm>
                    <a:prstGeom prst="rect">
                      <a:avLst/>
                    </a:prstGeom>
                  </pic:spPr>
                </pic:pic>
              </a:graphicData>
            </a:graphic>
          </wp:inline>
        </w:drawing>
      </w:r>
    </w:p>
    <w:p w14:paraId="0F8E4708">
      <w:pP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Supplementary Figure 5.3. League heat plot for FMD</w:t>
      </w:r>
    </w:p>
    <w:p w14:paraId="2836955A">
      <w:pPr>
        <w:jc w:val="center"/>
        <w:rPr>
          <w:rFonts w:hint="default" w:ascii="Times New Roman" w:hAnsi="Times New Roman" w:cs="Times New Roman" w:eastAsiaTheme="minorEastAsia"/>
          <w:lang w:eastAsia="zh-CN"/>
        </w:rPr>
        <w:sectPr>
          <w:pgSz w:w="11906" w:h="16838"/>
          <w:pgMar w:top="1440" w:right="1800" w:bottom="1440" w:left="1800" w:header="851" w:footer="992" w:gutter="0"/>
          <w:pgNumType w:fmt="decimal"/>
          <w:cols w:space="425" w:num="1"/>
          <w:docGrid w:type="lines" w:linePitch="312" w:charSpace="0"/>
        </w:sectPr>
      </w:pPr>
    </w:p>
    <w:p w14:paraId="19F791A1">
      <w:pP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Supplementary Figure 6. Ranking superiority and NMA estimates for PWV</w:t>
      </w:r>
    </w:p>
    <w:p w14:paraId="2BD7CC84">
      <w:pPr>
        <w:jc w:val="cente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drawing>
          <wp:inline distT="0" distB="0" distL="114300" distR="114300">
            <wp:extent cx="2693670" cy="2548255"/>
            <wp:effectExtent l="0" t="0" r="1905" b="4445"/>
            <wp:docPr id="26" name="图片 26" descr="排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排名图"/>
                    <pic:cNvPicPr>
                      <a:picLocks noChangeAspect="1"/>
                    </pic:cNvPicPr>
                  </pic:nvPicPr>
                  <pic:blipFill>
                    <a:blip r:embed="rId15"/>
                    <a:srcRect l="49319"/>
                    <a:stretch>
                      <a:fillRect/>
                    </a:stretch>
                  </pic:blipFill>
                  <pic:spPr>
                    <a:xfrm>
                      <a:off x="0" y="0"/>
                      <a:ext cx="2693670" cy="2548255"/>
                    </a:xfrm>
                    <a:prstGeom prst="rect">
                      <a:avLst/>
                    </a:prstGeom>
                  </pic:spPr>
                </pic:pic>
              </a:graphicData>
            </a:graphic>
          </wp:inline>
        </w:drawing>
      </w:r>
    </w:p>
    <w:p w14:paraId="113EB49F">
      <w:pP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 xml:space="preserve">Supplementary Figure 6.1. Treatment rank probabilities plot for PWV </w:t>
      </w:r>
    </w:p>
    <w:p w14:paraId="5ACC410F">
      <w:pPr>
        <w:jc w:val="cente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drawing>
          <wp:inline distT="0" distB="0" distL="114300" distR="114300">
            <wp:extent cx="2719705" cy="2538730"/>
            <wp:effectExtent l="0" t="0" r="10795" b="1270"/>
            <wp:docPr id="27" name="图片 27" descr="排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排名图"/>
                    <pic:cNvPicPr>
                      <a:picLocks noChangeAspect="1"/>
                    </pic:cNvPicPr>
                  </pic:nvPicPr>
                  <pic:blipFill>
                    <a:blip r:embed="rId15"/>
                    <a:srcRect r="50030"/>
                    <a:stretch>
                      <a:fillRect/>
                    </a:stretch>
                  </pic:blipFill>
                  <pic:spPr>
                    <a:xfrm>
                      <a:off x="0" y="0"/>
                      <a:ext cx="2719705" cy="2538730"/>
                    </a:xfrm>
                    <a:prstGeom prst="rect">
                      <a:avLst/>
                    </a:prstGeom>
                  </pic:spPr>
                </pic:pic>
              </a:graphicData>
            </a:graphic>
          </wp:inline>
        </w:drawing>
      </w:r>
    </w:p>
    <w:p w14:paraId="29B08A26">
      <w:pP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Supplementary Figure 6.2. SUCRA plot for PWV</w:t>
      </w:r>
    </w:p>
    <w:p w14:paraId="5EC53A3C">
      <w:pPr>
        <w:jc w:val="cente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drawing>
          <wp:inline distT="0" distB="0" distL="114300" distR="114300">
            <wp:extent cx="4842510" cy="2421255"/>
            <wp:effectExtent l="0" t="0" r="8890" b="4445"/>
            <wp:docPr id="28" name="图片 28" descr="表热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表热图"/>
                    <pic:cNvPicPr>
                      <a:picLocks noChangeAspect="1"/>
                    </pic:cNvPicPr>
                  </pic:nvPicPr>
                  <pic:blipFill>
                    <a:blip r:embed="rId16"/>
                    <a:stretch>
                      <a:fillRect/>
                    </a:stretch>
                  </pic:blipFill>
                  <pic:spPr>
                    <a:xfrm>
                      <a:off x="0" y="0"/>
                      <a:ext cx="4842510" cy="2421255"/>
                    </a:xfrm>
                    <a:prstGeom prst="rect">
                      <a:avLst/>
                    </a:prstGeom>
                  </pic:spPr>
                </pic:pic>
              </a:graphicData>
            </a:graphic>
          </wp:inline>
        </w:drawing>
      </w:r>
    </w:p>
    <w:p w14:paraId="1B40A2D2">
      <w:pPr>
        <w:rPr>
          <w:rFonts w:hint="default" w:ascii="Times New Roman" w:hAnsi="Times New Roman" w:cs="Times New Roman"/>
          <w:b/>
          <w:bCs/>
          <w:sz w:val="24"/>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cs="Times New Roman"/>
          <w:b/>
          <w:bCs/>
          <w:sz w:val="24"/>
          <w:szCs w:val="32"/>
          <w:lang w:val="en-US" w:eastAsia="zh-CN"/>
        </w:rPr>
        <w:t>Supplementary Figure 6.3. League heat plot for PWV</w:t>
      </w:r>
    </w:p>
    <w:p w14:paraId="39BA5CEF">
      <w:pP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Supplementary Figure 7. Fixed and random effects modeling</w:t>
      </w:r>
    </w:p>
    <w:p w14:paraId="72586CF4">
      <w:pPr>
        <w:rPr>
          <w:rFonts w:hint="default" w:ascii="Times New Roman" w:hAnsi="Times New Roman" w:cs="Times New Roman"/>
        </w:rPr>
      </w:pPr>
      <w:r>
        <w:rPr>
          <w:rFonts w:hint="default" w:ascii="Times New Roman" w:hAnsi="Times New Roman" w:cs="Times New Roman"/>
        </w:rPr>
        <w:drawing>
          <wp:inline distT="0" distB="0" distL="114300" distR="114300">
            <wp:extent cx="5268595" cy="2508250"/>
            <wp:effectExtent l="0" t="0" r="8255" b="635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7"/>
                    <a:stretch>
                      <a:fillRect/>
                    </a:stretch>
                  </pic:blipFill>
                  <pic:spPr>
                    <a:xfrm>
                      <a:off x="0" y="0"/>
                      <a:ext cx="5268595" cy="2508250"/>
                    </a:xfrm>
                    <a:prstGeom prst="rect">
                      <a:avLst/>
                    </a:prstGeom>
                    <a:noFill/>
                    <a:ln>
                      <a:noFill/>
                    </a:ln>
                  </pic:spPr>
                </pic:pic>
              </a:graphicData>
            </a:graphic>
          </wp:inline>
        </w:drawing>
      </w:r>
    </w:p>
    <w:p w14:paraId="272A657F">
      <w:pP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Supplementary Figure 7.1. Leverage plots and DIC for fixed vs. random effects modeling in SBP</w:t>
      </w:r>
    </w:p>
    <w:p w14:paraId="10E98CD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322570" cy="2611120"/>
            <wp:effectExtent l="0" t="0" r="1905"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8"/>
                    <a:srcRect b="3903"/>
                    <a:stretch>
                      <a:fillRect/>
                    </a:stretch>
                  </pic:blipFill>
                  <pic:spPr>
                    <a:xfrm>
                      <a:off x="0" y="0"/>
                      <a:ext cx="5322570" cy="2611120"/>
                    </a:xfrm>
                    <a:prstGeom prst="rect">
                      <a:avLst/>
                    </a:prstGeom>
                    <a:noFill/>
                    <a:ln>
                      <a:noFill/>
                    </a:ln>
                  </pic:spPr>
                </pic:pic>
              </a:graphicData>
            </a:graphic>
          </wp:inline>
        </w:drawing>
      </w:r>
    </w:p>
    <w:p w14:paraId="0F5E54CC">
      <w:pP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Supplementary Figure 7.2. Leverage plots and DIC for fixed vs. random effects modeling in DBP</w:t>
      </w:r>
    </w:p>
    <w:p w14:paraId="41E5A76B">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28601D71">
      <w:pPr>
        <w:rPr>
          <w:rFonts w:hint="default" w:ascii="Times New Roman" w:hAnsi="Times New Roman" w:cs="Times New Roman"/>
        </w:rPr>
      </w:pPr>
      <w:r>
        <w:rPr>
          <w:rFonts w:hint="default" w:ascii="Times New Roman" w:hAnsi="Times New Roman" w:cs="Times New Roman"/>
        </w:rPr>
        <w:drawing>
          <wp:inline distT="0" distB="0" distL="114300" distR="114300">
            <wp:extent cx="5273040" cy="2676525"/>
            <wp:effectExtent l="0" t="0" r="381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9"/>
                    <a:stretch>
                      <a:fillRect/>
                    </a:stretch>
                  </pic:blipFill>
                  <pic:spPr>
                    <a:xfrm>
                      <a:off x="0" y="0"/>
                      <a:ext cx="5273040" cy="2676525"/>
                    </a:xfrm>
                    <a:prstGeom prst="rect">
                      <a:avLst/>
                    </a:prstGeom>
                    <a:noFill/>
                    <a:ln>
                      <a:noFill/>
                    </a:ln>
                  </pic:spPr>
                </pic:pic>
              </a:graphicData>
            </a:graphic>
          </wp:inline>
        </w:drawing>
      </w:r>
    </w:p>
    <w:p w14:paraId="277383E2">
      <w:pPr>
        <w:rPr>
          <w:rFonts w:hint="default" w:ascii="Times New Roman" w:hAnsi="Times New Roman" w:cs="Times New Roman"/>
          <w:lang w:val="en-US"/>
        </w:rPr>
      </w:pPr>
      <w:r>
        <w:rPr>
          <w:rFonts w:hint="default" w:ascii="Times New Roman" w:hAnsi="Times New Roman" w:cs="Times New Roman"/>
          <w:b/>
          <w:bCs/>
          <w:sz w:val="24"/>
          <w:szCs w:val="32"/>
          <w:lang w:val="en-US" w:eastAsia="zh-CN"/>
        </w:rPr>
        <w:t>Supplementary Figure 7.3. Leverage plots and DIC for fixed vs. random effects modeling in FMD</w:t>
      </w:r>
    </w:p>
    <w:p w14:paraId="4C96B03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32"/>
          <w:lang w:val="en-US" w:eastAsia="zh-CN"/>
        </w:rPr>
      </w:pPr>
      <w:r>
        <w:rPr>
          <w:rFonts w:hint="default" w:ascii="Times New Roman" w:hAnsi="Times New Roman" w:cs="Times New Roman"/>
        </w:rPr>
        <w:drawing>
          <wp:inline distT="0" distB="0" distL="114300" distR="114300">
            <wp:extent cx="5269230" cy="2654300"/>
            <wp:effectExtent l="0" t="0" r="7620" b="317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0"/>
                    <a:stretch>
                      <a:fillRect/>
                    </a:stretch>
                  </pic:blipFill>
                  <pic:spPr>
                    <a:xfrm>
                      <a:off x="0" y="0"/>
                      <a:ext cx="5269230" cy="2654300"/>
                    </a:xfrm>
                    <a:prstGeom prst="rect">
                      <a:avLst/>
                    </a:prstGeom>
                    <a:noFill/>
                    <a:ln>
                      <a:noFill/>
                    </a:ln>
                  </pic:spPr>
                </pic:pic>
              </a:graphicData>
            </a:graphic>
          </wp:inline>
        </w:drawing>
      </w:r>
    </w:p>
    <w:p w14:paraId="538EBECF">
      <w:pP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Supplementary Figure 7.4. Leverage plots and DIC for fixed vs. random effects modeling in PWV</w:t>
      </w:r>
    </w:p>
    <w:p w14:paraId="44DC9062">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380715FF">
      <w:pP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Supplementary Figure 8. Node-splitting analysis</w:t>
      </w:r>
    </w:p>
    <w:p w14:paraId="3A1495C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drawing>
          <wp:inline distT="0" distB="0" distL="114300" distR="114300">
            <wp:extent cx="5269230" cy="6147435"/>
            <wp:effectExtent l="0" t="0" r="7620" b="5715"/>
            <wp:docPr id="4" name="图片 4" descr="R节点劈裂p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R节点劈裂p值"/>
                    <pic:cNvPicPr>
                      <a:picLocks noChangeAspect="1"/>
                    </pic:cNvPicPr>
                  </pic:nvPicPr>
                  <pic:blipFill>
                    <a:blip r:embed="rId21"/>
                    <a:stretch>
                      <a:fillRect/>
                    </a:stretch>
                  </pic:blipFill>
                  <pic:spPr>
                    <a:xfrm>
                      <a:off x="0" y="0"/>
                      <a:ext cx="5269230" cy="6147435"/>
                    </a:xfrm>
                    <a:prstGeom prst="rect">
                      <a:avLst/>
                    </a:prstGeom>
                  </pic:spPr>
                </pic:pic>
              </a:graphicData>
            </a:graphic>
          </wp:inline>
        </w:drawing>
      </w:r>
    </w:p>
    <w:p w14:paraId="2C19737C">
      <w:pP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Supplementary Figure 8.1. Node-splitting analysis comparing the mean differences and 95% CrI between direct, indirect and network meta-analysis evidence for SBP</w:t>
      </w:r>
    </w:p>
    <w:p w14:paraId="6A9334B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32"/>
          <w:lang w:val="en-US" w:eastAsia="zh-CN"/>
        </w:rPr>
      </w:pPr>
    </w:p>
    <w:p w14:paraId="729B5EA8">
      <w:pPr>
        <w:rPr>
          <w:rFonts w:hint="default" w:ascii="Times New Roman" w:hAnsi="Times New Roman" w:cs="Times New Roman"/>
          <w:sz w:val="24"/>
          <w:szCs w:val="32"/>
          <w:lang w:val="en-US" w:eastAsia="zh-CN"/>
        </w:rPr>
      </w:pPr>
    </w:p>
    <w:p w14:paraId="3ECF35E7">
      <w:pPr>
        <w:rPr>
          <w:rFonts w:hint="default" w:ascii="Times New Roman" w:hAnsi="Times New Roman" w:cs="Times New Roman"/>
          <w:sz w:val="24"/>
          <w:szCs w:val="32"/>
          <w:lang w:val="en-US" w:eastAsia="zh-CN"/>
        </w:rPr>
      </w:pPr>
    </w:p>
    <w:p w14:paraId="6D527D4A">
      <w:pPr>
        <w:rPr>
          <w:rFonts w:hint="default" w:ascii="Times New Roman" w:hAnsi="Times New Roman" w:cs="Times New Roman"/>
          <w:b/>
          <w:bCs/>
          <w:sz w:val="24"/>
          <w:szCs w:val="32"/>
          <w:lang w:val="en-US" w:eastAsia="zh-CN"/>
        </w:rPr>
      </w:pPr>
      <w:r>
        <w:rPr>
          <w:rFonts w:hint="default" w:ascii="Times New Roman" w:hAnsi="Times New Roman" w:cs="Times New Roman"/>
          <w:sz w:val="24"/>
          <w:szCs w:val="32"/>
          <w:lang w:val="en-US" w:eastAsia="zh-CN"/>
        </w:rPr>
        <w:br w:type="page"/>
      </w:r>
    </w:p>
    <w:p w14:paraId="7C8B8F1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32"/>
          <w:lang w:val="en-US" w:eastAsia="zh-CN"/>
        </w:rPr>
      </w:pPr>
    </w:p>
    <w:p w14:paraId="7363DF7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drawing>
          <wp:inline distT="0" distB="0" distL="114300" distR="114300">
            <wp:extent cx="5269230" cy="6147435"/>
            <wp:effectExtent l="0" t="0" r="7620" b="5715"/>
            <wp:docPr id="5" name="图片 5" descr="R节点劈裂p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R节点劈裂p值"/>
                    <pic:cNvPicPr>
                      <a:picLocks noChangeAspect="1"/>
                    </pic:cNvPicPr>
                  </pic:nvPicPr>
                  <pic:blipFill>
                    <a:blip r:embed="rId22"/>
                    <a:stretch>
                      <a:fillRect/>
                    </a:stretch>
                  </pic:blipFill>
                  <pic:spPr>
                    <a:xfrm>
                      <a:off x="0" y="0"/>
                      <a:ext cx="5269230" cy="6147435"/>
                    </a:xfrm>
                    <a:prstGeom prst="rect">
                      <a:avLst/>
                    </a:prstGeom>
                  </pic:spPr>
                </pic:pic>
              </a:graphicData>
            </a:graphic>
          </wp:inline>
        </w:drawing>
      </w:r>
    </w:p>
    <w:p w14:paraId="26E9522A">
      <w:pP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Supplementary Figure 8.2. Node-splitting analysis comparing the mean differences and 95% CrI between direct, indirect and network meta-analysis evidence for DBP</w:t>
      </w:r>
    </w:p>
    <w:p w14:paraId="04FC48E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sz w:val="24"/>
          <w:szCs w:val="32"/>
          <w:lang w:val="en-US" w:eastAsia="zh-CN"/>
        </w:rPr>
      </w:pPr>
      <w:r>
        <w:rPr>
          <w:rFonts w:hint="default" w:ascii="Times New Roman" w:hAnsi="Times New Roman" w:cs="Times New Roman"/>
          <w:sz w:val="24"/>
          <w:szCs w:val="32"/>
          <w:lang w:val="en-US" w:eastAsia="zh-CN"/>
        </w:rPr>
        <w:br w:type="page"/>
      </w:r>
      <w:r>
        <w:rPr>
          <w:rFonts w:hint="default" w:ascii="Times New Roman" w:hAnsi="Times New Roman" w:cs="Times New Roman"/>
          <w:b/>
          <w:bCs/>
          <w:sz w:val="24"/>
          <w:szCs w:val="32"/>
          <w:lang w:val="en-US" w:eastAsia="zh-CN"/>
        </w:rPr>
        <w:t>Supplementary Figure 9. Sensitivity analysis of the primary outcomes</w:t>
      </w:r>
    </w:p>
    <w:p w14:paraId="4293099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drawing>
          <wp:inline distT="0" distB="0" distL="114300" distR="114300">
            <wp:extent cx="5371465" cy="3004185"/>
            <wp:effectExtent l="0" t="0" r="635" b="5715"/>
            <wp:docPr id="2" name="图片 2" descr="敏感性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敏感性分析"/>
                    <pic:cNvPicPr>
                      <a:picLocks noChangeAspect="1"/>
                    </pic:cNvPicPr>
                  </pic:nvPicPr>
                  <pic:blipFill>
                    <a:blip r:embed="rId23"/>
                    <a:srcRect t="22177" b="14422"/>
                    <a:stretch>
                      <a:fillRect/>
                    </a:stretch>
                  </pic:blipFill>
                  <pic:spPr>
                    <a:xfrm>
                      <a:off x="0" y="0"/>
                      <a:ext cx="5371465" cy="3004185"/>
                    </a:xfrm>
                    <a:prstGeom prst="rect">
                      <a:avLst/>
                    </a:prstGeom>
                  </pic:spPr>
                </pic:pic>
              </a:graphicData>
            </a:graphic>
          </wp:inline>
        </w:drawing>
      </w:r>
    </w:p>
    <w:p w14:paraId="55CF93F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 xml:space="preserve">Supplementary Figure 9.1. Forest plot of the pooled SBP effect of each modality of exercise compared to the control group without high risk of bias studies </w:t>
      </w:r>
    </w:p>
    <w:p w14:paraId="5699CA6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sz w:val="24"/>
          <w:szCs w:val="32"/>
          <w:lang w:val="en-US" w:eastAsia="zh-CN"/>
        </w:rPr>
      </w:pPr>
    </w:p>
    <w:p w14:paraId="28B3A1F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lang w:val="en-US" w:eastAsia="zh-CN"/>
        </w:rPr>
      </w:pPr>
    </w:p>
    <w:p w14:paraId="20DDA2F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drawing>
          <wp:inline distT="0" distB="0" distL="114300" distR="114300">
            <wp:extent cx="5431155" cy="2985770"/>
            <wp:effectExtent l="0" t="0" r="7620" b="5080"/>
            <wp:docPr id="3" name="图片 3" descr="敏感性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敏感性分析"/>
                    <pic:cNvPicPr>
                      <a:picLocks noChangeAspect="1"/>
                    </pic:cNvPicPr>
                  </pic:nvPicPr>
                  <pic:blipFill>
                    <a:blip r:embed="rId24"/>
                    <a:srcRect t="22464" b="15208"/>
                    <a:stretch>
                      <a:fillRect/>
                    </a:stretch>
                  </pic:blipFill>
                  <pic:spPr>
                    <a:xfrm>
                      <a:off x="0" y="0"/>
                      <a:ext cx="5431155" cy="2985770"/>
                    </a:xfrm>
                    <a:prstGeom prst="rect">
                      <a:avLst/>
                    </a:prstGeom>
                  </pic:spPr>
                </pic:pic>
              </a:graphicData>
            </a:graphic>
          </wp:inline>
        </w:drawing>
      </w:r>
    </w:p>
    <w:p w14:paraId="5B4D9D9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 xml:space="preserve">Supplementary Figure 9.2. Forest plot of the pooled DBP effect of each modality of exercise compared to the control group without high risk of bias studies </w:t>
      </w:r>
    </w:p>
    <w:p w14:paraId="6526C7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4"/>
          <w:szCs w:val="32"/>
          <w:lang w:val="en-US" w:eastAsia="zh-CN"/>
        </w:rPr>
      </w:pPr>
    </w:p>
    <w:p w14:paraId="72A54D0A">
      <w:pP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br w:type="page"/>
      </w:r>
    </w:p>
    <w:p w14:paraId="72CD4CD7">
      <w:pPr>
        <w:rPr>
          <w:rFonts w:hint="default" w:ascii="Times New Roman" w:hAnsi="Times New Roman" w:cs="Times New Roman"/>
          <w:b/>
          <w:bCs/>
          <w:sz w:val="24"/>
          <w:szCs w:val="32"/>
          <w:lang w:val="en-US" w:eastAsia="zh-CN"/>
        </w:rPr>
        <w:sectPr>
          <w:pgSz w:w="11906" w:h="16838"/>
          <w:pgMar w:top="1440" w:right="1800" w:bottom="1440" w:left="1800" w:header="851" w:footer="992" w:gutter="0"/>
          <w:pgNumType w:fmt="decimal"/>
          <w:cols w:space="425" w:num="1"/>
          <w:docGrid w:type="lines" w:linePitch="312" w:charSpace="0"/>
        </w:sectPr>
      </w:pPr>
    </w:p>
    <w:p w14:paraId="5443FF7A">
      <w:pP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Supplementary Figure 10. Plot of funnel</w:t>
      </w:r>
    </w:p>
    <w:p w14:paraId="192B70D3">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drawing>
          <wp:inline distT="0" distB="0" distL="114300" distR="114300">
            <wp:extent cx="5272405" cy="3470275"/>
            <wp:effectExtent l="0" t="0" r="4445" b="6350"/>
            <wp:docPr id="198" name="图片 198" descr="R漏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R漏斗图"/>
                    <pic:cNvPicPr>
                      <a:picLocks noChangeAspect="1"/>
                    </pic:cNvPicPr>
                  </pic:nvPicPr>
                  <pic:blipFill>
                    <a:blip r:embed="rId25"/>
                    <a:stretch>
                      <a:fillRect/>
                    </a:stretch>
                  </pic:blipFill>
                  <pic:spPr>
                    <a:xfrm>
                      <a:off x="0" y="0"/>
                      <a:ext cx="5272405" cy="3470275"/>
                    </a:xfrm>
                    <a:prstGeom prst="rect">
                      <a:avLst/>
                    </a:prstGeom>
                  </pic:spPr>
                </pic:pic>
              </a:graphicData>
            </a:graphic>
          </wp:inline>
        </w:drawing>
      </w:r>
    </w:p>
    <w:p w14:paraId="6E4C303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Supplementary Figure 10.1. Funnel plots for studies reporting SBP</w:t>
      </w:r>
    </w:p>
    <w:p w14:paraId="3DD642B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32"/>
          <w:lang w:val="en-US" w:eastAsia="zh-CN"/>
        </w:rPr>
      </w:pPr>
    </w:p>
    <w:p w14:paraId="4D04DB69">
      <w:pP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drawing>
          <wp:inline distT="0" distB="0" distL="114300" distR="114300">
            <wp:extent cx="5272405" cy="3470275"/>
            <wp:effectExtent l="0" t="0" r="4445" b="6350"/>
            <wp:docPr id="199" name="图片 199" descr="R漏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R漏斗图"/>
                    <pic:cNvPicPr>
                      <a:picLocks noChangeAspect="1"/>
                    </pic:cNvPicPr>
                  </pic:nvPicPr>
                  <pic:blipFill>
                    <a:blip r:embed="rId26"/>
                    <a:stretch>
                      <a:fillRect/>
                    </a:stretch>
                  </pic:blipFill>
                  <pic:spPr>
                    <a:xfrm>
                      <a:off x="0" y="0"/>
                      <a:ext cx="5272405" cy="3470275"/>
                    </a:xfrm>
                    <a:prstGeom prst="rect">
                      <a:avLst/>
                    </a:prstGeom>
                  </pic:spPr>
                </pic:pic>
              </a:graphicData>
            </a:graphic>
          </wp:inline>
        </w:drawing>
      </w:r>
    </w:p>
    <w:p w14:paraId="601AF71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Supplementary Figure 10.2. Funnel plots for studies reporting DBP</w:t>
      </w:r>
    </w:p>
    <w:p w14:paraId="3B2AE698">
      <w:pPr>
        <w:rPr>
          <w:rFonts w:hint="default" w:ascii="Times New Roman" w:hAnsi="Times New Roman" w:cs="Times New Roman"/>
          <w:b/>
          <w:bCs/>
          <w:sz w:val="24"/>
          <w:szCs w:val="32"/>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Helvetica">
    <w:altName w:val="Arial"/>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3A11A">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0C22BC">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00C22BC">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B46B4">
    <w:pPr>
      <w:pStyle w:val="4"/>
    </w:pPr>
    <w:r>
      <w:rPr>
        <w:color w:val="A6A6A6" w:themeColor="background1" w:themeShade="A6"/>
        <w:lang w:val="en-GB" w:eastAsia="en-GB"/>
      </w:rPr>
      <w:drawing>
        <wp:inline distT="0" distB="0" distL="0" distR="0">
          <wp:extent cx="1382395" cy="496570"/>
          <wp:effectExtent l="0" t="0" r="0" b="0"/>
          <wp:docPr id="11"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34909" cy="55187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ViNTljZTJlODExMjUwMzczYzRkZWFmNmY0MDEzZGIifQ=="/>
    <w:docVar w:name="NE.Ref{040CD27A-9B9F-43EC-9601-49298F9F2D99}" w:val=" ADDIN NE.Ref.{040CD27A-9B9F-43EC-9601-49298F9F2D99}&lt;Citation&gt;&lt;Group&gt;&lt;References&gt;&lt;Item&gt;&lt;ID&gt;41337&lt;/ID&gt;&lt;UID&gt;{9072230C-9EC5-4385-A93A-CD95D29866D6}&lt;/UID&gt;&lt;Title&gt;The implementation of a home-based isometric wall squat intervention using ratings of perceived exertion to select and control exercise intensity: a pilot study in normotensive and pre-hypertensive adults&lt;/Title&gt;&lt;Template&gt;Journal Article&lt;/Template&gt;&lt;Star&gt;1&lt;/Star&gt;&lt;Tag&gt;1&lt;/Tag&gt;&lt;Author&gt;Lea, JWD; O&amp;apos;Driscoll, J M; Wiles, J D&lt;/Author&gt;&lt;Year&gt;2024&lt;/Year&gt;&lt;Details&gt;&lt;_accessed&gt;65635108&lt;/_accessed&gt;&lt;_alternate_title&gt;EUROPEAN JOURNAL OF APPLIED PHYSIOLOGY&lt;/_alternate_title&gt;&lt;_author_adr&gt;Canterbury Christ Church Univ, Sch Human &amp;amp; Life Sci, Canterbury, Kent, England&lt;/_author_adr&gt;&lt;_collection_scope&gt;SCIE&lt;/_collection_scope&gt;&lt;_created&gt;65585604&lt;/_created&gt;&lt;_date&gt;2024-01-01&lt;/_date&gt;&lt;_date_display&gt;2024&lt;/_date_display&gt;&lt;_doi&gt;10.1007/s00421-023-05269-2&lt;/_doi&gt;&lt;_impact_factor&gt;   3.346&lt;/_impact_factor&gt;&lt;_isbn&gt;1439-6319&lt;/_isbn&gt;&lt;_issue&gt;1&lt;/_issue&gt;&lt;_journal&gt;EUROPEAN JOURNAL OF APPLIED PHYSIOLOGY&lt;/_journal&gt;&lt;_keywords&gt;RPE; Perceived effort; Hypertension; Blood pressure; Resistance exercise; Randomised control trial; AMBULATORY BLOOD-PRESSURE; YOUNG; METAANALYSIS; REDUCTIONS; MANAGEMENT; MEN; SCALE&lt;/_keywords&gt;&lt;_label&gt;HTN&lt;/_label&gt;&lt;_modified&gt;65635108&lt;/_modified&gt;&lt;_pages&gt;281-293&lt;/_pages&gt;&lt;_social_category&gt;医学(3)&lt;/_social_category&gt;&lt;_volume&gt;124&lt;/_volume&gt;&lt;/Details&gt;&lt;Extra&gt;&lt;DBUID&gt;{CCD8BC99-AC21-4495-A582-31CC77FC1918}&lt;/DBUID&gt;&lt;/Extra&gt;&lt;/Item&gt;&lt;/References&gt;&lt;/Group&gt;&lt;/Citation&gt;_x000a_"/>
    <w:docVar w:name="NE.Ref{13A48994-3C22-482C-B5E0-D064CA6FF124}" w:val=" ADDIN NE.Ref.{13A48994-3C22-482C-B5E0-D064CA6FF124}&lt;Citation&gt;&lt;Group&gt;&lt;References&gt;&lt;Item&gt;&lt;ID&gt;39711&lt;/ID&gt;&lt;UID&gt;{D87DF6A4-353D-4087-9808-FE226C326C45}&lt;/UID&gt;&lt;Title&gt;Stretching vs Walking for Lowering Blood Pressure&lt;/Title&gt;&lt;Template&gt;Journal Article&lt;/Template&gt;&lt;Star&gt;0&lt;/Star&gt;&lt;Tag&gt;1&lt;/Tag&gt;&lt;Author&gt;NCT&lt;/Author&gt;&lt;Year&gt;2022&lt;/Year&gt;&lt;Details&gt;&lt;_accessed&gt;65653100&lt;/_accessed&gt;&lt;_created&gt;65585604&lt;/_created&gt;&lt;_date&gt;2022-01-01&lt;/_date&gt;&lt;_date_display&gt;2022&lt;/_date_display&gt;&lt;_keywords&gt; Hypertension&lt;/_keywords&gt;&lt;_label&gt;PROTO&lt;/_label&gt;&lt;_modified&gt;65653100&lt;/_modified&gt;&lt;_url&gt;https://www.cochranelibrary.com/central/doi/10.1002/central/CN-02372069/full&lt;/_url&gt;&lt;/Details&gt;&lt;Extra&gt;&lt;DBUID&gt;{CCD8BC99-AC21-4495-A582-31CC77FC1918}&lt;/DBUID&gt;&lt;/Extra&gt;&lt;/Item&gt;&lt;/References&gt;&lt;/Group&gt;&lt;/Citation&gt;_x000a_"/>
    <w:docVar w:name="NE.Ref{15AA6F37-2448-43A4-BD6B-D849B2C19233}" w:val=" ADDIN NE.Ref.{15AA6F37-2448-43A4-BD6B-D849B2C19233}&lt;Citation&gt;&lt;Group&gt;&lt;References&gt;&lt;Item&gt;&lt;ID&gt;40774&lt;/ID&gt;&lt;UID&gt;{B221F518-77EB-4538-9DF3-D2FDA425F661}&lt;/UID&gt;&lt;Title&gt;EFFECTS OF HOME-BASED ISOMETRIC HANDGRIP OR AEROBIC EXERCISE TRAINING IN OLDER ADULTS WITH PREHYPERTENSION AND HYPERTENSION&lt;/Title&gt;&lt;Template&gt;Journal Article&lt;/Template&gt;&lt;Star&gt;0&lt;/Star&gt;&lt;Tag&gt;1&lt;/Tag&gt;&lt;Author&gt;Pinto, D; Rato, N D; Garcia, C; Teixeira, M; Marques, M J; Amaral, T; Amaral, L; Ruivo, P; Abreu, R; Oliveira, A P; Carneiro, C; Figueiredo, D; Polónia, J; Mesquita-Bastos, J; Viana, J L; Pescatello, L S; Ribeiro, F; Alves, A J&lt;/Author&gt;&lt;Year&gt;2022&lt;/Year&gt;&lt;Details&gt;&lt;_accessed&gt;65635119&lt;/_accessed&gt;&lt;_alternate_title&gt;J. Hypertens.&lt;/_alternate_title&gt;&lt;_author_adr&gt;D. Pinto, Research Center in Sports Sciences, Health Sciences and Human Development, Maia University, Maia, Portugal&lt;/_author_adr&gt;&lt;_collection_scope&gt;SCIE&lt;/_collection_scope&gt;&lt;_created&gt;65585604&lt;/_created&gt;&lt;_date&gt;2022-01-01&lt;/_date&gt;&lt;_date_display&gt;2022&lt;/_date_display&gt;&lt;_doi&gt;10.1097/01.hjh.0000838220.85703.0f&lt;/_doi&gt;&lt;_impact_factor&gt;   4.776&lt;/_impact_factor&gt;&lt;_isbn&gt;1473-5598&lt;/_isbn&gt;&lt;_journal&gt;Journal of Hypertension&lt;/_journal&gt;&lt;_keywords&gt;antihypertensive agent; aerobic exercise; aged; attention; blood pressure; blood pressure monitoring; conference abstract; controlled study; diastolic blood pressure; exercise; female; hand grip; human; hypertension; lifestyle; major clinical study; male; maximal oxygen uptake; medical care; prehypertension; preliminary data; pulse pressure; randomized controlled trial; systolic blood pressure; walking&lt;/_keywords&gt;&lt;_label&gt;HTN&lt;/_label&gt;&lt;_modified&gt;65635119&lt;/_modified&gt;&lt;_pages&gt;e263&lt;/_pages&gt;&lt;_social_category&gt;医学(2)&lt;/_social_category&gt;&lt;_url&gt;https://www.embase.com/search/results?subaction=viewrecord&amp;amp;id=L638439708&amp;amp;from=export_x000d__x000a_http://dx.doi.org/10.1097/01.hjh.0000838220.85703.0f&lt;/_url&gt;&lt;_volume&gt;40&lt;/_volume&gt;&lt;/Details&gt;&lt;Extra&gt;&lt;DBUID&gt;{CCD8BC99-AC21-4495-A582-31CC77FC1918}&lt;/DBUID&gt;&lt;/Extra&gt;&lt;/Item&gt;&lt;/References&gt;&lt;/Group&gt;&lt;/Citation&gt;_x000a_"/>
    <w:docVar w:name="NE.Ref{15B86D30-353F-40E5-9492-B37F6DCAD7DB}" w:val=" ADDIN NE.Ref.{15B86D30-353F-40E5-9492-B37F6DCAD7DB}&lt;Citation&gt;&lt;Group&gt;&lt;References&gt;&lt;Item&gt;&lt;ID&gt;39635&lt;/ID&gt;&lt;UID&gt;{0E9349A2-BFE7-4AD5-A59B-398E677DAA25}&lt;/UID&gt;&lt;Title&gt;Inspiratory Muscle Strength Training for Lowering Blood Pressure and Improving Endothelial Function in Postmenopausal Women: comparison With &amp;quot;Standard of Care&amp;quot; Aerobic Exercise&lt;/Title&gt;&lt;Template&gt;Journal Article&lt;/Template&gt;&lt;Star&gt;0&lt;/Star&gt;&lt;Tag&gt;1&lt;/Tag&gt;&lt;Author&gt;NCT&lt;/Author&gt;&lt;Year&gt;2021&lt;/Year&gt;&lt;Details&gt;&lt;_accessed&gt;65653100&lt;/_accessed&gt;&lt;_created&gt;65585604&lt;/_created&gt;&lt;_date&gt;2021-01-01&lt;/_date&gt;&lt;_date_display&gt;2021&lt;/_date_display&gt;&lt;_keywords&gt; Respiratory Aspiration&lt;/_keywords&gt;&lt;_label&gt;PROTO&lt;/_label&gt;&lt;_modified&gt;65653100&lt;/_modified&gt;&lt;_url&gt;https://www.cochranelibrary.com/central/doi/10.1002/central/CN-02297522/full&lt;/_url&gt;&lt;/Details&gt;&lt;Extra&gt;&lt;DBUID&gt;{CCD8BC99-AC21-4495-A582-31CC77FC1918}&lt;/DBUID&gt;&lt;/Extra&gt;&lt;/Item&gt;&lt;/References&gt;&lt;/Group&gt;&lt;/Citation&gt;_x000a_"/>
    <w:docVar w:name="NE.Ref{15ED8550-A20E-4BB7-96B6-5E2F8FA38D0E}" w:val=" ADDIN NE.Ref.{15ED8550-A20E-4BB7-96B6-5E2F8FA38D0E}&lt;Citation&gt;&lt;Group&gt;&lt;References&gt;&lt;Item&gt;&lt;ID&gt;39530&lt;/ID&gt;&lt;UID&gt;{887F12A7-DF77-4FE4-AB1C-8834E0B833E6}&lt;/UID&gt;&lt;Title&gt;Effects of slow breathing training on hemodynamic changes, cardiac autonomic function and neuroendocrine response in people with high blood pressure: A randomized control trial.&lt;/Title&gt;&lt;Template&gt;Journal Article&lt;/Template&gt;&lt;Star&gt;0&lt;/Star&gt;&lt;Tag&gt;1&lt;/Tag&gt;&lt;Author&gt;Yuenyongchaiwat, Kornanong; Changsri, Khaimuk; Harnmanop, Somrudee; Namdaeng, Phuwarin; Aiemthaisong, Mayuree; Pongpanit, Karan; Pariyatkaraphan, Thanawat&lt;/Author&gt;&lt;Year&gt;2024&lt;/Year&gt;&lt;Details&gt;&lt;_accessed&gt;65628996&lt;/_accessed&gt;&lt;_alternate_title&gt;Journal of Bodywork &amp;amp; Movement TherapiesJournal of Bodywork &amp;amp; Movement Therapies&lt;/_alternate_title&gt;&lt;_created&gt;65585598&lt;/_created&gt;&lt;_date&gt;2024-01-01&lt;/_date&gt;&lt;_date_display&gt;2024/01//&lt;/_date_display&gt;&lt;_doi&gt;10.1016/j.jbmt.2023.11.042&lt;/_doi&gt;&lt;_isbn&gt;13608592&lt;/_isbn&gt;&lt;_journal&gt;Journal of Bodywork &amp;amp; Movement Therapies&lt;/_journal&gt;&lt;_keywords&gt;AUTONOMIC nervous system physiology; SALIVA analysis; HYPERTENSION; CARDIOVASCULAR system physiology; BREATHING exercises; TREATMENT effectiveness; OXIDATIVE stress; HEART beat; ELECTROCARDIOGRAPHY; HEMODYNAMICS; BLOOD pressure measurement; HYDROCORTISONE; NEUROENDOCRINE system; ANALYSIS of variance; RANDOMIZED controlled trials; COMPARATIVE studies; PRE-tests &amp;amp; post-tests; STATISTICAL sampling; EVALUATION; Cardiac autonomic function; Heart rate variability; Neuroendocrine response; Salivary cortisol; Slow breathing training&lt;/_keywords&gt;&lt;_label&gt;HTN&lt;/_label&gt;&lt;_modified&gt;65628996&lt;/_modified&gt;&lt;_pages&gt;136-141&lt;/_pages&gt;&lt;_url&gt;https://search.ebscohost.com/login.aspx?direct=true&amp;amp;AuthType=sso&amp;amp;db=s3h&amp;amp;AN=175792886&amp;amp;site=ehost-live&amp;amp;scope=site&amp;amp;custid=s6636215&lt;/_url&gt;&lt;_volume&gt;37&lt;/_volume&gt;&lt;/Details&gt;&lt;Extra&gt;&lt;DBUID&gt;{CCD8BC99-AC21-4495-A582-31CC77FC1918}&lt;/DBUID&gt;&lt;/Extra&gt;&lt;/Item&gt;&lt;/References&gt;&lt;/Group&gt;&lt;/Citation&gt;_x000a_"/>
    <w:docVar w:name="NE.Ref{1972A613-E5BE-4258-B7F2-3DFAECD8FC32}" w:val=" ADDIN NE.Ref.{1972A613-E5BE-4258-B7F2-3DFAECD8FC32}&lt;Citation&gt;&lt;Group&gt;&lt;References&gt;&lt;Item&gt;&lt;ID&gt;39710&lt;/ID&gt;&lt;UID&gt;{ABDA532C-D662-4006-8E80-E6C9ADA6588A}&lt;/UID&gt;&lt;Title&gt;Influence of Taiji exercise on blood pressure and mood state of people with borderline hypertension&lt;/Title&gt;&lt;Template&gt;Journal Article&lt;/Template&gt;&lt;Star&gt;0&lt;/Star&gt;&lt;Tag&gt;1&lt;/Tag&gt;&lt;Author&gt;Li, X; Peng, Q; Tan, K; Li, G&lt;/Author&gt;&lt;Year&gt;2020&lt;/Year&gt;&lt;Details&gt;&lt;_accessed&gt;65653104&lt;/_accessed&gt;&lt;_created&gt;65585604&lt;/_created&gt;&lt;_date&gt;2020-01-01&lt;/_date&gt;&lt;_date_display&gt;2020&lt;/_date_display&gt;&lt;_keywords&gt; *blood pressure regulation;  *borderline hypertension;  *exercise;  *mood;  Adult;  Antihypertensive therapy;  Blood pressure monitoring;  Civil servant;  Conference abstract;  Controlled study;  Diastolic blood pressure;  Female;  Human;  Major clinical study;  Male;  Physical examination;  Randomized controlled trial;  Statistical significance&lt;/_keywords&gt;&lt;_label&gt;MEETING&lt;/_label&gt;&lt;_modified&gt;65653104&lt;/_modified&gt;&lt;_pages&gt; 81&lt;/_pages&gt;&lt;_url&gt;https://www.cochranelibrary.com/central/doi/10.1002/central/CN-02141649/full&lt;/_url&gt;&lt;_volume&gt;126&lt;/_volume&gt;&lt;/Details&gt;&lt;Extra&gt;&lt;DBUID&gt;{CCD8BC99-AC21-4495-A582-31CC77FC1918}&lt;/DBUID&gt;&lt;/Extra&gt;&lt;/Item&gt;&lt;/References&gt;&lt;/Group&gt;&lt;/Citation&gt;_x000a_"/>
    <w:docVar w:name="NE.Ref{1B73305A-6246-4F49-A60C-B3FE45D89BF0}" w:val=" ADDIN NE.Ref.{1B73305A-6246-4F49-A60C-B3FE45D89BF0}&lt;Citation&gt;&lt;Group&gt;&lt;References&gt;&lt;Item&gt;&lt;ID&gt;41082&lt;/ID&gt;&lt;UID&gt;{18179D89-0D54-4047-90FD-47955677CB7E}&lt;/UID&gt;&lt;Title&gt;Effect of graded aerobic exercise training on blood pressure changes in women with elevated blood pressure&lt;/Title&gt;&lt;Template&gt;Journal Article&lt;/Template&gt;&lt;Star&gt;0&lt;/Star&gt;&lt;Tag&gt;1&lt;/Tag&gt;&lt;Author&gt;Aminuddin, A; Zakaria, Z; Nordin, N A M M; Karim, A A H; Maskon, O; Pei, T S; Fadzilah, F M&lt;/Author&gt;&lt;Year&gt;2011&lt;/Year&gt;&lt;Details&gt;&lt;_accessed&gt;65630855&lt;/_accessed&gt;&lt;_alternate_title&gt;Int. Med. J.&lt;/_alternate_title&gt;&lt;_author_adr&gt;N.A.M.M. Nordin, Physiology Department, Universiti Kebangsaan Malaysia Medical Centre, Jalan Raja Muda, 50300 Kuala Lumpur, Malaysia&lt;/_author_adr&gt;&lt;_created&gt;65585604&lt;/_created&gt;&lt;_date&gt;2011-01-01&lt;/_date&gt;&lt;_date_display&gt;2011&lt;/_date_display&gt;&lt;_isbn&gt;1341-2051&lt;/_isbn&gt;&lt;_issue&gt;3&lt;/_issue&gt;&lt;_journal&gt;International Medical Journal&lt;/_journal&gt;&lt;_keywords&gt;adult; aerobic capacity; aerobic exercise; ambulatory monitoring; article; blood pressure measurement; blood pressure monitoring; controlled study; female; heart rate; human; hypertension; randomized controlled trial; sedentary lifestyle; systolic blood pressure&lt;/_keywords&gt;&lt;_label&gt;HTN&lt;/_label&gt;&lt;_modified&gt;65630855&lt;/_modified&gt;&lt;_pages&gt;207-211&lt;/_pages&gt;&lt;_url&gt;https://www.embase.com/search/results?subaction=viewrecord&amp;amp;id=L362690512&amp;amp;from=export&lt;/_url&gt;&lt;_volume&gt;18&lt;/_volume&gt;&lt;/Details&gt;&lt;Extra&gt;&lt;DBUID&gt;{CCD8BC99-AC21-4495-A582-31CC77FC1918}&lt;/DBUID&gt;&lt;/Extra&gt;&lt;/Item&gt;&lt;/References&gt;&lt;/Group&gt;&lt;/Citation&gt;_x000a_"/>
    <w:docVar w:name="NE.Ref{1B94B1F7-FDFA-4E6D-AC7C-9DCE44F76949}" w:val=" ADDIN NE.Ref.{1B94B1F7-FDFA-4E6D-AC7C-9DCE44F76949}&lt;Citation&gt;&lt;Group&gt;&lt;References&gt;&lt;Item&gt;&lt;ID&gt;39635&lt;/ID&gt;&lt;UID&gt;{0E9349A2-BFE7-4AD5-A59B-398E677DAA25}&lt;/UID&gt;&lt;Title&gt;Inspiratory Muscle Strength Training for Lowering Blood Pressure and Improving Endothelial Function in Postmenopausal Women: comparison With &amp;quot;Standard of Care&amp;quot; Aerobic Exercise&lt;/Title&gt;&lt;Template&gt;Journal Article&lt;/Template&gt;&lt;Star&gt;0&lt;/Star&gt;&lt;Tag&gt;1&lt;/Tag&gt;&lt;Author&gt;NCT&lt;/Author&gt;&lt;Year&gt;2021&lt;/Year&gt;&lt;Details&gt;&lt;_accessed&gt;65653100&lt;/_accessed&gt;&lt;_created&gt;65585604&lt;/_created&gt;&lt;_date&gt;2021-01-01&lt;/_date&gt;&lt;_date_display&gt;2021&lt;/_date_display&gt;&lt;_keywords&gt; Respiratory Aspiration&lt;/_keywords&gt;&lt;_label&gt;PROTO&lt;/_label&gt;&lt;_modified&gt;65653100&lt;/_modified&gt;&lt;_url&gt;https://www.cochranelibrary.com/central/doi/10.1002/central/CN-02297522/full&lt;/_url&gt;&lt;/Details&gt;&lt;Extra&gt;&lt;DBUID&gt;{CCD8BC99-AC21-4495-A582-31CC77FC1918}&lt;/DBUID&gt;&lt;/Extra&gt;&lt;/Item&gt;&lt;/References&gt;&lt;/Group&gt;&lt;/Citation&gt;_x000a_"/>
    <w:docVar w:name="NE.Ref{1CD81687-5086-4F5F-83CE-2D5F57CC28EF}" w:val=" ADDIN NE.Ref.{1CD81687-5086-4F5F-83CE-2D5F57CC28EF}&lt;Citation&gt;&lt;Group&gt;&lt;References&gt;&lt;Item&gt;&lt;ID&gt;39777&lt;/ID&gt;&lt;UID&gt;{725AA06C-80BB-4416-8E85-1CB4D5D02AFD}&lt;/UID&gt;&lt;Title&gt;A randomized cross-over study on the blood pressure lowering effect of the combined passive head-up and -down movement with Device-Guided slow breathing&lt;/Title&gt;&lt;Template&gt;Journal Article&lt;/Template&gt;&lt;Star&gt;0&lt;/Star&gt;&lt;Tag&gt;1&lt;/Tag&gt;&lt;Author&gt;Xu, S K; Chen, Y; Liu, C Y; Spekowius, G; van Ee, R; de Jong, M; Shen, M; Li, Y; Wang, J G&lt;/Author&gt;&lt;Year&gt;2019&lt;/Year&gt;&lt;Details&gt;&lt;_accessed&gt;65653101&lt;/_accessed&gt;&lt;_created&gt;65585604&lt;/_created&gt;&lt;_date&gt;2019-01-01&lt;/_date&gt;&lt;_date_display&gt;2019&lt;/_date_display&gt;&lt;_doi&gt;10.1080/08037051.2019.1613884&lt;/_doi&gt;&lt;_issue&gt; 5&lt;/_issue&gt;&lt;_keywords&gt; *antihypertensive therapy;  *blood pressure monitoring;  *breathing rate;  *head movement;  Adult;  Aged;  Article;  Baroreflex;  Blood Pressure Monitoring, Ambulatory;  Blood Pressure [*physiology];  Borderline hypertension;  Breathing Exercises [methods];  Clinical article;  Controlled study;  Cross‐Over Studies;  Depressed blood pressure;  Diastolic blood pressure;  Female;  Follow up;  Human;  Humans;  Hypertension [*therapy];  Male;  Middle Aged;  Movement [*physiology];  Pulse rate;  Randomized controlled trial;  Respiratory Rate [*physiology]&lt;/_keywords&gt;&lt;_label&gt;HTN&lt;/_label&gt;&lt;_modified&gt;65653101&lt;/_modified&gt;&lt;_pages&gt; 291‐299&lt;/_pages&gt;&lt;_url&gt;https://www.cochranelibrary.com/central/doi/10.1002/central/CN-01943317/full&lt;/_url&gt;&lt;_volume&gt;28&lt;/_volume&gt;&lt;/Details&gt;&lt;Extra&gt;&lt;DBUID&gt;{CCD8BC99-AC21-4495-A582-31CC77FC1918}&lt;/DBUID&gt;&lt;/Extra&gt;&lt;/Item&gt;&lt;/References&gt;&lt;/Group&gt;&lt;/Citation&gt;_x000a_"/>
    <w:docVar w:name="NE.Ref{23C4DED0-5CB8-4FAD-8125-E054C1EFD5F9}" w:val=" ADDIN NE.Ref.{23C4DED0-5CB8-4FAD-8125-E054C1EFD5F9}&lt;Citation&gt;&lt;Group&gt;&lt;References&gt;&lt;Item&gt;&lt;ID&gt;41072&lt;/ID&gt;&lt;UID&gt;{C935CE27-8D3A-449D-AC3A-4D591B9008E5}&lt;/UID&gt;&lt;Title&gt;Influence of change in aerobic fitness and weight on prevalence of metabolic syndrome.&lt;/Title&gt;&lt;Template&gt;Journal Article&lt;/Template&gt;&lt;Star&gt;0&lt;/Star&gt;&lt;Tag&gt;1&lt;/Tag&gt;&lt;Author&gt;Crist, L A; Champagne, C M; Corsino, L; Lien, L F; Zhang, G; Young, D R&lt;/Author&gt;&lt;Year&gt;2012&lt;/Year&gt;&lt;Details&gt;&lt;_accessed&gt;65629039&lt;/_accessed&gt;&lt;_alternate_title&gt;Prev Chronic Dis&lt;/_alternate_title&gt;&lt;_author_adr&gt;L.A. Crist, University of Maryland School of Public Health, College Park, Maryland, USA.&lt;/_author_adr&gt;&lt;_collection_scope&gt;SSCI;SCIE&lt;/_collection_scope&gt;&lt;_created&gt;65585604&lt;/_created&gt;&lt;_date&gt;2012-01-01&lt;/_date&gt;&lt;_date_display&gt;2012&lt;/_date_display&gt;&lt;_impact_factor&gt;   4.354&lt;/_impact_factor&gt;&lt;_isbn&gt;1545-1151&lt;/_isbn&gt;&lt;_journal&gt;Preventing chronic disease&lt;/_journal&gt;&lt;_keywords&gt;article; body weight; clinical trial; controlled clinical trial; controlled study; counseling; diet; exercise; exercise test; exercise tolerance; female; fitness; health behavior; heart rate; human; lifestyle; male; metabolic syndrome X; middle aged; multicenter study; prevalence; randomized controlled trial; treatment outcome; body weight loss&lt;/_keywords&gt;&lt;_label&gt;HTN&lt;/_label&gt;&lt;_modified&gt;65629039&lt;/_modified&gt;&lt;_pages&gt;E68&lt;/_pages&gt;&lt;_social_category&gt;医学(4)&lt;/_social_category&gt;&lt;_url&gt;https://www.embase.com/search/results?subaction=viewrecord&amp;amp;id=L365014797&amp;amp;from=export&lt;/_url&gt;&lt;_volume&gt;9&lt;/_volume&gt;&lt;/Details&gt;&lt;Extra&gt;&lt;DBUID&gt;{CCD8BC99-AC21-4495-A582-31CC77FC1918}&lt;/DBUID&gt;&lt;/Extra&gt;&lt;/Item&gt;&lt;/References&gt;&lt;/Group&gt;&lt;/Citation&gt;_x000a_"/>
    <w:docVar w:name="NE.Ref{244C7FE3-0FF9-46F4-A62C-4DF49A5B8579}" w:val=" ADDIN NE.Ref.{244C7FE3-0FF9-46F4-A62C-4DF49A5B8579}&lt;Citation&gt;&lt;Group&gt;&lt;References&gt;&lt;Item&gt;&lt;ID&gt;40867&lt;/ID&gt;&lt;UID&gt;{79C5A03F-EF0F-4900-9B3D-C7A361653F3B}&lt;/UID&gt;&lt;Title&gt;Hot yoga and hypertension: Exploration of a novel lifestyle intervention&lt;/Title&gt;&lt;Template&gt;Journal Article&lt;/Template&gt;&lt;Star&gt;0&lt;/Star&gt;&lt;Tag&gt;1&lt;/Tag&gt;&lt;Author&gt;Hunter, S; Fadeyi, A T; Shadiow, J&lt;/Author&gt;&lt;Year&gt;2019&lt;/Year&gt;&lt;Details&gt;&lt;_accessed&gt;65630432&lt;/_accessed&gt;&lt;_alternate_title&gt;Hypertension&lt;/_alternate_title&gt;&lt;_author_adr&gt;S. Hunter, Texas State Univ, San Marcos, TX, United States&lt;/_author_adr&gt;&lt;_collection_scope&gt;SCIE&lt;/_collection_scope&gt;&lt;_created&gt;65585604&lt;/_created&gt;&lt;_date&gt;2019-01-01&lt;/_date&gt;&lt;_date_display&gt;2019&lt;/_date_display&gt;&lt;_doi&gt;10.1161/hyp.74.suppl_1.P196&lt;/_doi&gt;&lt;_impact_factor&gt;   9.897&lt;/_impact_factor&gt;&lt;_isbn&gt;1524-4563&lt;/_isbn&gt;&lt;_journal&gt;Hypertension&lt;/_journal&gt;&lt;_keywords&gt;adult; African American; aged; antihypertensive therapy; augmentation index; blood pressure monitoring; body weight loss; clinical article; conference abstract; controlled study; diastolic blood pressure; drug safety; female; Hispanic; hot yoga; human; hypertension; lifestyle; male; mental stress; outcome variable; Perceived Stress Scale; physical activity; preliminary data; pulse wave; randomization; sleep time; sphygmomanometer; wakefulness; young adult&lt;/_keywords&gt;&lt;_label&gt;MEETING&lt;/_label&gt;&lt;_modified&gt;65630434&lt;/_modified&gt;&lt;_social_category&gt;医学(1)&lt;/_social_category&gt;&lt;_url&gt;https://www.embase.com/search/results?subaction=viewrecord&amp;amp;id=L629598341&amp;amp;from=export_x000d__x000a_http://dx.doi.org/10.1161/hyp.74.suppl_1.P196&lt;/_url&gt;&lt;_volume&gt;74&lt;/_volume&gt;&lt;/Details&gt;&lt;Extra&gt;&lt;DBUID&gt;{CCD8BC99-AC21-4495-A582-31CC77FC1918}&lt;/DBUID&gt;&lt;/Extra&gt;&lt;/Item&gt;&lt;/References&gt;&lt;/Group&gt;&lt;/Citation&gt;_x000a_"/>
    <w:docVar w:name="NE.Ref{249D34EF-FFEA-4858-9729-C136991EDA71}" w:val=" ADDIN NE.Ref.{249D34EF-FFEA-4858-9729-C136991EDA71}&lt;Citation&gt;&lt;Group&gt;&lt;References&gt;&lt;Item&gt;&lt;ID&gt;39832&lt;/ID&gt;&lt;UID&gt;{6F6DD37F-F345-434E-B77E-54BF16D6C98F}&lt;/UID&gt;&lt;Title&gt;Can exercise lower blood pressure in mildly hypertensive older persons? Commentary&lt;/Title&gt;&lt;Template&gt;Journal Article&lt;/Template&gt;&lt;Star&gt;0&lt;/Star&gt;&lt;Tag&gt;1&lt;/Tag&gt;&lt;Author&gt;Moore, G E; LaMonte, M J&lt;/Author&gt;&lt;Year&gt;2006&lt;/Year&gt;&lt;Details&gt;&lt;_accessed&gt;65630381&lt;/_accessed&gt;&lt;_created&gt;65585604&lt;/_created&gt;&lt;_date&gt;2006-01-01&lt;/_date&gt;&lt;_date_display&gt;2006&lt;/_date_display&gt;&lt;_doi&gt;10.1097/01.jsm.0000248839.09003.c8&lt;/_doi&gt;&lt;_issue&gt; 5&lt;/_issue&gt;&lt;_keywords&gt; *aerobic exercise;  *blood pressure regulation;  *borderline hypertension;  Adult;  Aged;  Blood pressure measurement;  Body fat distribution;  Body mass;  Body weight;  Caloric intake;  Clinical trial;  Controlled study;  Diastolic blood pressure;  Human;  Intervention study;  Muscle strength;  Note;  Outcome assessment;  Patient compliance;  Patient selection;  Practice guideline;  Priority journal;  Randomized controlled trial;  Sample size;  Sex difference;  Systolic blood pressure;  Waist circumference&lt;/_keywords&gt;&lt;_label&gt;HTN&lt;/_label&gt;&lt;_modified&gt;65630381&lt;/_modified&gt;&lt;_pages&gt; 451‐452&lt;/_pages&gt;&lt;_url&gt;https://www.cochranelibrary.com/central/doi/10.1002/central/CN-01766507/full&lt;/_url&gt;&lt;_volume&gt;16&lt;/_volume&gt;&lt;/Details&gt;&lt;Extra&gt;&lt;DBUID&gt;{CCD8BC99-AC21-4495-A582-31CC77FC1918}&lt;/DBUID&gt;&lt;/Extra&gt;&lt;/Item&gt;&lt;/References&gt;&lt;/Group&gt;&lt;/Citation&gt;_x000a_"/>
    <w:docVar w:name="NE.Ref{24CE921B-49A4-481C-BCB3-7E5816B80474}" w:val=" ADDIN NE.Ref.{24CE921B-49A4-481C-BCB3-7E5816B80474}&lt;Citation&gt;&lt;Group&gt;&lt;References&gt;&lt;Item&gt;&lt;ID&gt;41387&lt;/ID&gt;&lt;UID&gt;{83B99E99-B16A-45BD-8DBC-4DB8C8CCD7C3}&lt;/UID&gt;&lt;Title&gt;Acute effects of whole-body vibration with resistance exercise on postexercise blood pressure and oxygen consumption in prehypertensive adults&lt;/Title&gt;&lt;Template&gt;Journal Article&lt;/Template&gt;&lt;Star&gt;0&lt;/Star&gt;&lt;Tag&gt;1&lt;/Tag&gt;&lt;Author&gt;Zeigler, Z S; Swan, P D&lt;/Author&gt;&lt;Year&gt;2016&lt;/Year&gt;&lt;Details&gt;&lt;_accessed&gt;65632171&lt;/_accessed&gt;&lt;_alternate_title&gt;JOURNAL OF EXERCISE SCIENCE &amp;amp; FITNESS&lt;/_alternate_title&gt;&lt;_author_adr&gt;Arizona State Univ, Sch Nutr &amp;amp; Hlth Promot, 500 North 3rd St,Mail Code 3020, Phoenix, AZ 85004 USA&lt;/_author_adr&gt;&lt;_collection_scope&gt;SCIE&lt;/_collection_scope&gt;&lt;_created&gt;65585604&lt;/_created&gt;&lt;_date&gt;2016-01-01&lt;/_date&gt;&lt;_date_display&gt;2016&lt;/_date_display&gt;&lt;_doi&gt;10.1016/j.jesf.2015.12.001&lt;/_doi&gt;&lt;_impact_factor&gt;   3.465&lt;/_impact_factor&gt;&lt;_isbn&gt;1728-869X&lt;/_isbn&gt;&lt;_issue&gt;1&lt;/_issue&gt;&lt;_journal&gt;JOURNAL OF EXERCISE SCIENCE &amp;amp; FITNESS&lt;/_journal&gt;&lt;_keywords&gt;Excess postexercise oxygen consumption; Hypertension; Postexercise hypotension; Prehypertension; ARTERIAL STIFFNESS; PHYSICAL-ACTIVITY; PUBLIC-HEALTH; INTENSITY; HYPOTENSION; HYPERTENSION; ASSOCIATION; MECHANISMS; DECREASES; DURATION&lt;/_keywords&gt;&lt;_label&gt;ACUTE&lt;/_label&gt;&lt;_modified&gt;65632171&lt;/_modified&gt;&lt;_pages&gt;14-23&lt;/_pages&gt;&lt;_social_category&gt;医学(2)&lt;/_social_category&gt;&lt;_volume&gt;14&lt;/_volume&gt;&lt;/Details&gt;&lt;Extra&gt;&lt;DBUID&gt;{CCD8BC99-AC21-4495-A582-31CC77FC1918}&lt;/DBUID&gt;&lt;/Extra&gt;&lt;/Item&gt;&lt;/References&gt;&lt;/Group&gt;&lt;/Citation&gt;_x000a_"/>
    <w:docVar w:name="NE.Ref{264EBADF-DCE0-4332-8A5D-29FFED3BA1E9}" w:val=" ADDIN NE.Ref.{264EBADF-DCE0-4332-8A5D-29FFED3BA1E9}&lt;Citation&gt;&lt;Group&gt;&lt;References&gt;&lt;Item&gt;&lt;ID&gt;40594&lt;/ID&gt;&lt;UID&gt;{C58792F4-7087-4F5F-902B-DB0263838669}&lt;/UID&gt;&lt;Title&gt;Comparative effect of Myofascual release technique and lifestyle modification in prehypertension individuals A RANDOMIZED CONTROLLED TRIAL&lt;/Title&gt;&lt;Template&gt;Journal Article&lt;/Template&gt;&lt;Star&gt;0&lt;/Star&gt;&lt;Tag&gt;1&lt;/Tag&gt;&lt;Author&gt;CTRI&lt;/Author&gt;&lt;Year&gt;2024&lt;/Year&gt;&lt;Details&gt;&lt;_accessed&gt;65653137&lt;/_accessed&gt;&lt;_created&gt;65585604&lt;/_created&gt;&lt;_date&gt;2024-01-01&lt;/_date&gt;&lt;_date_display&gt;2024&lt;/_date_display&gt;&lt;_label&gt;&amp;lt;4weeks; PROTO&lt;/_label&gt;&lt;_modified&gt;65653137&lt;/_modified&gt;&lt;_url&gt;https://www.cochranelibrary.com/central/doi/10.1002/central/CN-02655867/full&lt;/_url&gt;&lt;/Details&gt;&lt;Extra&gt;&lt;DBUID&gt;{CCD8BC99-AC21-4495-A582-31CC77FC1918}&lt;/DBUID&gt;&lt;/Extra&gt;&lt;/Item&gt;&lt;/References&gt;&lt;/Group&gt;&lt;/Citation&gt;_x000a_"/>
    <w:docVar w:name="NE.Ref{27418FF1-FF03-47D6-B327-CC3CAA014780}" w:val=" ADDIN NE.Ref.{27418FF1-FF03-47D6-B327-CC3CAA014780}&lt;Citation&gt;&lt;Group&gt;&lt;References&gt;&lt;Item&gt;&lt;ID&gt;41022&lt;/ID&gt;&lt;UID&gt;{B4CC33A4-68BE-46BE-8292-0C9CF2B61E19}&lt;/UID&gt;&lt;Title&gt;Exercise training improves endothelial function in resistance arteries of young prehypertensives&lt;/Title&gt;&lt;Template&gt;Journal Article&lt;/Template&gt;&lt;Star&gt;0&lt;/Star&gt;&lt;Tag&gt;1&lt;/Tag&gt;&lt;Author&gt;Beck, D T; Martin, J S; Casey, D P; Braith, R W&lt;/Author&gt;&lt;Year&gt;2014&lt;/Year&gt;&lt;Details&gt;&lt;_accessed&gt;65653135&lt;/_accessed&gt;&lt;_alternate_title&gt;J. Hum. Hypertens.&lt;/_alternate_title&gt;&lt;_author_adr&gt;D.T. Beck, Department of Kinesiology, University of Rhode Island, 25 West Independence Way, Kingston, RI 02881, United States&lt;/_author_adr&gt;&lt;_collection_scope&gt;SCIE&lt;/_collection_scope&gt;&lt;_created&gt;65585604&lt;/_created&gt;&lt;_date&gt;2014-01-01&lt;/_date&gt;&lt;_date_display&gt;2014&lt;/_date_display&gt;&lt;_doi&gt;10.1038/jhh.2013.109&lt;/_doi&gt;&lt;_impact_factor&gt;   2.877&lt;/_impact_factor&gt;&lt;_isbn&gt;1476-5527&lt;/_isbn&gt;&lt;_issue&gt;5&lt;/_issue&gt;&lt;_journal&gt;Journal of Human Hypertension&lt;/_journal&gt;&lt;_keywords&gt;8 isoprostaglandin F2 alpha; antioxidant; oxidizing agent; trolox C; adult; antioxidant activity; artery resistance; article; blood flow; blood flowmetry; calf blood flow; clinical article; controlled study; endothelial dysfunction; endothelium; endurance training; female; forearm blood flow; human; hyperemia; lipid peroxidation; male; prehypertension; randomized controlled trial; resistance training; vein occlusion plethysmography&lt;/_keywords&gt;&lt;_label&gt;OUTCOME&lt;/_label&gt;&lt;_modified&gt;65653135&lt;/_modified&gt;&lt;_pages&gt;303-309&lt;/_pages&gt;&lt;_social_category&gt;医学(4)&lt;/_social_category&gt;&lt;_url&gt;https://www.embase.com/search/results?subaction=viewrecord&amp;amp;id=L52844016&amp;amp;from=export_x000d__x000a_http://dx.doi.org/10.1038/jhh.2013.109&lt;/_url&gt;&lt;_volume&gt;28&lt;/_volume&gt;&lt;/Details&gt;&lt;Extra&gt;&lt;DBUID&gt;{CCD8BC99-AC21-4495-A582-31CC77FC1918}&lt;/DBUID&gt;&lt;/Extra&gt;&lt;/Item&gt;&lt;/References&gt;&lt;/Group&gt;&lt;/Citation&gt;_x000a_"/>
    <w:docVar w:name="NE.Ref{27623B17-168F-4C51-9CEA-9DE125DDC57E}" w:val=" ADDIN NE.Ref.{27623B17-168F-4C51-9CEA-9DE125DDC57E}&lt;Citation&gt;&lt;Group&gt;&lt;References&gt;&lt;Item&gt;&lt;ID&gt;40428&lt;/ID&gt;&lt;UID&gt;{A068246C-E029-46BD-9D31-ADC5BAA4E74E}&lt;/UID&gt;&lt;Title&gt;A Randomized Controlled Trial on Effect of Tai Chi versus aerobic exercise on Blood Pressure in Prehypertension Patients&lt;/Title&gt;&lt;Template&gt;Journal Article&lt;/Template&gt;&lt;Star&gt;0&lt;/Star&gt;&lt;Tag&gt;1&lt;/Tag&gt;&lt;Author&gt;ChiCTR&lt;/Author&gt;&lt;Year&gt;2019&lt;/Year&gt;&lt;Details&gt;&lt;_accessed&gt;65653100&lt;/_accessed&gt;&lt;_created&gt;65585604&lt;/_created&gt;&lt;_date&gt;2019-01-01&lt;/_date&gt;&lt;_date_display&gt;2019&lt;/_date_display&gt;&lt;_label&gt;PROTO&lt;/_label&gt;&lt;_modified&gt;65653100&lt;/_modified&gt;&lt;_url&gt;https://www.cochranelibrary.com/central/doi/10.1002/central/CN-01975069/full&lt;/_url&gt;&lt;/Details&gt;&lt;Extra&gt;&lt;DBUID&gt;{CCD8BC99-AC21-4495-A582-31CC77FC1918}&lt;/DBUID&gt;&lt;/Extra&gt;&lt;/Item&gt;&lt;/References&gt;&lt;/Group&gt;&lt;Group&gt;&lt;References&gt;&lt;Item&gt;&lt;ID&gt;39711&lt;/ID&gt;&lt;UID&gt;{D87DF6A4-353D-4087-9808-FE226C326C45}&lt;/UID&gt;&lt;Title&gt;Stretching vs Walking for Lowering Blood Pressure&lt;/Title&gt;&lt;Template&gt;Journal Article&lt;/Template&gt;&lt;Star&gt;0&lt;/Star&gt;&lt;Tag&gt;1&lt;/Tag&gt;&lt;Author&gt;NCT&lt;/Author&gt;&lt;Year&gt;2022&lt;/Year&gt;&lt;Details&gt;&lt;_accessed&gt;65653100&lt;/_accessed&gt;&lt;_created&gt;65585604&lt;/_created&gt;&lt;_date&gt;2022-01-01&lt;/_date&gt;&lt;_date_display&gt;2022&lt;/_date_display&gt;&lt;_keywords&gt; Hypertension&lt;/_keywords&gt;&lt;_label&gt;PROTO&lt;/_label&gt;&lt;_modified&gt;65653100&lt;/_modified&gt;&lt;_url&gt;https://www.cochranelibrary.com/central/doi/10.1002/central/CN-02372069/full&lt;/_url&gt;&lt;/Details&gt;&lt;Extra&gt;&lt;DBUID&gt;{CCD8BC99-AC21-4495-A582-31CC77FC1918}&lt;/DBUID&gt;&lt;/Extra&gt;&lt;/Item&gt;&lt;/References&gt;&lt;/Group&gt;&lt;/Citation&gt;_x000a_"/>
    <w:docVar w:name="NE.Ref{293A8ACF-9C38-45C8-B488-6C57D633FB9D}" w:val=" ADDIN NE.Ref.{293A8ACF-9C38-45C8-B488-6C57D633FB9D}&lt;Citation&gt;&lt;Group&gt;&lt;References&gt;&lt;Item&gt;&lt;ID&gt;39531&lt;/ID&gt;&lt;UID&gt;{1F4F87F2-A2FA-42A0-A117-20C76FC08148}&lt;/UID&gt;&lt;Title&gt;Effects of walking in individuals with prehypertension and stage 1 hypertension in India: a randomised controlled trial.&lt;/Title&gt;&lt;Template&gt;Journal Article&lt;/Template&gt;&lt;Star&gt;0&lt;/Star&gt;&lt;Tag&gt;1&lt;/Tag&gt;&lt;Author&gt;Punia, Sonu; Singh, Varun; Joshi, Shabnam; Malik, Manoj; Saini, Minaxi&lt;/Author&gt;&lt;Year&gt;2022&lt;/Year&gt;&lt;Details&gt;&lt;_accessed&gt;65635158&lt;/_accessed&gt;&lt;_alternate_title&gt;International Journal of Therapy &amp;amp; RehabilitationInternational Journal of Therapy &amp;amp; Rehabilitation&lt;/_alternate_title&gt;&lt;_author_adr&gt;Department of Physiotherapy, Guru Jambheshwar University of Science and Technology, Hisar, India; Mother Terasa Saket College of Physiotherapy, Panchkula, India&lt;/_author_adr&gt;&lt;_created&gt;65585598&lt;/_created&gt;&lt;_date&gt;2022-04-01&lt;/_date&gt;&lt;_date_display&gt;2022/04//&lt;/_date_display&gt;&lt;_doi&gt;10.12968/ijtr.2020.0163&lt;/_doi&gt;&lt;_isbn&gt;1741-1645&lt;/_isbn&gt;&lt;_issue&gt;4&lt;/_issue&gt;&lt;_journal&gt;International Journal of Therapy &amp;amp; Rehabilitation&lt;/_journal&gt;&lt;_keywords&gt;Walking; Prehypertension -- Therapy -- India; Hypertension -- Therapy -- India; Training Effect (Physiology); Aerobic Exercises; Blood Pressure; Human; Randomized Controlled Trials; Random Assignment; India; Life Style, Sedentary; Adult; Exercise Intensity; Systolic Pressure; Diastolic Pressure; Arterial Pressure; Pulse; Descriptive Statistics; Confidence Intervals&lt;/_keywords&gt;&lt;_label&gt;HTN&lt;/_label&gt;&lt;_modified&gt;65635158&lt;/_modified&gt;&lt;_number&gt;156621206&lt;/_number&gt;&lt;_ori_publication&gt;Mark Allen Holdings Limited&lt;/_ori_publication&gt;&lt;_pages&gt;1-10&lt;/_pages&gt;&lt;_url&gt;https://search.ebscohost.com/login.aspx?direct=true&amp;amp;AuthType=sso&amp;amp;db=cul&amp;amp;AN=156621206&amp;amp;site=ehost-live&amp;amp;scope=site&amp;amp;custid=s6636215&lt;/_url&gt;&lt;_volume&gt;29&lt;/_volume&gt;&lt;/Details&gt;&lt;Extra&gt;&lt;DBUID&gt;{CCD8BC99-AC21-4495-A582-31CC77FC1918}&lt;/DBUID&gt;&lt;/Extra&gt;&lt;/Item&gt;&lt;/References&gt;&lt;/Group&gt;&lt;/Citation&gt;_x000a_"/>
    <w:docVar w:name="NE.Ref{2A932174-D182-43D4-A450-9FE4F209F07B}" w:val=" ADDIN NE.Ref.{2A932174-D182-43D4-A450-9FE4F209F07B}&lt;Citation&gt;&lt;Group&gt;&lt;References&gt;&lt;Item&gt;&lt;ID&gt;41472&lt;/ID&gt;&lt;UID&gt;{F6DBCE66-31E8-4C74-8AD3-B9D74CE0705C}&lt;/UID&gt;&lt;Title&gt;Yoga training modulates adipokines in adults with high-normal blood pressure and metabolic syndrome&lt;/Title&gt;&lt;Template&gt;Journal Article&lt;/Template&gt;&lt;Star&gt;0&lt;/Star&gt;&lt;Tag&gt;1&lt;/Tag&gt;&lt;Author&gt;Supriya, R; Yu, A P; Lee, P H; Lai, C W; Cheng, K K; Yau, S Y; Chan, L W; Yung, B Y; Siu, P M&lt;/Author&gt;&lt;Year&gt;2018&lt;/Year&gt;&lt;Details&gt;&lt;_accessed&gt;65630403&lt;/_accessed&gt;&lt;_alternate_title&gt;SCANDINAVIAN JOURNAL OF MEDICINE &amp;amp; SCIENCE IN SPORTS&lt;/_alternate_title&gt;&lt;_author_adr&gt;Hong Kong Polytech Univ, Dept Hlth Technol &amp;amp; Informat, Fac Hlth &amp;amp; Social Sci, Kowloon, Hong Kong, Peoples R China; Univ Hong Kong, Li Ka Shing Fac Med, Sch Publ Hlth, Pokfulam, Hong Kong, Peoples R China; Hong Kong Polytech Univ, Sch Nursing, Fac Hlth &amp;amp; Social Sci, Kowloon, Hong Kong, Peoples R China; Hong Kong Polytech Univ, Dept Rehabil Sci, Fac Hlth &amp;amp; Social Sci, Kowloon, Hong Kong, Peoples R China&lt;/_author_adr&gt;&lt;_collection_scope&gt;SCIE&lt;/_collection_scope&gt;&lt;_created&gt;65585604&lt;/_created&gt;&lt;_date&gt;2018-01-01&lt;/_date&gt;&lt;_date_display&gt;2018&lt;/_date_display&gt;&lt;_doi&gt;10.1111/sms.13029&lt;/_doi&gt;&lt;_impact_factor&gt;   4.645&lt;/_impact_factor&gt;&lt;_isbn&gt;0905-7188&lt;/_isbn&gt;&lt;_issue&gt;3&lt;/_issue&gt;&lt;_journal&gt;SCANDINAVIAN JOURNAL OF MEDICINE &amp;amp; SCIENCE IN SPORTS&lt;/_journal&gt;&lt;_keywords&gt;adipokine; high blood pressure; hypertension; metabolic syndrome; mind-body exercise; RANDOMIZED CONTROLLED-TRIAL; POSTMENOPAUSAL WOMEN; RISK-FACTORS; HYPERTENSION; EXERCISE; OBESITY; INTERVENTION; ADIPONECTIN; DISEASE; STRESS&lt;/_keywords&gt;&lt;_label&gt;HTN&lt;/_label&gt;&lt;_modified&gt;65630403&lt;/_modified&gt;&lt;_pages&gt;1130-1138&lt;/_pages&gt;&lt;_social_category&gt;医学(2)&lt;/_social_category&gt;&lt;_volume&gt;28&lt;/_volume&gt;&lt;/Details&gt;&lt;Extra&gt;&lt;DBUID&gt;{CCD8BC99-AC21-4495-A582-31CC77FC1918}&lt;/DBUID&gt;&lt;/Extra&gt;&lt;/Item&gt;&lt;/References&gt;&lt;/Group&gt;&lt;/Citation&gt;_x000a_"/>
    <w:docVar w:name="NE.Ref{2AE198C0-F631-474B-8F69-F80D5CAE8B1F}" w:val=" ADDIN NE.Ref.{2AE198C0-F631-474B-8F69-F80D5CAE8B1F}&lt;Citation&gt;&lt;Group&gt;&lt;References&gt;&lt;Item&gt;&lt;ID&gt;39561&lt;/ID&gt;&lt;UID&gt;{513E4CE6-4B0A-45BF-825E-B812DC357959}&lt;/UID&gt;&lt;Title&gt;Lifestyle Modification and Blood Pressure Study&lt;/Title&gt;&lt;Template&gt;Journal Article&lt;/Template&gt;&lt;Star&gt;0&lt;/Star&gt;&lt;Tag&gt;1&lt;/Tag&gt;&lt;Author&gt;NCT&lt;/Author&gt;&lt;Year&gt;2009&lt;/Year&gt;&lt;Details&gt;&lt;_accessed&gt;65630095&lt;/_accessed&gt;&lt;_created&gt;65585604&lt;/_created&gt;&lt;_date&gt;2009-01-01&lt;/_date&gt;&lt;_date_display&gt;2009&lt;/_date_display&gt;&lt;_keywords&gt; Hypertension&lt;/_keywords&gt;&lt;_label&gt;HTN&lt;/_label&gt;&lt;_modified&gt;65630095&lt;/_modified&gt;&lt;_url&gt;https://www.cochranelibrary.com/central/doi/10.1002/central/CN-02034915/full&lt;/_url&gt;&lt;/Details&gt;&lt;Extra&gt;&lt;DBUID&gt;{CCD8BC99-AC21-4495-A582-31CC77FC1918}&lt;/DBUID&gt;&lt;/Extra&gt;&lt;/Item&gt;&lt;/References&gt;&lt;/Group&gt;&lt;/Citation&gt;_x000a_"/>
    <w:docVar w:name="NE.Ref{2B0CCD6F-2F4B-46B6-B1A3-DF71F4E454C1}" w:val=" ADDIN NE.Ref.{2B0CCD6F-2F4B-46B6-B1A3-DF71F4E454C1}&lt;Citation&gt;&lt;Group&gt;&lt;References&gt;&lt;Item&gt;&lt;ID&gt;41078&lt;/ID&gt;&lt;UID&gt;{E29FE029-32D6-4193-9499-E411D773D125}&lt;/UID&gt;&lt;Title&gt;Effects on blood pressure and autonomic nervous system function of a 12-week exercise or exercise plus DASH-diet intervention in individuals with elevated blood pressure&lt;/Title&gt;&lt;Template&gt;Journal Article&lt;/Template&gt;&lt;Star&gt;0&lt;/Star&gt;&lt;Tag&gt;1&lt;/Tag&gt;&lt;Author&gt;Edwards, K M; Wilson, K L; Sadja, J; Ziegler, M G; Mills, P J&lt;/Author&gt;&lt;Year&gt;2011&lt;/Year&gt;&lt;Details&gt;&lt;_accessed&gt;65629041&lt;/_accessed&gt;&lt;_alternate_title&gt;Acta Physiol.&lt;/_alternate_title&gt;&lt;_author_adr&gt;K.M. Edwards, University of Sydney, Exercise Health and Performance Research Group, C42 - Cumberland Campus, 1825 Lidcombe, Australia&lt;/_author_adr&gt;&lt;_collection_scope&gt;SCIE&lt;/_collection_scope&gt;&lt;_created&gt;65585604&lt;/_created&gt;&lt;_date&gt;2011-01-01&lt;/_date&gt;&lt;_date_display&gt;2011&lt;/_date_display&gt;&lt;_doi&gt;10.1111/j.1748-1716.2011.02329.x&lt;/_doi&gt;&lt;_impact_factor&gt;   7.523&lt;/_impact_factor&gt;&lt;_isbn&gt;1748-1708&lt;/_isbn&gt;&lt;_issue&gt;3&lt;/_issue&gt;&lt;_journal&gt;Acta Physiologica&lt;/_journal&gt;&lt;_keywords&gt;catecholamine; noradrenalin; adult; article; autonomic nervous system function; blood pressure regulation; body mass; caloric intake; catecholamine blood level; controlled study; diastolic blood pressure; diet supplementation; diet therapy; early intervention; exercise; exercise intensity; exercise test; female; heart rate; hospital admission; human; hypertension; lifestyle modification; major clinical study; noradrenalin blood level; parasympathetic tone; priority journal; sympathetic tone; systolic blood pressure; therapy effect; treatment outcome&lt;/_keywords&gt;&lt;_label&gt;HTN&lt;/_label&gt;&lt;_modified&gt;65629041&lt;/_modified&gt;&lt;_pages&gt;343-350&lt;/_pages&gt;&lt;_social_category&gt;医学(2)&lt;/_social_category&gt;&lt;_url&gt;https://www.embase.com/search/results?subaction=viewrecord&amp;amp;id=L51508369&amp;amp;from=export_x000d__x000a_http://dx.doi.org/10.1111/j.1748-1716.2011.02329.x&lt;/_url&gt;&lt;_volume&gt;203&lt;/_volume&gt;&lt;/Details&gt;&lt;Extra&gt;&lt;DBUID&gt;{CCD8BC99-AC21-4495-A582-31CC77FC1918}&lt;/DBUID&gt;&lt;/Extra&gt;&lt;/Item&gt;&lt;/References&gt;&lt;/Group&gt;&lt;/Citation&gt;_x000a_"/>
    <w:docVar w:name="NE.Ref{2EFA18A5-9AA1-40F6-A882-32D390B38493}" w:val=" ADDIN NE.Ref.{2EFA18A5-9AA1-40F6-A882-32D390B38493}&lt;Citation&gt;&lt;Group&gt;&lt;References&gt;&lt;Item&gt;&lt;ID&gt;39740&lt;/ID&gt;&lt;UID&gt;{D1D94DCC-5154-462B-8B07-FCE006022514}&lt;/UID&gt;&lt;Title&gt;Effect of 4 weeks of aerobic or resistance exercise training on arterial stiffness, blood flow and blood pressure in pre- and stage-1 hypertensives&lt;/Title&gt;&lt;Template&gt;Journal Article&lt;/Template&gt;&lt;Star&gt;0&lt;/Star&gt;&lt;Tag&gt;1&lt;/Tag&gt;&lt;Author&gt;Collier, S R; Kanaley, J A; Carhart, R; Frechette, V; Tobin, M M; Hall, A K; Luckenbaugh, A N; Fernhall, B&lt;/Author&gt;&lt;Year&gt;2008&lt;/Year&gt;&lt;Details&gt;&lt;_accessed&gt;65629037&lt;/_accessed&gt;&lt;_created&gt;65585604&lt;/_created&gt;&lt;_date&gt;2008-01-01&lt;/_date&gt;&lt;_date_display&gt;2008&lt;/_date_display&gt;&lt;_doi&gt;10.1038/jhh.2008.36&lt;/_doi&gt;&lt;_issue&gt; 10&lt;/_issue&gt;&lt;_keywords&gt; *aerobic exercise;  *arterial stiffness;  *artery blood flow;  *hypertension/th [Therapy];  *muscle training;  Adult;  Aorta [physiopathology];  Article;  Blood Flow Velocity [physiology];  Blood pressure measurement;  Blood pressure regulation;  Clinical article;  Clinical trial;  Controlled clinical trial;  Controlled study;  Diastolic blood pressure;  Exercise;  Exercise test;  Female;  Follow‐Up Studies;  Hemodynamic monitoring;  Human;  Humans;  Hypertension [diagnostic imaging, *physiopathology, *therapy];  Kinesiotherapy;  Male;  Middle Aged;  Pulse wave;  Randomized controlled trial;  Resistance Training;  Rest;  Systolic blood pressure;  Time Factors;  Treatment Outcome;  Treatment duration;  Ultrasonography;  Vascular Capacitance [physiology];  Vascular Resistance [physiology];  Vasodilatation&lt;/_keywords&gt;&lt;_label&gt;REPEAT&lt;/_label&gt;&lt;_modified&gt;65629037&lt;/_modified&gt;&lt;_pages&gt; 678‐686&lt;/_pages&gt;&lt;_url&gt;https://www.cochranelibrary.com/central/doi/10.1002/central/CN-00669682/full&lt;/_url&gt;&lt;_volume&gt;22&lt;/_volume&gt;&lt;/Details&gt;&lt;Extra&gt;&lt;DBUID&gt;{CCD8BC99-AC21-4495-A582-31CC77FC1918}&lt;/DBUID&gt;&lt;/Extra&gt;&lt;/Item&gt;&lt;/References&gt;&lt;/Group&gt;&lt;/Citation&gt;_x000a_"/>
    <w:docVar w:name="NE.Ref{330B9F3A-83B6-4742-997F-3BE445DEB22C}" w:val=" ADDIN NE.Ref.{330B9F3A-83B6-4742-997F-3BE445DEB22C}&lt;Citation&gt;&lt;Group&gt;&lt;References&gt;&lt;Item&gt;&lt;ID&gt;39590&lt;/ID&gt;&lt;UID&gt;{77F536E5-A5C4-439B-AD60-BCF0DBE8A8D4}&lt;/UID&gt;&lt;Title&gt;A randomized controlled trial for the use of qigong in the treatment of pre and mild essential hypertension&lt;/Title&gt;&lt;Template&gt;Journal Article&lt;/Template&gt;&lt;Star&gt;0&lt;/Star&gt;&lt;Tag&gt;1&lt;/Tag&gt;&lt;Author&gt;Park, J; Hong, S; Park, T; Liu, Y; Kim, J; Kim, T; Kim, A; Jung, S; Park, H; Choi, S&lt;/Author&gt;&lt;Year&gt;2012&lt;/Year&gt;&lt;Details&gt;&lt;_accessed&gt;65630076&lt;/_accessed&gt;&lt;_created&gt;65585604&lt;/_created&gt;&lt;_date&gt;2012-01-01&lt;/_date&gt;&lt;_date_display&gt;2012&lt;/_date_display&gt;&lt;_keywords&gt; *essential hypertension;  *health;  *human;  *integrative medicine;  *randomized controlled trial;  Alternative medicine;  Blood pressure;  Borderline hypertension;  Cardiovascular disease;  Diastolic blood pressure;  Diet;  Drug therapy;  Exercise;  Health status;  Hormone determination;  Hospital patient;  Hypertension;  Lifestyle;  Patient;  Prevalence;  Questionnaire;  Randomized controlled trial (topic);  Risk factor;  Side effect&lt;/_keywords&gt;&lt;_label&gt;HTN&lt;/_label&gt;&lt;_modified&gt;65630076&lt;/_modified&gt;&lt;_url&gt;https://www.cochranelibrary.com/central/doi/10.1002/central/CN-00868941/full&lt;/_url&gt;&lt;_volume&gt;12&lt;/_volume&gt;&lt;/Details&gt;&lt;Extra&gt;&lt;DBUID&gt;{CCD8BC99-AC21-4495-A582-31CC77FC1918}&lt;/DBUID&gt;&lt;/Extra&gt;&lt;/Item&gt;&lt;/References&gt;&lt;/Group&gt;&lt;/Citation&gt;_x000a_"/>
    <w:docVar w:name="NE.Ref{339CD7FE-3E47-44E1-B9C5-AED13ED23456}" w:val=" ADDIN NE.Ref.{339CD7FE-3E47-44E1-B9C5-AED13ED23456}&lt;Citation&gt;&lt;Group&gt;&lt;References&gt;&lt;Item&gt;&lt;ID&gt;40878&lt;/ID&gt;&lt;UID&gt;{CF60B264-EA99-41A7-BB9A-037C9EEA7F8F}&lt;/UID&gt;&lt;Title&gt;Effect of 8 weeks body-weight resistance training on high-normal blood pressure and stage 1 hypertension subjects-pilot study to validate the protocol&lt;/Title&gt;&lt;Template&gt;Journal Article&lt;/Template&gt;&lt;Star&gt;0&lt;/Star&gt;&lt;Tag&gt;1&lt;/Tag&gt;&lt;Author&gt;Punia, S; Kulandaivelan, S&lt;/Author&gt;&lt;Year&gt;2019&lt;/Year&gt;&lt;Details&gt;&lt;_accessed&gt;65653100&lt;/_accessed&gt;&lt;_alternate_title&gt;Indian J. Public Health Res. Dev.&lt;/_alternate_title&gt;&lt;_author_adr&gt;S. Punia, Department of Physiotherapy, GJUST, Hisar, Haryana, India&lt;/_author_adr&gt;&lt;_created&gt;65585604&lt;/_created&gt;&lt;_date&gt;2019-01-01&lt;/_date&gt;&lt;_date_display&gt;2019&lt;/_date_display&gt;&lt;_doi&gt;10.5958/0976-5506.2019.00281.X&lt;/_doi&gt;&lt;_isbn&gt;0976-5506&lt;/_isbn&gt;&lt;_issue&gt;2&lt;/_issue&gt;&lt;_journal&gt;Indian Journal of Public Health Research and Development&lt;/_journal&gt;&lt;_keywords&gt;CTRI/2017/03/008280; adult; article; basal metabolic rate; body mass; body weight; clinical article; controlled study; diastolic blood pressure; double blind procedure; exercise; female; heart rate; human; hypertension; male; physical activity; physiotherapist; pilot study; randomized controlled trial; resistance training; systolic blood pressure; waist circumference&lt;/_keywords&gt;&lt;_label&gt;HTN&lt;/_label&gt;&lt;_modified&gt;65653100&lt;/_modified&gt;&lt;_pages&gt;175-180&lt;/_pages&gt;&lt;_url&gt;https://www.embase.com/search/results?subaction=viewrecord&amp;amp;id=L2001777648&amp;amp;from=export_x000d__x000a_http://dx.doi.org/10.5958/0976-5506.2019.00281.X&lt;/_url&gt;&lt;_volume&gt;10&lt;/_volume&gt;&lt;/Details&gt;&lt;Extra&gt;&lt;DBUID&gt;{CCD8BC99-AC21-4495-A582-31CC77FC1918}&lt;/DBUID&gt;&lt;/Extra&gt;&lt;/Item&gt;&lt;/References&gt;&lt;/Group&gt;&lt;/Citation&gt;_x000a_"/>
    <w:docVar w:name="NE.Ref{3872208E-A2C6-4EF2-BC0C-17DE07530DB4}" w:val=" ADDIN NE.Ref.{3872208E-A2C6-4EF2-BC0C-17DE07530DB4}&lt;Citation&gt;&lt;Group&gt;&lt;References&gt;&lt;Item&gt;&lt;ID&gt;40983&lt;/ID&gt;&lt;UID&gt;{3A787B36-74EC-4F9B-805E-291336A847C6}&lt;/UID&gt;&lt;Title&gt;Modulatory effect of physical excercise on immune system in prehypertensive patients-a randomized cross-over study&lt;/Title&gt;&lt;Template&gt;Journal Article&lt;/Template&gt;&lt;Star&gt;0&lt;/Star&gt;&lt;Tag&gt;1&lt;/Tag&gt;&lt;Author&gt;Filip, M; Glodzik, J; Mikolajczyk, T; Salakowski, A; Rewiuk, K; Nowak, W; Grodzicki, T; Guzik, T&lt;/Author&gt;&lt;Year&gt;2015&lt;/Year&gt;&lt;Details&gt;&lt;_accessed&gt;65653137&lt;/_accessed&gt;&lt;_alternate_title&gt;Atherosclerosis&lt;/_alternate_title&gt;&lt;_author_adr&gt;M. Filip, Department of Internal and Agricultural Medicine, Jagiellonian University, School of Medicine, Krakow, Poland&lt;/_author_adr&gt;&lt;_collection_scope&gt;SCIE&lt;/_collection_scope&gt;&lt;_created&gt;65585604&lt;/_created&gt;&lt;_date&gt;2015-01-01&lt;/_date&gt;&lt;_date_display&gt;2015&lt;/_date_display&gt;&lt;_impact_factor&gt;   6.847&lt;/_impact_factor&gt;&lt;_isbn&gt;0021-9150&lt;/_isbn&gt;&lt;_issue&gt;1&lt;/_issue&gt;&lt;_journal&gt;Atherosclerosis&lt;/_journal&gt;&lt;_keywords&gt;cytokine; CD8 antigen; patient; human; crossover procedure; European; atherosclerosis; society; immune system; monocyte; hypertension; exercise; plasma; T lymphocyte; memory; population; stimulation; supernatant; lifestyle; bicycle; T lymphocyte subpopulation; prehypertension; immune dysregulation; risk; leukocyte; prevention; parameters; peripheral blood mononuclear cell&lt;/_keywords&gt;&lt;_label&gt;ABSTRACT&lt;/_label&gt;&lt;_modified&gt;65653139&lt;/_modified&gt;&lt;_pages&gt;e187&lt;/_pages&gt;&lt;_social_category&gt;医学(2)&lt;/_social_category&gt;&lt;_url&gt;https://www.embase.com/search/results?subaction=viewrecord&amp;amp;id=L71970635&amp;amp;from=export&lt;/_url&gt;&lt;_volume&gt;241&lt;/_volume&gt;&lt;/Details&gt;&lt;Extra&gt;&lt;DBUID&gt;{CCD8BC99-AC21-4495-A582-31CC77FC1918}&lt;/DBUID&gt;&lt;/Extra&gt;&lt;/Item&gt;&lt;/References&gt;&lt;/Group&gt;&lt;/Citation&gt;_x000a_"/>
    <w:docVar w:name="NE.Ref{3D86940B-710A-4681-BA03-94B0468C15C4}" w:val=" ADDIN NE.Ref.{3D86940B-710A-4681-BA03-94B0468C15C4}&lt;Citation&gt;&lt;Group&gt;&lt;References&gt;&lt;Item&gt;&lt;ID&gt;40504&lt;/ID&gt;&lt;UID&gt;{13756EE7-C881-47A9-997D-9C62DD108FCC}&lt;/UID&gt;&lt;Title&gt;Effect of Diaphragmatic Breathing Exercise on Cardiovascular Parameters Following Noise Exposure in Pre Hypertensive Adults&lt;/Title&gt;&lt;Template&gt;Journal Article&lt;/Template&gt;&lt;Star&gt;0&lt;/Star&gt;&lt;Tag&gt;1&lt;/Tag&gt;&lt;Author&gt;Afify, A M&lt;/Author&gt;&lt;Year&gt;2023&lt;/Year&gt;&lt;Details&gt;&lt;_accessed&gt;65628566&lt;/_accessed&gt;&lt;_created&gt;65585604&lt;/_created&gt;&lt;_date&gt;2023-01-01&lt;/_date&gt;&lt;_date_display&gt;2023&lt;/_date_display&gt;&lt;_doi&gt;10.47750/jptcp.2023.30.07.010&lt;/_doi&gt;&lt;_issue&gt; 7&lt;/_issue&gt;&lt;_keywords&gt; *breathing exercise;  *cardiovascular parameters;  *diaphragm;  *hypertension;  *noise;  Adult;  Article;  Blood pressure;  Body mass;  Clinical article;  Diastolic blood pressure;  Exercise;  Female;  Follow up;  Glucose blood level;  Goniometry;  Heart rate;  Human;  Male;  Randomized controlled trial;  Systolic blood pressure&lt;/_keywords&gt;&lt;_label&gt;ACUTE&lt;/_label&gt;&lt;_modified&gt;65628566&lt;/_modified&gt;&lt;_pages&gt; e79‐e86&lt;/_pages&gt;&lt;_url&gt;https://www.cochranelibrary.com/central/doi/10.1002/central/CN-02596746/full&lt;/_url&gt;&lt;_volume&gt;30&lt;/_volume&gt;&lt;/Details&gt;&lt;Extra&gt;&lt;DBUID&gt;{CCD8BC99-AC21-4495-A582-31CC77FC1918}&lt;/DBUID&gt;&lt;/Extra&gt;&lt;/Item&gt;&lt;/References&gt;&lt;/Group&gt;&lt;/Citation&gt;_x000a_"/>
    <w:docVar w:name="NE.Ref{41667DC5-1B1F-4230-BFAB-462A36EDCF49}" w:val=" ADDIN NE.Ref.{41667DC5-1B1F-4230-BFAB-462A36EDCF49}&lt;Citation&gt;&lt;Group&gt;&lt;References&gt;&lt;Item&gt;&lt;ID&gt;40825&lt;/ID&gt;&lt;UID&gt;{C6E9DF18-CAE5-42DE-9301-D6A386CDA455}&lt;/UID&gt;&lt;Title&gt;Evaluation of hemodynamic and vascular responses after a continuous exercise session of moderate intensity and high intensity intervals in individuals with normal and high normal blood pressure&lt;/Title&gt;&lt;Template&gt;Journal Article&lt;/Template&gt;&lt;Star&gt;0&lt;/Star&gt;&lt;Tag&gt;1&lt;/Tag&gt;&lt;Author&gt;Rodrigues, S; Verardino, R; Costa, M; Costa-Hong, V; Alves, M; Bortolotto, L&lt;/Author&gt;&lt;Year&gt;2021&lt;/Year&gt;&lt;Details&gt;&lt;_accessed&gt;65630004&lt;/_accessed&gt;&lt;_alternate_title&gt;Artery Res.&lt;/_alternate_title&gt;&lt;_author_adr&gt;S. Rodrigues, InCor HC FM USP, São Paulo, Brazil&lt;/_author_adr&gt;&lt;_collection_scope&gt;SCIE&lt;/_collection_scope&gt;&lt;_created&gt;65585604&lt;/_created&gt;&lt;_date&gt;2021-01-01&lt;/_date&gt;&lt;_date_display&gt;2021&lt;/_date_display&gt;&lt;_doi&gt;10.1007/s44200-021-00008-4&lt;/_doi&gt;&lt;_impact_factor&gt;   0.813&lt;/_impact_factor&gt;&lt;_isbn&gt;1872-9312&lt;/_isbn&gt;&lt;_journal&gt;Artery Research&lt;/_journal&gt;&lt;_keywords&gt;adult; augmentation index; blood pressure monitoring; blood vessel reactivity; body mass; cardiopulmonary exercise test; clinical article; conference abstract; continuous training; controlled study; energy expenditure; exercise; female; hemodynamics; human; hypertension; male; middle aged; randomized controlled trial; systolic blood pressure&lt;/_keywords&gt;&lt;_label&gt;ACUTE&lt;/_label&gt;&lt;_modified&gt;65630004&lt;/_modified&gt;&lt;_pages&gt;S8&lt;/_pages&gt;&lt;_social_category&gt;医学(4)&lt;/_social_category&gt;&lt;_url&gt;https://www.embase.com/search/results?subaction=viewrecord&amp;amp;id=L637180523&amp;amp;from=export_x000d__x000a_http://dx.doi.org/10.1007/s44200-021-00008-4&lt;/_url&gt;&lt;_volume&gt;27&lt;/_volume&gt;&lt;/Details&gt;&lt;Extra&gt;&lt;DBUID&gt;{CCD8BC99-AC21-4495-A582-31CC77FC1918}&lt;/DBUID&gt;&lt;/Extra&gt;&lt;/Item&gt;&lt;/References&gt;&lt;/Group&gt;&lt;/Citation&gt;_x000a_"/>
    <w:docVar w:name="NE.Ref{471BA317-DEC8-41DC-80F7-53EF84748790}" w:val=" ADDIN NE.Ref.{471BA317-DEC8-41DC-80F7-53EF84748790}&lt;Citation&gt;&lt;Group&gt;&lt;References&gt;&lt;Item&gt;&lt;ID&gt;41117&lt;/ID&gt;&lt;UID&gt;{3E65F661-C523-4CD9-8753-9D111520404B}&lt;/UID&gt;&lt;Title&gt;Cardiac autonomic function and baroreflex changes following 4 weeks of resistance versus aerobic training in individuals with pre-hypertension&lt;/Title&gt;&lt;Template&gt;Journal Article&lt;/Template&gt;&lt;Star&gt;0&lt;/Star&gt;&lt;Tag&gt;1&lt;/Tag&gt;&lt;Author&gt;Collier, S R; Kanaley, J A; Carhart Jr., R; Frechette, V; Tobin, M M; Bennett, N; Luckenbaugh, A N; Fernhall, B&lt;/Author&gt;&lt;Year&gt;2009&lt;/Year&gt;&lt;Details&gt;&lt;_accessed&gt;65629040&lt;/_accessed&gt;&lt;_alternate_title&gt;Acta Physiol.&lt;/_alternate_title&gt;&lt;_author_adr&gt;S. R. Collier, Department of Exercise Science, Syracuse University, 820 Comstock Avenue, Syracuse, NY 13244, United States&lt;/_author_adr&gt;&lt;_collection_scope&gt;SCIE&lt;/_collection_scope&gt;&lt;_created&gt;65585604&lt;/_created&gt;&lt;_date&gt;2009-01-01&lt;/_date&gt;&lt;_date_display&gt;2009&lt;/_date_display&gt;&lt;_doi&gt;10.1111/j.1748-1716.2008.01897.x&lt;/_doi&gt;&lt;_impact_factor&gt;   7.523&lt;/_impact_factor&gt;&lt;_isbn&gt;1748-1708&lt;/_isbn&gt;&lt;_issue&gt;3&lt;/_issue&gt;&lt;_journal&gt;Acta Physiologica&lt;/_journal&gt;&lt;_keywords&gt;adult; aerobic exercise; article; autonomic innervation; diastolic blood pressure; exercise; female; heart innervation; heart rate variability; human; hypertension; male; pressoreceptor reflex; priority journal; resistance training; sympathetic tone; systolic blood pressure; vagus tone&lt;/_keywords&gt;&lt;_label&gt;HTN&lt;/_label&gt;&lt;_modified&gt;65629040&lt;/_modified&gt;&lt;_pages&gt;339-348&lt;/_pages&gt;&lt;_social_category&gt;医学(2)&lt;/_social_category&gt;&lt;_url&gt;https://www.embase.com/search/results?subaction=viewrecord&amp;amp;id=L354131773&amp;amp;from=export_x000d__x000a_http://dx.doi.org/10.1111/j.1748-1716.2008.01897.x&lt;/_url&gt;&lt;_volume&gt;195&lt;/_volume&gt;&lt;/Details&gt;&lt;Extra&gt;&lt;DBUID&gt;{CCD8BC99-AC21-4495-A582-31CC77FC1918}&lt;/DBUID&gt;&lt;/Extra&gt;&lt;/Item&gt;&lt;/References&gt;&lt;/Group&gt;&lt;/Citation&gt;_x000a_"/>
    <w:docVar w:name="NE.Ref{48D03FBD-2BD6-4EAA-834A-6AEB35699723}" w:val=" ADDIN NE.Ref.{48D03FBD-2BD6-4EAA-834A-6AEB35699723}&lt;Citation&gt;&lt;Group&gt;&lt;References&gt;&lt;Item&gt;&lt;ID&gt;39792&lt;/ID&gt;&lt;UID&gt;{0F49CF00-8C10-4F63-BB73-FEDE2AD15839}&lt;/UID&gt;&lt;Title&gt;Running Against Prehypertension Trial (RAPT): a Pilot Trial&lt;/Title&gt;&lt;Template&gt;Journal Article&lt;/Template&gt;&lt;Star&gt;0&lt;/Star&gt;&lt;Tag&gt;1&lt;/Tag&gt;&lt;Author&gt;NCT&lt;/Author&gt;&lt;Year&gt;2012&lt;/Year&gt;&lt;Details&gt;&lt;_accessed&gt;65635118&lt;/_accessed&gt;&lt;_created&gt;65585604&lt;/_created&gt;&lt;_date&gt;2012-01-01&lt;/_date&gt;&lt;_date_display&gt;2012&lt;/_date_display&gt;&lt;_keywords&gt; Prehypertension&lt;/_keywords&gt;&lt;_label&gt;PROTO&lt;/_label&gt;&lt;_modified&gt;65635118&lt;/_modified&gt;&lt;_url&gt;https://www.cochranelibrary.com/central/doi/10.1002/central/CN-02022975/full&lt;/_url&gt;&lt;/Details&gt;&lt;Extra&gt;&lt;DBUID&gt;{CCD8BC99-AC21-4495-A582-31CC77FC1918}&lt;/DBUID&gt;&lt;/Extra&gt;&lt;/Item&gt;&lt;/References&gt;&lt;/Group&gt;&lt;/Citation&gt;_x000a_"/>
    <w:docVar w:name="NE.Ref{4C0089DC-F689-4661-A5D7-4ECC576A579F}" w:val=" ADDIN NE.Ref.{4C0089DC-F689-4661-A5D7-4ECC576A579F}&lt;Citation&gt;&lt;Group&gt;&lt;References&gt;&lt;Item&gt;&lt;ID&gt;41452&lt;/ID&gt;&lt;UID&gt;{D4DC76E2-3CDE-4773-800E-C98CAC1AE527}&lt;/UID&gt;&lt;Title&gt;Two-year results of a community-based randomized controlled lifestyle intervention trial to control prehypertension and/or prediabetes in Thailand: a brief report&lt;/Title&gt;&lt;Template&gt;Journal Article&lt;/Template&gt;&lt;Star&gt;0&lt;/Star&gt;&lt;Tag&gt;1&lt;/Tag&gt;&lt;Author&gt;Pengpid, S; Peltzer, K; Jayasvasti, I; Aekplakorn, W; Puckpinyo, A; Nanthananate, P; Mansin, A&lt;/Author&gt;&lt;Year&gt;2019&lt;/Year&gt;&lt;Details&gt;&lt;_accessed&gt;65653100&lt;/_accessed&gt;&lt;_alternate_title&gt;INTERNATIONAL JOURNAL OF GENERAL MEDICINE&lt;/_alternate_title&gt;&lt;_author_adr&gt;Mahidol Univ, ASEAN Inst Hlth Dev, Salaya, Nakhon Pathom, Thailand; Univ Limpopo, Dept Res Dev &amp;amp; Innovat, Polokwane, South Africa; Ton Duc Thang Univ, Dept Management Sci &amp;amp; Technol Dev, 19 Nguyen Huu Tho St,Dist 7, Ho Chi Minh City, Vietnam; Ton Duc Thang Univ, Fac Pharm, Ho Chi Minh City, Vietnam; Mahidol Univ, Ramathibodi Hosp, Fac Med, Dept Community Med, Bangkok, Thailand; Bangkok Thonburi Univ, Fac Nursing, Bangkok, Thailand; Mahidol Univ, Siriraj Hosp, Fac Med, Dept Surg Nursing, Bangkok, Thailand&lt;/_author_adr&gt;&lt;_collection_scope&gt;SCIE&lt;/_collection_scope&gt;&lt;_created&gt;65585604&lt;/_created&gt;&lt;_date&gt;2019-01-01&lt;/_date&gt;&lt;_date_display&gt;2019&lt;/_date_display&gt;&lt;_doi&gt;10.2147/IJGM.S200086&lt;/_doi&gt;&lt;_impact_factor&gt;   2.145&lt;/_impact_factor&gt;&lt;_isbn&gt;1178-7074&lt;/_isbn&gt;&lt;_journal&gt;INTERNATIONAL JOURNAL OF GENERAL MEDICINE&lt;/_journal&gt;&lt;_keywords&gt;community-based intervention; lifestyle intervention; prediabetes; prehypertension; Thailand; DIABETES RISK; PREVENTION&lt;/_keywords&gt;&lt;_label&gt;INTERVENTION&lt;/_label&gt;&lt;_modified&gt;65653100&lt;/_modified&gt;&lt;_pages&gt;131-135&lt;/_pages&gt;&lt;_social_category&gt;医学(4)&lt;/_social_category&gt;&lt;_volume&gt;12&lt;/_volume&gt;&lt;/Details&gt;&lt;Extra&gt;&lt;DBUID&gt;{CCD8BC99-AC21-4495-A582-31CC77FC1918}&lt;/DBUID&gt;&lt;/Extra&gt;&lt;/Item&gt;&lt;/References&gt;&lt;/Group&gt;&lt;/Citation&gt;_x000a_"/>
    <w:docVar w:name="NE.Ref{4E71F23B-53A8-4116-9F08-74AC7E23A561}" w:val=" ADDIN NE.Ref.{4E71F23B-53A8-4116-9F08-74AC7E23A561}&lt;Citation&gt;&lt;Group&gt;&lt;References&gt;&lt;Item&gt;&lt;ID&gt;39718&lt;/ID&gt;&lt;UID&gt;{02F63C52-C550-472E-8B81-DBB3014CA5DF}&lt;/UID&gt;&lt;Title&gt;Effects of resistance band training and body weight training on selected health parameters of pre-hypertensive adults&lt;/Title&gt;&lt;Template&gt;Journal Article&lt;/Template&gt;&lt;Star&gt;0&lt;/Star&gt;&lt;Tag&gt;1&lt;/Tag&gt;&lt;Author&gt;Chan, K; Wee, E; Mok, M; Ler, H&lt;/Author&gt;&lt;Year&gt;2020&lt;/Year&gt;&lt;Details&gt;&lt;_accessed&gt;65630846&lt;/_accessed&gt;&lt;_created&gt;65585604&lt;/_created&gt;&lt;_date&gt;2020-01-01&lt;/_date&gt;&lt;_date_display&gt;2020&lt;/_date_display&gt;&lt;_doi&gt;10.1111/obr.13118&lt;/_doi&gt;&lt;_issue&gt; SUPPL 1&lt;/_issue&gt;&lt;_keywords&gt; *body weight;  Adult;  Blood pressure monitoring;  Body fat;  Conference abstract;  Controlled study;  Human;  Human experiment;  Major clinical study;  Male;  Muscle exercise;  Muscle mass;  Null result;  Pretest posttest design;  Randomized controlled trial;  Sitting;  Skeletal muscle;  Systolic blood pressure;  Young adult&lt;/_keywords&gt;&lt;_label&gt;MEETING&lt;/_label&gt;&lt;_modified&gt;65630847&lt;/_modified&gt;&lt;_url&gt;https://www.cochranelibrary.com/central/doi/10.1002/central/CN-02229295/full&lt;/_url&gt;&lt;_volume&gt;21&lt;/_volume&gt;&lt;/Details&gt;&lt;Extra&gt;&lt;DBUID&gt;{CCD8BC99-AC21-4495-A582-31CC77FC1918}&lt;/DBUID&gt;&lt;/Extra&gt;&lt;/Item&gt;&lt;/References&gt;&lt;/Group&gt;&lt;/Citation&gt;_x000a_"/>
    <w:docVar w:name="NE.Ref{535FAF49-2E3F-434A-87D9-ED4ABFC1E876}" w:val=" ADDIN NE.Ref.{535FAF49-2E3F-434A-87D9-ED4ABFC1E876}&lt;Citation&gt;&lt;Group&gt;&lt;References&gt;&lt;Item&gt;&lt;ID&gt;41090&lt;/ID&gt;&lt;UID&gt;{6CBF35E4-B1E8-410C-878B-5F57E2CE7C80}&lt;/UID&gt;&lt;Title&gt;Iyengar yoga versus enhanced usual care on blood pressure in patients with prehypertension to stage i hypertension: A randomized controlled trial&lt;/Title&gt;&lt;Template&gt;Journal Article&lt;/Template&gt;&lt;Star&gt;0&lt;/Star&gt;&lt;Tag&gt;1&lt;/Tag&gt;&lt;Author&gt;Cohen, D L; Bloedon, L T; Rothman, R L; Farrar, J T; Galantino, M L; Volger, S; Mayor, C; Szapary, P O; Townsend, R R&lt;/Author&gt;&lt;Year&gt;2011&lt;/Year&gt;&lt;Details&gt;&lt;_accessed&gt;65653100&lt;/_accessed&gt;&lt;_alternate_title&gt;Evid.-Based Complement. Altern. Med.&lt;/_alternate_title&gt;&lt;_author_adr&gt;D. L. Cohen, Renal Division, University of Pennsylvania School of Medicine, Philadelphia, PA 19104, United States&lt;/_author_adr&gt;&lt;_collection_scope&gt;SCIE&lt;/_collection_scope&gt;&lt;_created&gt;65585604&lt;/_created&gt;&lt;_date&gt;2011-01-01&lt;/_date&gt;&lt;_date_display&gt;2011&lt;/_date_display&gt;&lt;_doi&gt;10.1093/ecam/nep130&lt;/_doi&gt;&lt;_impact_factor&gt;   2.650&lt;/_impact_factor&gt;&lt;_isbn&gt;1741-427X&lt;/_isbn&gt;&lt;_journal&gt;Evidence-based Complementary and Alternative Medicine&lt;/_journal&gt;&lt;_keywords&gt;catecholamine; adult; aged; article; blood pressure regulation; dietary intake; human; major clinical study; mean arterial pressure; prehypertension; priority journal; randomized controlled trial; systolic blood pressure; yoga&lt;/_keywords&gt;&lt;_label&gt;HTN&lt;/_label&gt;&lt;_modified&gt;65653100&lt;/_modified&gt;&lt;_social_category&gt;医学(4)&lt;/_social_category&gt;&lt;_url&gt;https://www.embase.com/search/results?subaction=viewrecord&amp;amp;id=L361536427&amp;amp;from=export_x000d__x000a_http://dx.doi.org/10.1093/ecam/nep130&lt;/_url&gt;&lt;_volume&gt;2011&lt;/_volume&gt;&lt;/Details&gt;&lt;Extra&gt;&lt;DBUID&gt;{CCD8BC99-AC21-4495-A582-31CC77FC1918}&lt;/DBUID&gt;&lt;/Extra&gt;&lt;/Item&gt;&lt;/References&gt;&lt;/Group&gt;&lt;/Citation&gt;_x000a_"/>
    <w:docVar w:name="NE.Ref{561975B4-C15F-40B3-A380-DD5A950616C1}" w:val=" ADDIN NE.Ref.{561975B4-C15F-40B3-A380-DD5A950616C1}&lt;Citation&gt;&lt;Group&gt;&lt;References&gt;&lt;Item&gt;&lt;ID&gt;41873&lt;/ID&gt;&lt;UID&gt;{060D2464-730C-4307-8388-BF2FB15F1736}&lt;/UID&gt;&lt;Title&gt;A randomized trial to promote physical activity in adult pre-hypertensive and  hypertensive patients&lt;/Title&gt;&lt;Template&gt;Journal Article&lt;/Template&gt;&lt;Star&gt;0&lt;/Star&gt;&lt;Tag&gt;1&lt;/Tag&gt;&lt;Author&gt;Bai, Y; Burns, R; Gell, N; Byun, W&lt;/Author&gt;&lt;Year&gt;2022&lt;/Year&gt;&lt;Details&gt;&lt;_accessed&gt;65628601&lt;/_accessed&gt;&lt;_accession_num&gt;35830497&lt;/_accession_num&gt;&lt;_author_adr&gt;Department of Health and Kinesiology, University of Utah, Salt Lake City, Utah,  USA.; Department of Rehabilitation and Movement Science, University of Vermont,  Burlington, Vermont, USA.; Department of Health and Kinesiology, University of Utah, Salt Lake City, Utah,  USA.; Department of Rehabilitation and Movement Science, University of Vermont,  Burlington, Vermont, USA.; Department of Health and Kinesiology, University of Utah, Salt Lake City, Utah,  USA.&lt;/_author_adr&gt;&lt;_collection_scope&gt;SCIE&lt;/_collection_scope&gt;&lt;_created&gt;65585604&lt;/_created&gt;&lt;_date&gt;2022-07-01&lt;/_date&gt;&lt;_date_display&gt;2022 Jul&lt;/_date_display&gt;&lt;_doi&gt;10.1080/02640414.2022.2099179&lt;/_doi&gt;&lt;_impact_factor&gt;   3.943&lt;/_impact_factor&gt;&lt;_isbn&gt;1466-447X (Electronic); 0264-0414 (Linking)&lt;/_isbn&gt;&lt;_issue&gt;14&lt;/_issue&gt;&lt;_journal&gt;J Sports Sci&lt;/_journal&gt;&lt;_keywords&gt;Wearables; health coach; health promotion; mhealth&lt;/_keywords&gt;&lt;_label&gt;HTN&lt;/_label&gt;&lt;_language&gt;eng&lt;/_language&gt;&lt;_modified&gt;65628601&lt;/_modified&gt;&lt;_pages&gt;1648-1657&lt;/_pages&gt;&lt;_social_category&gt;医学(2)&lt;/_social_category&gt;&lt;_subject_headings&gt;Adult; Child, Preschool; Exercise; Female; *Fitness Trackers; Humans; *Hypertension; Infant; Male; Pilot Projects; Sedentary Behavior&lt;/_subject_headings&gt;&lt;_tertiary_title&gt;Journal of sports sciences&lt;/_tertiary_title&gt;&lt;_type_work&gt;Journal Article; Randomized Controlled Trial&lt;/_type_work&gt;&lt;_url&gt;http://www.ncbi.nlm.nih.gov/entrez/query.fcgi?cmd=Retrieve&amp;amp;db=pubmed&amp;amp;dopt=Abstract&amp;amp;list_uids=35830497&amp;amp;query_hl=1&lt;/_url&gt;&lt;_volume&gt;40&lt;/_volume&gt;&lt;/Details&gt;&lt;Extra&gt;&lt;DBUID&gt;{CCD8BC99-AC21-4495-A582-31CC77FC1918}&lt;/DBUID&gt;&lt;/Extra&gt;&lt;/Item&gt;&lt;/References&gt;&lt;/Group&gt;&lt;/Citation&gt;_x000a_"/>
    <w:docVar w:name="NE.Ref{58272D0C-7D76-4778-AB7C-ABFF45EE438E}" w:val=" ADDIN NE.Ref.{58272D0C-7D76-4778-AB7C-ABFF45EE438E}&lt;Citation&gt;&lt;Group&gt;&lt;References&gt;&lt;Item&gt;&lt;ID&gt;41139&lt;/ID&gt;&lt;UID&gt;{8F2AA03F-95AF-46C5-8974-CA6AF05F7F4E}&lt;/UID&gt;&lt;Title&gt;Accumulation of physical activity leads to a greater blood pressure reduction than a single continuous session, in prehypertension&lt;/Title&gt;&lt;Template&gt;Journal Article&lt;/Template&gt;&lt;Star&gt;0&lt;/Star&gt;&lt;Tag&gt;1&lt;/Tag&gt;&lt;Author&gt;Park, S; Rink, L D; Wallace, J P&lt;/Author&gt;&lt;Year&gt;2006&lt;/Year&gt;&lt;Details&gt;&lt;_accessed&gt;65630067&lt;/_accessed&gt;&lt;_alternate_title&gt;J. Hypertens.&lt;/_alternate_title&gt;&lt;_author_adr&gt;J.P. Wallace, Clinical Exercise Physiology Laboratory, Department of Kinesiology, Indiana University, 1025 East Seventh St, Bloomington, IN 47405, United States&lt;/_author_adr&gt;&lt;_collection_scope&gt;SCIE&lt;/_collection_scope&gt;&lt;_created&gt;65585604&lt;/_created&gt;&lt;_date&gt;2006-01-01&lt;/_date&gt;&lt;_date_display&gt;2006&lt;/_date_display&gt;&lt;_doi&gt;10.1097/01.hjh.0000242400.37967.54&lt;/_doi&gt;&lt;_impact_factor&gt;   4.776&lt;/_impact_factor&gt;&lt;_isbn&gt;0263-6352&lt;/_isbn&gt;&lt;_issue&gt;9&lt;/_issue&gt;&lt;_journal&gt;Journal of Hypertension&lt;/_journal&gt;&lt;_keywords&gt;adrenergic activity; adult; article; blood pressure monitoring; blood pressure regulation; clinical article; clinical trial; controlled clinical trial; controlled study; correlation analysis; crossover procedure; diastolic blood pressure; heart rate variability; Holter monitoring; human; hypertension; physical activity; priority journal; randomized controlled trial; sympathetic innervation; systolic blood pressure; walking&lt;/_keywords&gt;&lt;_label&gt;ACUTE&lt;/_label&gt;&lt;_modified&gt;65630067&lt;/_modified&gt;&lt;_pages&gt;1761-1770&lt;/_pages&gt;&lt;_social_category&gt;医学(2)&lt;/_social_category&gt;&lt;_url&gt;https://www.embase.com/search/results?subaction=viewrecord&amp;amp;id=L44253238&amp;amp;from=export_x000d__x000a_http://dx.doi.org/10.1097/01.hjh.0000242400.37967.54&lt;/_url&gt;&lt;_volume&gt;24&lt;/_volume&gt;&lt;/Details&gt;&lt;Extra&gt;&lt;DBUID&gt;{CCD8BC99-AC21-4495-A582-31CC77FC1918}&lt;/DBUID&gt;&lt;/Extra&gt;&lt;/Item&gt;&lt;/References&gt;&lt;/Group&gt;&lt;/Citation&gt;_x000a_"/>
    <w:docVar w:name="NE.Ref{5A5C715C-39B3-4517-B11D-5E90DCB3879F}" w:val=" ADDIN NE.Ref.{5A5C715C-39B3-4517-B11D-5E90DCB3879F}&lt;Citation&gt;&lt;Group&gt;&lt;References&gt;&lt;Item&gt;&lt;ID&gt;42056&lt;/ID&gt;&lt;UID&gt;{0064F409-C29F-4407-9BAE-F91D105F56B2}&lt;/UID&gt;&lt;Title&gt;Resistance exercise training reduces arterial reservoir pressure in older adults  with prehypertension and hypertension&lt;/Title&gt;&lt;Template&gt;Journal Article&lt;/Template&gt;&lt;Star&gt;0&lt;/Star&gt;&lt;Tag&gt;1&lt;/Tag&gt;&lt;Author&gt;Heffernan, K S; Yoon, E S; Sharman, J E; Davies, J E; Shih, Y T; Chen, C H; Fernhall, B; Jae, S Y&lt;/Author&gt;&lt;Year&gt;2013&lt;/Year&gt;&lt;Details&gt;&lt;_accessed&gt;65653100&lt;/_accessed&gt;&lt;_accession_num&gt;23235716&lt;/_accession_num&gt;&lt;_author_adr&gt;Human Performance Laboratory, Department of Exercise Science, Syracuse  University, Syracuse, NY 13244, USA. ksheffer@syr.edu&lt;/_author_adr&gt;&lt;_collection_scope&gt;SCIE&lt;/_collection_scope&gt;&lt;_created&gt;65585604&lt;/_created&gt;&lt;_date&gt;2013-05-01&lt;/_date&gt;&lt;_date_display&gt;2013 May&lt;/_date_display&gt;&lt;_doi&gt;10.1038/hr.2012.198&lt;/_doi&gt;&lt;_impact_factor&gt;   5.528&lt;/_impact_factor&gt;&lt;_isbn&gt;1348-4214 (Electronic); 0916-9636 (Linking)&lt;/_isbn&gt;&lt;_issue&gt;5&lt;/_issue&gt;&lt;_journal&gt;Hypertens Res&lt;/_journal&gt;&lt;_label&gt;HTN&lt;/_label&gt;&lt;_language&gt;eng&lt;/_language&gt;&lt;_modified&gt;65653100&lt;/_modified&gt;&lt;_pages&gt;422-7&lt;/_pages&gt;&lt;_social_category&gt;医学(3)&lt;/_social_category&gt;&lt;_subject_headings&gt;*Blood Pressure; Electric Impedance; Female; Humans; Hypertension/epidemiology/physiopathology/*therapy; Male; Middle Aged; Monitoring, Ambulatory; Prehypertension/epidemiology/physiopathology/*therapy; Prevalence; *Resistance Training&lt;/_subject_headings&gt;&lt;_tertiary_title&gt;Hypertension research : official journal of the Japanese Society of Hypertension&lt;/_tertiary_title&gt;&lt;_type_work&gt;Journal Article; Randomized Controlled Trial&lt;/_type_work&gt;&lt;_url&gt;http://www.ncbi.nlm.nih.gov/entrez/query.fcgi?cmd=Retrieve&amp;amp;db=pubmed&amp;amp;dopt=Abstract&amp;amp;list_uids=23235716&amp;amp;query_hl=1&lt;/_url&gt;&lt;_volume&gt;36&lt;/_volume&gt;&lt;/Details&gt;&lt;Extra&gt;&lt;DBUID&gt;{CCD8BC99-AC21-4495-A582-31CC77FC1918}&lt;/DBUID&gt;&lt;/Extra&gt;&lt;/Item&gt;&lt;/References&gt;&lt;/Group&gt;&lt;/Citation&gt;_x000a_"/>
    <w:docVar w:name="NE.Ref{5BC4BE63-1ECE-4A9A-BBAA-F23828135F15}" w:val=" ADDIN NE.Ref.{5BC4BE63-1ECE-4A9A-BBAA-F23828135F15}&lt;Citation&gt;&lt;Group&gt;&lt;References&gt;&lt;Item&gt;&lt;ID&gt;41022&lt;/ID&gt;&lt;UID&gt;{B4CC33A4-68BE-46BE-8292-0C9CF2B61E19}&lt;/UID&gt;&lt;Title&gt;Exercise training improves endothelial function in resistance arteries of young prehypertensives&lt;/Title&gt;&lt;Template&gt;Journal Article&lt;/Template&gt;&lt;Star&gt;0&lt;/Star&gt;&lt;Tag&gt;1&lt;/Tag&gt;&lt;Author&gt;Beck, D T; Martin, J S; Casey, D P; Braith, R W&lt;/Author&gt;&lt;Year&gt;2014&lt;/Year&gt;&lt;Details&gt;&lt;_accessed&gt;65653135&lt;/_accessed&gt;&lt;_alternate_title&gt;J. Hum. Hypertens.&lt;/_alternate_title&gt;&lt;_author_adr&gt;D.T. Beck, Department of Kinesiology, University of Rhode Island, 25 West Independence Way, Kingston, RI 02881, United States&lt;/_author_adr&gt;&lt;_collection_scope&gt;SCIE&lt;/_collection_scope&gt;&lt;_created&gt;65585604&lt;/_created&gt;&lt;_date&gt;2014-01-01&lt;/_date&gt;&lt;_date_display&gt;2014&lt;/_date_display&gt;&lt;_doi&gt;10.1038/jhh.2013.109&lt;/_doi&gt;&lt;_impact_factor&gt;   2.877&lt;/_impact_factor&gt;&lt;_isbn&gt;1476-5527&lt;/_isbn&gt;&lt;_issue&gt;5&lt;/_issue&gt;&lt;_journal&gt;Journal of Human Hypertension&lt;/_journal&gt;&lt;_keywords&gt;8 isoprostaglandin F2 alpha; antioxidant; oxidizing agent; trolox C; adult; antioxidant activity; artery resistance; article; blood flow; blood flowmetry; calf blood flow; clinical article; controlled study; endothelial dysfunction; endothelium; endurance training; female; forearm blood flow; human; hyperemia; lipid peroxidation; male; prehypertension; randomized controlled trial; resistance training; vein occlusion plethysmography&lt;/_keywords&gt;&lt;_label&gt;OUTCOME&lt;/_label&gt;&lt;_modified&gt;65653135&lt;/_modified&gt;&lt;_pages&gt;303-309&lt;/_pages&gt;&lt;_social_category&gt;医学(4)&lt;/_social_category&gt;&lt;_url&gt;https://www.embase.com/search/results?subaction=viewrecord&amp;amp;id=L52844016&amp;amp;from=export_x000d__x000a_http://dx.doi.org/10.1038/jhh.2013.109&lt;/_url&gt;&lt;_volume&gt;28&lt;/_volume&gt;&lt;/Details&gt;&lt;Extra&gt;&lt;DBUID&gt;{CCD8BC99-AC21-4495-A582-31CC77FC1918}&lt;/DBUID&gt;&lt;/Extra&gt;&lt;/Item&gt;&lt;/References&gt;&lt;/Group&gt;&lt;/Citation&gt;_x000a_"/>
    <w:docVar w:name="NE.Ref{5D8DF0C8-6840-4974-8174-1149EBF8901F}" w:val=" ADDIN NE.Ref.{5D8DF0C8-6840-4974-8174-1149EBF8901F}&lt;Citation&gt;&lt;Group&gt;&lt;References&gt;&lt;Item&gt;&lt;ID&gt;41132&lt;/ID&gt;&lt;UID&gt;{E47B5C3B-2C6A-4FDA-BEDA-F16B7EFD324D}&lt;/UID&gt;&lt;Title&gt;Effects of different doses of physical activity oncardiorespiratory fitness among sedentary, overweight or obese postmenopausal women with elevated blood pressure: A randomized controlled trial&lt;/Title&gt;&lt;Template&gt;Journal Article&lt;/Template&gt;&lt;Star&gt;0&lt;/Star&gt;&lt;Tag&gt;1&lt;/Tag&gt;&lt;Author&gt;Church, T S; Earnest, C P; Skinner, J S; Blair, S N&lt;/Author&gt;&lt;Year&gt;2007&lt;/Year&gt;&lt;Details&gt;&lt;_accessed&gt;65630820&lt;/_accessed&gt;&lt;_alternate_title&gt;J. Am. Med. Assoc.&lt;/_alternate_title&gt;&lt;_author_adr&gt;T.S. Church, Pennington Biomedical Research Center, Louisiana State University System, 6400 Perkins Rd, Baton Rouge, LA 70808-4124, United States&lt;/_author_adr&gt;&lt;_collection_scope&gt;SCIE&lt;/_collection_scope&gt;&lt;_created&gt;65585604&lt;/_created&gt;&lt;_date&gt;2007-01-01&lt;/_date&gt;&lt;_date_display&gt;2007&lt;/_date_display&gt;&lt;_doi&gt;10.1001/jama.297.19.2081&lt;/_doi&gt;&lt;_impact_factor&gt; 157.335&lt;/_impact_factor&gt;&lt;_isbn&gt;1538-3598&lt;/_isbn&gt;&lt;_issue&gt;19&lt;/_issue&gt;&lt;_journal&gt;JAMA&lt;/_journal&gt;&lt;_keywords&gt;NCT00011193; adult; aerobic exercise; aged; article; bicycle ergometer; blood pressure measurement; cardiopulmonary function; clinical trial; controlled clinical trial; controlled study; energy expenditure; female; fitness; heart rate; human; hypertension; major clinical study; obesity; oxygen consumption; physical activity; postmenopause; priority journal; randomized controlled trial; sitting&lt;/_keywords&gt;&lt;_label&gt;HTN&lt;/_label&gt;&lt;_modified&gt;65630820&lt;/_modified&gt;&lt;_pages&gt;2081-2091&lt;/_pages&gt;&lt;_social_category&gt;医学(1)&lt;/_social_category&gt;&lt;_url&gt;https://www.embase.com/search/results?subaction=viewrecord&amp;amp;id=L46798166&amp;amp;from=export_x000d__x000a_http://dx.doi.org/10.1001/jama.297.19.2081&lt;/_url&gt;&lt;_volume&gt;297&lt;/_volume&gt;&lt;/Details&gt;&lt;Extra&gt;&lt;DBUID&gt;{CCD8BC99-AC21-4495-A582-31CC77FC1918}&lt;/DBUID&gt;&lt;/Extra&gt;&lt;/Item&gt;&lt;/References&gt;&lt;/Group&gt;&lt;/Citation&gt;_x000a_"/>
    <w:docVar w:name="NE.Ref{5F1B8BF8-8ACA-456A-BD74-AF3A5CEFB59E}" w:val=" ADDIN NE.Ref.{5F1B8BF8-8ACA-456A-BD74-AF3A5CEFB59E}&lt;Citation&gt;&lt;Group&gt;&lt;References&gt;&lt;Item&gt;&lt;ID&gt;41394&lt;/ID&gt;&lt;UID&gt;{6E2F0D6B-8AD3-4BFF-A14C-11E3B7FD23EC}&lt;/UID&gt;&lt;Title&gt;The feasibility of exercise videogames for cardiovascular risk reduction among adults: a pilot for &amp;quot;Wii heart fitness&amp;quot;&lt;/Title&gt;&lt;Template&gt;Journal Article&lt;/Template&gt;&lt;Star&gt;0&lt;/Star&gt;&lt;Tag&gt;1&lt;/Tag&gt;&lt;Author&gt;Serber, E R; Ciccolo, J; Palmer, K; Cobb, V; Tilkemeier, P L; Bock, B C&lt;/Author&gt;&lt;Year&gt;2016&lt;/Year&gt;&lt;Details&gt;&lt;_accessed&gt;65653100&lt;/_accessed&gt;&lt;_alternate_title&gt;JOURNAL OF SPORTS MEDICINE AND PHYSICAL FITNESS&lt;/_alternate_title&gt;&lt;_author_adr&gt;Med Univ S Carolina, Dept Psychiat &amp;amp; Behav Sci, Div Biobehav Med, 67 President St,IOP 1 South,Suite 104,MSC 861, Charleston, SC 29425 USA; Columbia Univ, Teachers Coll, Dept Biobehav Sci, New York, NY 10027 USA; Miriam Hosp, Ctr Behav &amp;amp; Prevent Med, Providence, RI 02906 USA; Greenville Hlth Syst, Greenville, SC USA; Brown Univ, Warren Alpert Med Sch, Providence, RI 02912 USA&lt;/_author_adr&gt;&lt;_collection_scope&gt;SCIE&lt;/_collection_scope&gt;&lt;_created&gt;65585604&lt;/_created&gt;&lt;_date&gt;2016-01-01&lt;/_date&gt;&lt;_date_display&gt;2016&lt;/_date_display&gt;&lt;_impact_factor&gt;   1.669&lt;/_impact_factor&gt;&lt;_isbn&gt;0022-4707&lt;/_isbn&gt;&lt;_issue&gt;3&lt;/_issue&gt;&lt;_journal&gt;JOURNAL OF SPORTS MEDICINE AND PHYSICAL FITNESS&lt;/_journal&gt;&lt;_keywords&gt;Exercise videogames; prehypertension; behavioral medicine; intervention studies; PHYSICAL-ACTIVITY; HEALTH; PREHYPERTENSION; PREVENTION; ENJOYMENT; TELEPHONE; BENEFITS; VALIDITY; BEHAVIOR; DISEASES&lt;/_keywords&gt;&lt;_label&gt;INTERVENTION&lt;/_label&gt;&lt;_modified&gt;65653100&lt;/_modified&gt;&lt;_pages&gt;319-327&lt;/_pages&gt;&lt;_social_category&gt;医学(4)&lt;/_social_category&gt;&lt;_volume&gt;56&lt;/_volume&gt;&lt;/Details&gt;&lt;Extra&gt;&lt;DBUID&gt;{CCD8BC99-AC21-4495-A582-31CC77FC1918}&lt;/DBUID&gt;&lt;/Extra&gt;&lt;/Item&gt;&lt;/References&gt;&lt;/Group&gt;&lt;/Citation&gt;_x000a_"/>
    <w:docVar w:name="NE.Ref{602D30D1-326A-45D8-9A6B-CBB642FADC7D}" w:val=" ADDIN NE.Ref.{602D30D1-326A-45D8-9A6B-CBB642FADC7D}&lt;Citation&gt;&lt;Group&gt;&lt;References&gt;&lt;Item&gt;&lt;ID&gt;41483&lt;/ID&gt;&lt;UID&gt;{8A912CDE-3C01-473D-8635-E0FFDEF942E6}&lt;/UID&gt;&lt;Title&gt;Time sequence of autonomic changes induced by daily slow-breathing sessions&lt;/Title&gt;&lt;Template&gt;Journal Article&lt;/Template&gt;&lt;Star&gt;0&lt;/Star&gt;&lt;Tag&gt;1&lt;/Tag&gt;&lt;Author&gt;Modesti, P A; Ferrari, A; Bazzini, C; Boddi, M&lt;/Author&gt;&lt;Year&gt;2015&lt;/Year&gt;&lt;Details&gt;&lt;_accessed&gt;65630380&lt;/_accessed&gt;&lt;_alternate_title&gt;CLINICAL AUTONOMIC RESEARCH&lt;/_alternate_title&gt;&lt;_author_adr&gt;Univ Florence, Dept Clin &amp;amp; Expt Med, I-50134 Florence, Italy&lt;/_author_adr&gt;&lt;_collection_scope&gt;SCIE&lt;/_collection_scope&gt;&lt;_created&gt;65585604&lt;/_created&gt;&lt;_date&gt;2015-01-01&lt;/_date&gt;&lt;_date_display&gt;2015&lt;/_date_display&gt;&lt;_doi&gt;10.1007/s10286-014-0255-9&lt;/_doi&gt;&lt;_impact_factor&gt;   5.625&lt;/_impact_factor&gt;&lt;_isbn&gt;0959-9851&lt;/_isbn&gt;&lt;_issue&gt;2&lt;/_issue&gt;&lt;_journal&gt;CLINICAL AUTONOMIC RESEARCH&lt;/_journal&gt;&lt;_keywords&gt;Hypertension; Prevention and control; Complementary therapies; Breathing exercises; Autonomic nervous system; Baroreflexes; HEART-RATE-VARIABILITY; ARTERIAL BAROREFLEX SENSITIVITY; SYMPATHETIC-NERVE ACTIVITY; BLOOD-PRESSURE; NONPHARMACOLOGIC TREATMENT; CHEMOREFLEX RESPONSE; EXERCISE; DEVICE; HYPERTENSION; HYPOXIA&lt;/_keywords&gt;&lt;_label&gt;INTERVENTION&lt;/_label&gt;&lt;_modified&gt;65630380&lt;/_modified&gt;&lt;_pages&gt;95-104&lt;/_pages&gt;&lt;_social_category&gt;医学(3)&lt;/_social_category&gt;&lt;_volume&gt;25&lt;/_volume&gt;&lt;/Details&gt;&lt;Extra&gt;&lt;DBUID&gt;{CCD8BC99-AC21-4495-A582-31CC77FC1918}&lt;/DBUID&gt;&lt;/Extra&gt;&lt;/Item&gt;&lt;/References&gt;&lt;/Group&gt;&lt;/Citation&gt;_x000a_"/>
    <w:docVar w:name="NE.Ref{60AB9768-71D3-44EB-ACBB-A01E3EFCA13C}" w:val=" ADDIN NE.Ref.{60AB9768-71D3-44EB-ACBB-A01E3EFCA13C}&lt;Citation&gt;&lt;Group&gt;&lt;References&gt;&lt;Item&gt;&lt;ID&gt;39620&lt;/ID&gt;&lt;UID&gt;{DE17B6FB-56FF-401A-BA94-EF9AF687BC67}&lt;/UID&gt;&lt;Title&gt;Effect of high intensity interval training on physical capacity, body composition, quality of life and autonomic cardiac control of hypertensions&lt;/Title&gt;&lt;Template&gt;Journal Article&lt;/Template&gt;&lt;Star&gt;0&lt;/Star&gt;&lt;Tag&gt;1&lt;/Tag&gt;&lt;Author&gt;&amp;quot;RBR- Fdkw&amp;quot;&lt;/Author&gt;&lt;Year&gt;2018&lt;/Year&gt;&lt;Details&gt;&lt;_accessed&gt;65628553&lt;/_accessed&gt;&lt;_created&gt;65585604&lt;/_created&gt;&lt;_date&gt;2018-01-01&lt;/_date&gt;&lt;_date_display&gt;2018&lt;/_date_display&gt;&lt;_label&gt;HTN&lt;/_label&gt;&lt;_modified&gt;65628553&lt;/_modified&gt;&lt;_url&gt;https://www.cochranelibrary.com/central/doi/10.1002/central/CN-01947834/full&lt;/_url&gt;&lt;/Details&gt;&lt;Extra&gt;&lt;DBUID&gt;{CCD8BC99-AC21-4495-A582-31CC77FC1918}&lt;/DBUID&gt;&lt;/Extra&gt;&lt;/Item&gt;&lt;/References&gt;&lt;/Group&gt;&lt;/Citation&gt;_x000a_"/>
    <w:docVar w:name="NE.Ref{614C639C-F7B9-44C4-BFBA-D986C15AB2F4}" w:val=" ADDIN NE.Ref.{614C639C-F7B9-44C4-BFBA-D986C15AB2F4}&lt;Citation&gt;&lt;Group&gt;&lt;References&gt;&lt;Item&gt;&lt;ID&gt;41101&lt;/ID&gt;&lt;UID&gt;{94A66E3C-5664-4D4C-A3BA-B87346F498DA}&lt;/UID&gt;&lt;Title&gt;Effect of slow abdominal breathing combined with biofeedback on blood pressure and heart rate variability in prehypertension&lt;/Title&gt;&lt;Template&gt;Journal Article&lt;/Template&gt;&lt;Star&gt;0&lt;/Star&gt;&lt;Tag&gt;1&lt;/Tag&gt;&lt;Author&gt;Wang, S Z; Li, S; Xu, X Y; Lin, G P; Shao, L; Zhao, Y; Wang, T H&lt;/Author&gt;&lt;Year&gt;2010&lt;/Year&gt;&lt;Details&gt;&lt;_accessed&gt;65636148&lt;/_accessed&gt;&lt;_alternate_title&gt;J. Altern. Complement. Med.&lt;/_alternate_title&gt;&lt;_author_adr&gt;T. H. Wang, Department of Physiology, Zhongshan School of Medicine, Sun Yat-sen University, 74 Zhongshan Road II, Guangzhou, Guangdong, 510080, China&lt;/_author_adr&gt;&lt;_created&gt;65585604&lt;/_created&gt;&lt;_date&gt;2010-01-01&lt;/_date&gt;&lt;_date_display&gt;2010&lt;/_date_display&gt;&lt;_doi&gt;10.1089/acm.2009.0577&lt;/_doi&gt;&lt;_impact_factor&gt;   2.381&lt;/_impact_factor&gt;&lt;_isbn&gt;1075-5535&lt;/_isbn&gt;&lt;_issue&gt;10&lt;/_issue&gt;&lt;_journal&gt;Journal of Alternative and Complementary Medicine&lt;/_journal&gt;&lt;_keywords&gt;abdominal breathing; adult; article; blood pressure; breathing exercise; clinical article; clinical trial; controlled clinical trial; controlled study; diastolic blood pressure; electromyography; feedback system; female; heart rate variability; human; hypertension; postmenopause; prehypertension; priority journal; randomized controlled trial; sympathetic tone; systolic blood pressure; treatment outcome; vagus tone&lt;/_keywords&gt;&lt;_label&gt;INTERVENTION&lt;/_label&gt;&lt;_modified&gt;65636148&lt;/_modified&gt;&lt;_pages&gt;1039-1045&lt;/_pages&gt;&lt;_social_category&gt;医学(4)&lt;/_social_category&gt;&lt;_url&gt;https://www.embase.com/search/results?subaction=viewrecord&amp;amp;id=L359813862&amp;amp;from=export_x000d__x000a_http://dx.doi.org/10.1089/acm.2009.0577&lt;/_url&gt;&lt;_volume&gt;16&lt;/_volume&gt;&lt;/Details&gt;&lt;Extra&gt;&lt;DBUID&gt;{CCD8BC99-AC21-4495-A582-31CC77FC1918}&lt;/DBUID&gt;&lt;/Extra&gt;&lt;/Item&gt;&lt;/References&gt;&lt;/Group&gt;&lt;/Citation&gt;_x000a_"/>
    <w:docVar w:name="NE.Ref{65DE786C-4D21-4BBE-A147-929D66C5E178}" w:val=" ADDIN NE.Ref.{65DE786C-4D21-4BBE-A147-929D66C5E178}&lt;Citation&gt;&lt;Group&gt;&lt;References&gt;&lt;Item&gt;&lt;ID&gt;39685&lt;/ID&gt;&lt;UID&gt;{97798485-D769-4DD7-951A-C204CA2D89AB}&lt;/UID&gt;&lt;Title&gt;Influence of different intensity aerobic exercise on blood pressure and mental health of people with borderline hypertension&lt;/Title&gt;&lt;Template&gt;Journal Article&lt;/Template&gt;&lt;Star&gt;0&lt;/Star&gt;&lt;Tag&gt;1&lt;/Tag&gt;&lt;Author&gt;Peng, Q; Li, X; Li, G&lt;/Author&gt;&lt;Year&gt;2020&lt;/Year&gt;&lt;Details&gt;&lt;_accessed&gt;65653100&lt;/_accessed&gt;&lt;_created&gt;65585604&lt;/_created&gt;&lt;_date&gt;2020-01-01&lt;/_date&gt;&lt;_date_display&gt;2020&lt;/_date_display&gt;&lt;_keywords&gt; *aerobic exercise;  *borderline hypertension;  *diastolic blood pressure;  *mental health;  Adult;  Anxiety;  Blood pressure monitoring;  Civil servant;  Conference abstract;  Controlled study;  Female;  Heart rate;  Hostility;  Human;  Human relation;  Major clinical study;  Male;  Paranoia;  Physical examination;  Randomized controlled trial;  Somatization;  Symptom Checklist 90&lt;/_keywords&gt;&lt;_label&gt;MEETING&lt;/_label&gt;&lt;_modified&gt;65653100&lt;/_modified&gt;&lt;_pages&gt; 79‐80&lt;/_pages&gt;&lt;_url&gt;https://www.cochranelibrary.com/central/doi/10.1002/central/CN-02142756/full&lt;/_url&gt;&lt;_volume&gt;126&lt;/_volume&gt;&lt;/Details&gt;&lt;Extra&gt;&lt;DBUID&gt;{CCD8BC99-AC21-4495-A582-31CC77FC1918}&lt;/DBUID&gt;&lt;/Extra&gt;&lt;/Item&gt;&lt;/References&gt;&lt;/Group&gt;&lt;/Citation&gt;_x000a_"/>
    <w:docVar w:name="NE.Ref{6852A267-8DC4-4202-9C27-DD4B06401ACA}" w:val=" ADDIN NE.Ref.{6852A267-8DC4-4202-9C27-DD4B06401ACA}&lt;Citation&gt;&lt;Group&gt;&lt;References&gt;&lt;Item&gt;&lt;ID&gt;40810&lt;/ID&gt;&lt;UID&gt;{F05DA0BD-08CB-4968-806F-860A2DA785E0}&lt;/UID&gt;&lt;Title&gt;Telephone-based mindfulness training in diverse prehypertensive women: Results of a pilot randomized controlled trial&lt;/Title&gt;&lt;Template&gt;Journal Article&lt;/Template&gt;&lt;Star&gt;0&lt;/Star&gt;&lt;Tag&gt;1&lt;/Tag&gt;&lt;Author&gt;Kalinowski, J; Castaneda, S F; Allison, M A; Duberstein, Z T; Kaur, K; Rutigliano, M; Jin, P; Fredericks, S; Yepez, M; Sperber, S H; Payano, L; Ogedegbe, G; Spruill, T M&lt;/Author&gt;&lt;Year&gt;2021&lt;/Year&gt;&lt;Details&gt;&lt;_accessed&gt;65653100&lt;/_accessed&gt;&lt;_alternate_title&gt;Circulation&lt;/_alternate_title&gt;&lt;_author_adr&gt;J. Kalinowski&lt;/_author_adr&gt;&lt;_collection_scope&gt;SCIE&lt;/_collection_scope&gt;&lt;_created&gt;65585604&lt;/_created&gt;&lt;_date&gt;2021-01-01&lt;/_date&gt;&lt;_date_display&gt;2021&lt;/_date_display&gt;&lt;_doi&gt;10.1161/circ.143.suppl_1.P191&lt;/_doi&gt;&lt;_impact_factor&gt;  39.918&lt;/_impact_factor&gt;&lt;_isbn&gt;1524-4539&lt;/_isbn&gt;&lt;_issue&gt;SUPPL 1&lt;/_issue&gt;&lt;_journal&gt;Circulation&lt;/_journal&gt;&lt;_keywords&gt;antihypertensive agent; adult; blood pressure measurement; clinical article; cognitive therapy; conference abstract; controlled study; coronavirus disease 2019; demography; ethnic group; ethnicity; feasibility study; female; follow up; foreigner; human; middle aged; mindfulness; outpatient department; Patient Health Questionnaire 8; physiological stress; prehypertension; randomized controlled trial; satisfaction; systolic blood pressure; telephone; unemployment&lt;/_keywords&gt;&lt;_label&gt;INTERVENTION&lt;/_label&gt;&lt;_modified&gt;65653100&lt;/_modified&gt;&lt;_social_category&gt;医学(1)&lt;/_social_category&gt;&lt;_url&gt;https://www.embase.com/search/results?subaction=viewrecord&amp;amp;id=L635488043&amp;amp;from=export_x000d__x000a_http://dx.doi.org/10.1161/circ.143.suppl_1.P191&lt;/_url&gt;&lt;_volume&gt;143&lt;/_volume&gt;&lt;/Details&gt;&lt;Extra&gt;&lt;DBUID&gt;{CCD8BC99-AC21-4495-A582-31CC77FC1918}&lt;/DBUID&gt;&lt;/Extra&gt;&lt;/Item&gt;&lt;/References&gt;&lt;/Group&gt;&lt;/Citation&gt;_x000a_"/>
    <w:docVar w:name="NE.Ref{6AF6E59D-AFB4-40B3-951F-A38704B13DA0}" w:val=" ADDIN NE.Ref.{6AF6E59D-AFB4-40B3-951F-A38704B13DA0}&lt;Citation&gt;&lt;Group&gt;&lt;References&gt;&lt;Item&gt;&lt;ID&gt;41106&lt;/ID&gt;&lt;UID&gt;{B7810F09-D4C2-43E9-9554-572848E352B7}&lt;/UID&gt;&lt;Title&gt;Effects of the DASH diet alone and in combination with exercise and weight loss on blood pressure and cardiovascular biomarkers in men and women with high blood pressure: The ENCORE study&lt;/Title&gt;&lt;Template&gt;Journal Article&lt;/Template&gt;&lt;Star&gt;0&lt;/Star&gt;&lt;Tag&gt;1&lt;/Tag&gt;&lt;Author&gt;Blumenthal, J A; Babyak, M A; Hinderliter, A; Watkins, L L; Craighead, L; Lin, P H; Caccia, C; Johnson, J; Waugh, R; Sherwood, A&lt;/Author&gt;&lt;Year&gt;2010&lt;/Year&gt;&lt;Details&gt;&lt;_accessed&gt;65627870&lt;/_accessed&gt;&lt;_alternate_title&gt;Arch. Intern. Med.&lt;/_alternate_title&gt;&lt;_author_adr&gt;J. A. Blumenthal, Department of Psychiatry and Behavioral Sciences, Duke University Medical Center, Campus Box 3119, Durham, NC 27710, United States&lt;/_author_adr&gt;&lt;_created&gt;65585604&lt;/_created&gt;&lt;_date&gt;2010-01-01&lt;/_date&gt;&lt;_date_display&gt;2010&lt;/_date_display&gt;&lt;_doi&gt;10.1001/archinternmed.2009.470&lt;/_doi&gt;&lt;_isbn&gt;0003-9926&lt;/_isbn&gt;&lt;_issue&gt;2&lt;/_issue&gt;&lt;_journal&gt;Archives of Internal Medicine&lt;/_journal&gt;&lt;_keywords&gt;NCT00571844; adult; aerobic capacity; artery dilatation; article; blood pressure measurement; blood pressure monitoring; brachial artery; clinical trial; controlled clinical trial; controlled study; diastolic blood pressure; diet therapy; dietary intake; exercise; female; heart left ventricle mass; human; hypertension; major clinical study; male; obesity; pressoreceptor reflex; priority journal; pulse wave; randomized controlled trial; systolic blood pressure; urinary excretion; body weight change; body weight loss&lt;/_keywords&gt;&lt;_label&gt;HTN&lt;/_label&gt;&lt;_modified&gt;65627870&lt;/_modified&gt;&lt;_pages&gt;126-135&lt;/_pages&gt;&lt;_url&gt;https://www.embase.com/search/results?subaction=viewrecord&amp;amp;id=L358224283&amp;amp;from=export_x000d__x000a_http://dx.doi.org/10.1001/archinternmed.2009.470&lt;/_url&gt;&lt;_volume&gt;170&lt;/_volume&gt;&lt;/Details&gt;&lt;Extra&gt;&lt;DBUID&gt;{CCD8BC99-AC21-4495-A582-31CC77FC1918}&lt;/DBUID&gt;&lt;/Extra&gt;&lt;/Item&gt;&lt;/References&gt;&lt;/Group&gt;&lt;/Citation&gt;_x000a_"/>
    <w:docVar w:name="NE.Ref{6BDD1F6A-19DF-403B-8651-6D11162774B0}" w:val=" ADDIN NE.Ref.{6BDD1F6A-19DF-403B-8651-6D11162774B0}&lt;Citation&gt;&lt;Group&gt;&lt;References&gt;&lt;Item&gt;&lt;ID&gt;40723&lt;/ID&gt;&lt;UID&gt;{F00F85BD-8A9D-44A4-B621-2641BE9B6F8C}&lt;/UID&gt;&lt;Title&gt;Immediate Effects of Calf Muscle Release via Foam Rolling and Active Stretching on Blood Pressure, Heart Rate and the Rate Pressure Product in People with High-Normal Blood Pressure – A Comparative Study&lt;/Title&gt;&lt;Template&gt;Journal Article&lt;/Template&gt;&lt;Star&gt;0&lt;/Star&gt;&lt;Tag&gt;1&lt;/Tag&gt;&lt;Author&gt;Mevada, N; Mehta, M; Oza, F; Chokshi, J&lt;/Author&gt;&lt;Year&gt;2024&lt;/Year&gt;&lt;Details&gt;&lt;_accessed&gt;65653100&lt;/_accessed&gt;&lt;_alternate_title&gt;Cardiovasc. Innov.  Appl.&lt;/_alternate_title&gt;&lt;_author_adr&gt;N. Mevada, U N Mehta Institute of Cardiology and Research Centre, Gujarat, Ahmedabad, India&lt;/_author_adr&gt;&lt;_collection_scope&gt;ESCI&lt;/_collection_scope&gt;&lt;_created&gt;65585604&lt;/_created&gt;&lt;_date&gt;2024-01-01&lt;/_date&gt;&lt;_date_display&gt;2024&lt;/_date_display&gt;&lt;_doi&gt;10.15212/CVIA.2024.0017&lt;/_doi&gt;&lt;_isbn&gt;2009-8782&lt;/_isbn&gt;&lt;_journal&gt;Cardiovascular Innovations and Applications&lt;/_journal&gt;&lt;_keywords&gt;foam roller; mercury sphygmomanometer; rehabilitation equipment; theraband; adult; article; blood pressure; comparative study; controlled study; diastolic blood pressure; female; foam rolling; heart muscle oxygen consumption; heart rate; human; hypertension; major clinical study; male; muscle relaxation; myofascial release; physical activity; randomized controlled trial; stretching exercise; systolic blood pressure; triceps surae muscle&lt;/_keywords&gt;&lt;_label&gt;ACUTE&lt;/_label&gt;&lt;_modified&gt;65653100&lt;/_modified&gt;&lt;_volume&gt;9&lt;/_volume&gt;&lt;/Details&gt;&lt;Extra&gt;&lt;DBUID&gt;{CCD8BC99-AC21-4495-A582-31CC77FC1918}&lt;/DBUID&gt;&lt;/Extra&gt;&lt;/Item&gt;&lt;/References&gt;&lt;/Group&gt;&lt;/Citation&gt;_x000a_"/>
    <w:docVar w:name="NE.Ref{728FEFAD-7B80-4F1C-9FD0-A2E50F8175F0}" w:val=" ADDIN NE.Ref.{728FEFAD-7B80-4F1C-9FD0-A2E50F8175F0}&lt;Citation&gt;&lt;Group&gt;&lt;References&gt;&lt;Item&gt;&lt;ID&gt;40428&lt;/ID&gt;&lt;UID&gt;{A068246C-E029-46BD-9D31-ADC5BAA4E74E}&lt;/UID&gt;&lt;Title&gt;A Randomized Controlled Trial on Effect of Tai Chi versus aerobic exercise on Blood Pressure in Prehypertension Patients&lt;/Title&gt;&lt;Template&gt;Journal Article&lt;/Template&gt;&lt;Star&gt;0&lt;/Star&gt;&lt;Tag&gt;1&lt;/Tag&gt;&lt;Author&gt;ChiCTR&lt;/Author&gt;&lt;Year&gt;2019&lt;/Year&gt;&lt;Details&gt;&lt;_accessed&gt;65653100&lt;/_accessed&gt;&lt;_created&gt;65585604&lt;/_created&gt;&lt;_date&gt;2019-01-01&lt;/_date&gt;&lt;_date_display&gt;2019&lt;/_date_display&gt;&lt;_label&gt;PROTO&lt;/_label&gt;&lt;_modified&gt;65653100&lt;/_modified&gt;&lt;_url&gt;https://www.cochranelibrary.com/central/doi/10.1002/central/CN-01975069/full&lt;/_url&gt;&lt;/Details&gt;&lt;Extra&gt;&lt;DBUID&gt;{CCD8BC99-AC21-4495-A582-31CC77FC1918}&lt;/DBUID&gt;&lt;/Extra&gt;&lt;/Item&gt;&lt;/References&gt;&lt;/Group&gt;&lt;/Citation&gt;_x000a_"/>
    <w:docVar w:name="NE.Ref{7324DFEC-BD04-49D9-A55E-0D7484DB03BC}" w:val=" ADDIN NE.Ref.{7324DFEC-BD04-49D9-A55E-0D7484DB03BC}&lt;Citation&gt;&lt;Group&gt;&lt;References&gt;&lt;Item&gt;&lt;ID&gt;41979&lt;/ID&gt;&lt;UID&gt;{BCA3ED1B-D557-4A68-840B-3334B7BD41A1}&lt;/UID&gt;&lt;Title&gt;Cardiovascular Responses to an Isometric Handgrip Exercise in Females with  Prehypertension&lt;/Title&gt;&lt;Template&gt;Journal Article&lt;/Template&gt;&lt;Star&gt;0&lt;/Star&gt;&lt;Tag&gt;1&lt;/Tag&gt;&lt;Author&gt;Bond, V; Curry, B H; Adams, R G; Obisesan, T; Pemminati, S; Gorantla, V R; Kadur, K; Millis, R M&lt;/Author&gt;&lt;Year&gt;2016&lt;/Year&gt;&lt;Details&gt;&lt;_accessed&gt;65630823&lt;/_accessed&gt;&lt;_accession_num&gt;27500128&lt;/_accession_num&gt;&lt;_author_adr&gt;Department of Recreation, Human Performance and Leisure Studies and Exercise  Science and Human Nutrition Laboratory, Howard University Cancer Centre,  Washington DC, USA.; Department of Medicine, Division of Cardiology, Howard College of Medicine and  Howard University Hospital, Washington DC, USA.; Department of Internal Medicine, Howard University Hospital, Washington DC, USA.; Department of Internal Medicine, Howard University Hospital, Washington DC, USA.; Department of Medical Pharmacology, AUA College of Medicine, Antigua and Barbuda,  and Manipal University, Manipal, Karnataka, India.; Department of Behavioural Sciences and Neuroscience, AUA College of Medicine,  Antigua and Barbuda.; Department of Medical Physiology, AUA College of Medicine, Antigua and Barbuda.; Department of Medical Physiology, AUA College of Medicine, Antigua and Barbuda.&lt;/_author_adr&gt;&lt;_collection_scope&gt;ESCI&lt;/_collection_scope&gt;&lt;_created&gt;65585604&lt;/_created&gt;&lt;_date&gt;2016-06-01&lt;/_date&gt;&lt;_date_display&gt;2016 Jun&lt;/_date_display&gt;&lt;_doi&gt;10.4103/1947-2714.185032&lt;/_doi&gt;&lt;_isbn&gt;2250-1541 (Print); 1947-2714 (Electronic); 1947-2714 (Linking)&lt;/_isbn&gt;&lt;_issue&gt;6&lt;/_issue&gt;&lt;_journal&gt;N Am J Med Sci&lt;/_journal&gt;&lt;_keywords&gt;Arterial compliance; blood pressure; heart rate; myocardial oxygen demand; systemic vascular resistance&lt;/_keywords&gt;&lt;_label&gt;NORCT&lt;/_label&gt;&lt;_language&gt;eng&lt;/_language&gt;&lt;_modified&gt;65630823&lt;/_modified&gt;&lt;_pages&gt;243-9&lt;/_pages&gt;&lt;_tertiary_title&gt;North American journal of medical sciences&lt;/_tertiary_title&gt;&lt;_type_work&gt;Journal Article&lt;/_type_work&gt;&lt;_url&gt;http://www.ncbi.nlm.nih.gov/entrez/query.fcgi?cmd=Retrieve&amp;amp;db=pubmed&amp;amp;dopt=Abstract&amp;amp;list_uids=27500128&amp;amp;query_hl=1&lt;/_url&gt;&lt;_volume&gt;8&lt;/_volume&gt;&lt;/Details&gt;&lt;Extra&gt;&lt;DBUID&gt;{CCD8BC99-AC21-4495-A582-31CC77FC1918}&lt;/DBUID&gt;&lt;/Extra&gt;&lt;/Item&gt;&lt;/References&gt;&lt;/Group&gt;&lt;/Citation&gt;_x000a_"/>
    <w:docVar w:name="NE.Ref{7484964D-8E46-41ED-AB87-87639DA01CBF}" w:val=" ADDIN NE.Ref.{7484964D-8E46-41ED-AB87-87639DA01CBF}&lt;Citation&gt;&lt;Group&gt;&lt;References&gt;&lt;Item&gt;&lt;ID&gt;41021&lt;/ID&gt;&lt;UID&gt;{3E8B786C-5469-4EDB-B60F-48274E194324}&lt;/UID&gt;&lt;Title&gt;Whole-body vibration exercise training reduces arterial stiffness in postmenopausal women with prehypertension and hypertension&lt;/Title&gt;&lt;Template&gt;Journal Article&lt;/Template&gt;&lt;Star&gt;0&lt;/Star&gt;&lt;Tag&gt;1&lt;/Tag&gt;&lt;Author&gt;Figueroa, A; Kalfon, R; Madzima, T A; Wong, A&lt;/Author&gt;&lt;Year&gt;2014&lt;/Year&gt;&lt;Details&gt;&lt;_accessed&gt;65637682&lt;/_accessed&gt;&lt;_alternate_title&gt;Menopause&lt;/_alternate_title&gt;&lt;_author_adr&gt;A. Figueroa, Department of Nutrition, Food, and Exercise Sciences, Florida State University, Tallahassee, FL 323306, United States&lt;/_author_adr&gt;&lt;_collection_scope&gt;SCIE&lt;/_collection_scope&gt;&lt;_created&gt;65585604&lt;/_created&gt;&lt;_date&gt;2014-01-01&lt;/_date&gt;&lt;_date_display&gt;2014&lt;/_date_display&gt;&lt;_doi&gt;10.1097/GME.0b013e318294528c&lt;/_doi&gt;&lt;_impact_factor&gt;   3.310&lt;/_impact_factor&gt;&lt;_isbn&gt;1530-0374&lt;/_isbn&gt;&lt;_issue&gt;2&lt;/_issue&gt;&lt;_journal&gt;Menopause&lt;/_journal&gt;&lt;_keywords&gt;adult; arterial stiffness; article; body mass; cardiovascular parameters; clinical article; controlled study; diastolic blood pressure; exercise; female; heart rate; human; hypertension; leg muscle; mean arterial pressure; middle aged; muscle strength; postmenopause; prehypertension; pulse wave; randomized controlled trial; systolic blood pressure; whole body vibration&lt;/_keywords&gt;&lt;_label&gt;HTN&lt;/_label&gt;&lt;_modified&gt;65637682&lt;/_modified&gt;&lt;_pages&gt;131-136&lt;/_pages&gt;&lt;_social_category&gt;医学(3)&lt;/_social_category&gt;&lt;_url&gt;https://www.embase.com/search/results?subaction=viewrecord&amp;amp;id=L52604346&amp;amp;from=export_x000d__x000a_http://dx.doi.org/10.1097/GME.0b013e318294528c&lt;/_url&gt;&lt;_volume&gt;21&lt;/_volume&gt;&lt;/Details&gt;&lt;Extra&gt;&lt;DBUID&gt;{CCD8BC99-AC21-4495-A582-31CC77FC1918}&lt;/DBUID&gt;&lt;/Extra&gt;&lt;/Item&gt;&lt;/References&gt;&lt;/Group&gt;&lt;/Citation&gt;_x000a_"/>
    <w:docVar w:name="NE.Ref{78483EBE-1DD5-49F9-AA12-AF8580BCDBE5}" w:val=" ADDIN NE.Ref.{78483EBE-1DD5-49F9-AA12-AF8580BCDBE5}&lt;Citation&gt;&lt;Group&gt;&lt;References&gt;&lt;Item&gt;&lt;ID&gt;39665&lt;/ID&gt;&lt;UID&gt;{90D962C6-CBAA-4C34-9A54-E537593FA93A}&lt;/UID&gt;&lt;Title&gt;Effect of aerobic training combined with strength training with elastic tube on functional capacity, blood pressure and muscular strength in hypertensive patients&lt;/Title&gt;&lt;Template&gt;Journal Article&lt;/Template&gt;&lt;Star&gt;0&lt;/Star&gt;&lt;Tag&gt;1&lt;/Tag&gt;&lt;Author&gt;&amp;quot;RBR- Cgp H&amp;quot;&lt;/Author&gt;&lt;Year&gt;2018&lt;/Year&gt;&lt;Details&gt;&lt;_accessed&gt;65653104&lt;/_accessed&gt;&lt;_created&gt;65585604&lt;/_created&gt;&lt;_date&gt;2018-01-01&lt;/_date&gt;&lt;_date_display&gt;2018&lt;/_date_display&gt;&lt;_label&gt;HTN&lt;/_label&gt;&lt;_modified&gt;65653104&lt;/_modified&gt;&lt;_url&gt;https://www.cochranelibrary.com/central/doi/10.1002/central/CN-01904663/full&lt;/_url&gt;&lt;/Details&gt;&lt;Extra&gt;&lt;DBUID&gt;{CCD8BC99-AC21-4495-A582-31CC77FC1918}&lt;/DBUID&gt;&lt;/Extra&gt;&lt;/Item&gt;&lt;/References&gt;&lt;/Group&gt;&lt;/Citation&gt;_x000a_"/>
    <w:docVar w:name="NE.Ref{7958B660-8D73-499A-ABDA-AE898F6B41F3}" w:val=" ADDIN NE.Ref.{7958B660-8D73-499A-ABDA-AE898F6B41F3}&lt;Citation&gt;&lt;Group&gt;&lt;References&gt;&lt;Item&gt;&lt;ID&gt;41173&lt;/ID&gt;&lt;UID&gt;{8DA1D3E9-3404-45FA-993D-4D43825781F1}&lt;/UID&gt;&lt;Title&gt;Effect of exercise training on ambulatory blood pressure&lt;/Title&gt;&lt;Template&gt;Journal Article&lt;/Template&gt;&lt;Star&gt;0&lt;/Star&gt;&lt;Tag&gt;1&lt;/Tag&gt;&lt;Author&gt;Wijnen, J A G; Kool, M J F; Van Baak, M A; Kuipers, H; De Haan, C H A; Verstappen, F T J; Struijker Boudier, H A J; Van Bortel, L M A B&lt;/Author&gt;&lt;Year&gt;1994&lt;/Year&gt;&lt;Details&gt;&lt;_accessed&gt;65630550&lt;/_accessed&gt;&lt;_alternate_title&gt;INT. J. SPORTS MED.&lt;/_alternate_title&gt;&lt;_author_adr&gt;J.A.G. Wijnen, Department of Pharmacology, University of Limburg, PO Box 616, 6200 MD Maastricht, Netherlands&lt;/_author_adr&gt;&lt;_collection_scope&gt;SCIE&lt;/_collection_scope&gt;&lt;_created&gt;65585604&lt;/_created&gt;&lt;_date&gt;1994-01-01&lt;/_date&gt;&lt;_date_display&gt;1994&lt;/_date_display&gt;&lt;_doi&gt;10.1055/s-2007-1021012&lt;/_doi&gt;&lt;_impact_factor&gt;   2.997&lt;/_impact_factor&gt;&lt;_isbn&gt;0172-4622&lt;/_isbn&gt;&lt;_issue&gt;1&lt;/_issue&gt;&lt;_journal&gt;International Journal of Sports Medicine&lt;/_journal&gt;&lt;_keywords&gt;adult; ambulatory monitoring; article; bicycle ergometry; blood pressure; blood pressure monitoring; clinical article; clinical trial; controlled clinical trial; controlled study; crossover procedure; diastolic blood pressure; endurance; exercise; heart output; heart rate; heart stroke volume; human; male; randomized controlled trial; reproducibility; sitting; systemic vascular resistance; systolic blood pressure&lt;/_keywords&gt;&lt;_label&gt;HTN&lt;/_label&gt;&lt;_modified&gt;65630550&lt;/_modified&gt;&lt;_pages&gt;10-15&lt;/_pages&gt;&lt;_social_category&gt;医学(4)&lt;/_social_category&gt;&lt;_url&gt;https://www.embase.com/search/results?subaction=viewrecord&amp;amp;id=L24051859&amp;amp;from=export_x000d__x000a_http://dx.doi.org/10.1055/s-2007-1021012&lt;/_url&gt;&lt;_volume&gt;15&lt;/_volume&gt;&lt;/Details&gt;&lt;Extra&gt;&lt;DBUID&gt;{CCD8BC99-AC21-4495-A582-31CC77FC1918}&lt;/DBUID&gt;&lt;/Extra&gt;&lt;/Item&gt;&lt;/References&gt;&lt;/Group&gt;&lt;/Citation&gt;_x000a_"/>
    <w:docVar w:name="NE.Ref{79B870AF-ACE6-48DF-8312-F30BB3DAB01F}" w:val=" ADDIN NE.Ref.{79B870AF-ACE6-48DF-8312-F30BB3DAB01F}&lt;Citation&gt;&lt;Group&gt;&lt;References&gt;&lt;Item&gt;&lt;ID&gt;41134&lt;/ID&gt;&lt;UID&gt;{2628263C-A537-433F-A18E-C16D38DFA2A7}&lt;/UID&gt;&lt;Title&gt;Blood pressure responses to lifestyle physical activity among young, hypertension-prone African-American women.&lt;/Title&gt;&lt;Template&gt;Journal Article&lt;/Template&gt;&lt;Star&gt;0&lt;/Star&gt;&lt;Tag&gt;1&lt;/Tag&gt;&lt;Author&gt;Staffileno, B A; Minnick, A; Coke, L A; Hollenberg, S M&lt;/Author&gt;&lt;Year&gt;2007&lt;/Year&gt;&lt;Details&gt;&lt;_accessed&gt;65653100&lt;/_accessed&gt;&lt;_alternate_title&gt;J Cardiovasc Nurs&lt;/_alternate_title&gt;&lt;_author_adr&gt;B.A. Staffileno, Rush University Medical Center, College of Nursing, Chicago, IL 60612, USA.&lt;/_author_adr&gt;&lt;_created&gt;65585604&lt;/_created&gt;&lt;_date&gt;2007-01-01&lt;/_date&gt;&lt;_date_display&gt;2007&lt;/_date_display&gt;&lt;_isbn&gt;1550-5049&lt;/_isbn&gt;&lt;_issue&gt;2&lt;/_issue&gt;&lt;_journal&gt;The Journal of cardiovascular nursing&lt;/_journal&gt;&lt;_keywords&gt;adolescent; adult; African American; article; blood pressure measurement; clinical trial; controlled clinical trial; controlled study; ethnology; female; human; hypertension; kinesiotherapy; lifestyle; methodology; middle aged; motor activity; patient compliance; randomized controlled trial; single blind procedure; treatment outcome&lt;/_keywords&gt;&lt;_label&gt;HTN&lt;/_label&gt;&lt;_modified&gt;65653100&lt;/_modified&gt;&lt;_pages&gt;107-117&lt;/_pages&gt;&lt;_url&gt;https://www.embase.com/search/results?subaction=viewrecord&amp;amp;id=L46503726&amp;amp;from=export&lt;/_url&gt;&lt;_volume&gt;22&lt;/_volume&gt;&lt;/Details&gt;&lt;Extra&gt;&lt;DBUID&gt;{CCD8BC99-AC21-4495-A582-31CC77FC1918}&lt;/DBUID&gt;&lt;/Extra&gt;&lt;/Item&gt;&lt;/References&gt;&lt;/Group&gt;&lt;/Citation&gt;_x000a_"/>
    <w:docVar w:name="NE.Ref{79C136C3-1622-4AC8-AC7E-8D89D8B1E4C8}" w:val=" ADDIN NE.Ref.{79C136C3-1622-4AC8-AC7E-8D89D8B1E4C8}&lt;Citation&gt;&lt;Group&gt;&lt;References&gt;&lt;Item&gt;&lt;ID&gt;40566&lt;/ID&gt;&lt;UID&gt;{67DDE55C-12E2-42A2-9CA9-E3A0E72F9843}&lt;/UID&gt;&lt;Title&gt;A Randomized Controlled Trial Comparing the Effects of Arm-swing Exercise and Low Sodium Intake Education Program with Low Sodium Intake Education Alone on Blood pressure, Heart rate and Cardiorespiratory fitness in Postmenopausal women with Prehypertension&lt;/Title&gt;&lt;Template&gt;Journal Article&lt;/Template&gt;&lt;Star&gt;0&lt;/Star&gt;&lt;Tag&gt;1&lt;/Tag&gt;&lt;Author&gt;TCTR&lt;/Author&gt;&lt;Year&gt;2017&lt;/Year&gt;&lt;Details&gt;&lt;_accessed&gt;65653101&lt;/_accessed&gt;&lt;_created&gt;65585604&lt;/_created&gt;&lt;_date&gt;2017-01-01&lt;/_date&gt;&lt;_date_display&gt;2017&lt;/_date_display&gt;&lt;_label&gt;PROTO&lt;/_label&gt;&lt;_modified&gt;65653101&lt;/_modified&gt;&lt;_url&gt;https://www.cochranelibrary.com/central/doi/10.1002/central/CN-01890633/full&lt;/_url&gt;&lt;/Details&gt;&lt;Extra&gt;&lt;DBUID&gt;{CCD8BC99-AC21-4495-A582-31CC77FC1918}&lt;/DBUID&gt;&lt;/Extra&gt;&lt;/Item&gt;&lt;/References&gt;&lt;/Group&gt;&lt;/Citation&gt;_x000a_"/>
    <w:docVar w:name="NE.Ref{80AB3856-3435-4A17-890E-997B079045F7}" w:val=" ADDIN NE.Ref.{80AB3856-3435-4A17-890E-997B079045F7}&lt;Citation&gt;&lt;Group&gt;&lt;References&gt;&lt;Item&gt;&lt;ID&gt;41106&lt;/ID&gt;&lt;UID&gt;{B7810F09-D4C2-43E9-9554-572848E352B7}&lt;/UID&gt;&lt;Title&gt;Effects of the DASH diet alone and in combination with exercise and weight loss on blood pressure and cardiovascular biomarkers in men and women with high blood pressure: The ENCORE study&lt;/Title&gt;&lt;Template&gt;Journal Article&lt;/Template&gt;&lt;Star&gt;0&lt;/Star&gt;&lt;Tag&gt;1&lt;/Tag&gt;&lt;Author&gt;Blumenthal, J A; Babyak, M A; Hinderliter, A; Watkins, L L; Craighead, L; Lin, P H; Caccia, C; Johnson, J; Waugh, R; Sherwood, A&lt;/Author&gt;&lt;Year&gt;2010&lt;/Year&gt;&lt;Details&gt;&lt;_accessed&gt;65627870&lt;/_accessed&gt;&lt;_alternate_title&gt;Arch. Intern. Med.&lt;/_alternate_title&gt;&lt;_author_adr&gt;J. A. Blumenthal, Department of Psychiatry and Behavioral Sciences, Duke University Medical Center, Campus Box 3119, Durham, NC 27710, United States&lt;/_author_adr&gt;&lt;_created&gt;65585604&lt;/_created&gt;&lt;_date&gt;2010-01-01&lt;/_date&gt;&lt;_date_display&gt;2010&lt;/_date_display&gt;&lt;_doi&gt;10.1001/archinternmed.2009.470&lt;/_doi&gt;&lt;_isbn&gt;0003-9926&lt;/_isbn&gt;&lt;_issue&gt;2&lt;/_issue&gt;&lt;_journal&gt;Archives of Internal Medicine&lt;/_journal&gt;&lt;_keywords&gt;NCT00571844; adult; aerobic capacity; artery dilatation; article; blood pressure measurement; blood pressure monitoring; brachial artery; clinical trial; controlled clinical trial; controlled study; diastolic blood pressure; diet therapy; dietary intake; exercise; female; heart left ventricle mass; human; hypertension; major clinical study; male; obesity; pressoreceptor reflex; priority journal; pulse wave; randomized controlled trial; systolic blood pressure; urinary excretion; body weight change; body weight loss&lt;/_keywords&gt;&lt;_label&gt;HTN&lt;/_label&gt;&lt;_modified&gt;65627870&lt;/_modified&gt;&lt;_pages&gt;126-135&lt;/_pages&gt;&lt;_url&gt;https://www.embase.com/search/results?subaction=viewrecord&amp;amp;id=L358224283&amp;amp;from=export_x000d__x000a_http://dx.doi.org/10.1001/archinternmed.2009.470&lt;/_url&gt;&lt;_volume&gt;170&lt;/_volume&gt;&lt;/Details&gt;&lt;Extra&gt;&lt;DBUID&gt;{CCD8BC99-AC21-4495-A582-31CC77FC1918}&lt;/DBUID&gt;&lt;/Extra&gt;&lt;/Item&gt;&lt;/References&gt;&lt;/Group&gt;&lt;/Citation&gt;_x000a_"/>
    <w:docVar w:name="NE.Ref{80FE10D3-C088-47A0-A80B-E01D27E68F5A}" w:val=" ADDIN NE.Ref.{80FE10D3-C088-47A0-A80B-E01D27E68F5A}&lt;Citation&gt;&lt;Group&gt;&lt;References&gt;&lt;Item&gt;&lt;ID&gt;41260&lt;/ID&gt;&lt;UID&gt;{A8EF8F5C-B346-4B2F-A32F-D2F02345A055}&lt;/UID&gt;&lt;Title&gt;The Effect of Dongeui Qigong for Prehypertension and Mild Essential Hypertension&lt;/Title&gt;&lt;Template&gt;Journal Article&lt;/Template&gt;&lt;Star&gt;0&lt;/Star&gt;&lt;Tag&gt;1&lt;/Tag&gt;&lt;Author&gt;Park, J E; Kim, J E; Jung, S; Kim, A; Park, H; Hong, S&lt;/Author&gt;&lt;Year&gt;2017&lt;/Year&gt;&lt;Details&gt;&lt;_accessed&gt;65653100&lt;/_accessed&gt;&lt;_alternate_title&gt;EVIDENCE-BASED COMPLEMENTARY AND ALTERNATIVE MEDICINE&lt;/_alternate_title&gt;&lt;_author_adr&gt;Korea Inst Oriental Med, Mibyeong Res Ctr, Daejeon, South Korea; Korea Inst Oriental Med, Div Clin Res, Daejeon, South Korea; Dong Eui Univ, Dongeui Oriental Hosp, Dept Internal Med, Busan, South Korea&lt;/_author_adr&gt;&lt;_collection_scope&gt;SCIE&lt;/_collection_scope&gt;&lt;_created&gt;65585604&lt;/_created&gt;&lt;_date&gt;2017-01-01&lt;/_date&gt;&lt;_date_display&gt;2017&lt;/_date_display&gt;&lt;_doi&gt;10.1155/2017/4274538&lt;/_doi&gt;&lt;_impact_factor&gt;   2.650&lt;/_impact_factor&gt;&lt;_isbn&gt;1741-427X&lt;/_isbn&gt;&lt;_journal&gt;EVIDENCE-BASED COMPLEMENTARY AND ALTERNATIVE MEDICINE&lt;/_journal&gt;&lt;_keywords&gt;QUALITY-OF-LIFE; BLOOD-PRESSURE; ALTERNATIVE MEDICINE; COMPLEMENTARY; INDIVIDUALS; EXERCISE; ADULTS; IMPACT; TRIAL; SLEEP&lt;/_keywords&gt;&lt;_label&gt;HTN&lt;/_label&gt;&lt;_modified&gt;65653100&lt;/_modified&gt;&lt;_social_category&gt;医学(4)&lt;/_social_category&gt;&lt;_volume&gt;2017&lt;/_volume&gt;&lt;/Details&gt;&lt;Extra&gt;&lt;DBUID&gt;{CCD8BC99-AC21-4495-A582-31CC77FC1918}&lt;/DBUID&gt;&lt;/Extra&gt;&lt;/Item&gt;&lt;/References&gt;&lt;/Group&gt;&lt;/Citation&gt;_x000a_"/>
    <w:docVar w:name="NE.Ref{84A742E5-EC60-4BF8-974B-29CF38B72C3A}" w:val=" ADDIN NE.Ref.{84A742E5-EC60-4BF8-974B-29CF38B72C3A}&lt;Citation&gt;&lt;Group&gt;&lt;References&gt;&lt;Item&gt;&lt;ID&gt;39526&lt;/ID&gt;&lt;UID&gt;{11FED45E-D0D6-4CB1-B162-BF47224F9F78}&lt;/UID&gt;&lt;Title&gt;Effects of arm swing exercise training on cardiac autonomic modulation, cardiovascular risk factors, and electrolytes in persons aged 60–80 years with prehypertension: A randomized controlled trial.&lt;/Title&gt;&lt;Template&gt;Journal Article&lt;/Template&gt;&lt;Star&gt;0&lt;/Star&gt;&lt;Tag&gt;1&lt;/Tag&gt;&lt;Author&gt;Prasertsri, Piyapong; Singsanan, Sanita; Chonanant, Chirapond; Boonla, Orachorn; Trongtosak, Petcharat&lt;/Author&gt;&lt;Year&gt;2010&lt;/Year&gt;&lt;Details&gt;&lt;_accessed&gt;65635116&lt;/_accessed&gt;&lt;_alternate_title&gt;Journal of Exercise Science &amp;amp; FitnessJournal of Exercise Science &amp;amp; Fitness&lt;/_alternate_title&gt;&lt;_collection_scope&gt;SCIE&lt;/_collection_scope&gt;&lt;_created&gt;65585598&lt;/_created&gt;&lt;_date&gt;2010-05-20&lt;/_date&gt;&lt;_date_display&gt;2010/05/20/&lt;/_date_display&gt;&lt;_doi&gt;10.1016/j.jesf.2018.11.002&lt;/_doi&gt;&lt;_impact_factor&gt;   3.465&lt;/_impact_factor&gt;&lt;_isbn&gt;1728869X&lt;/_isbn&gt;&lt;_issue&gt;2&lt;/_issue&gt;&lt;_journal&gt;Journal of Exercise Science &amp;amp; Fitness&lt;/_journal&gt;&lt;_keywords&gt;AUTONOMIC nervous system physiology; BLOOD pressure; BLOOD sugar; CARDIOVASCULAR diseases risk factors; EXERCISE physiology; HEART beat; LIPIDS; ARM exercises; ACTIVITIES of daily living; C-reactive protein; ELECTROLYTES; STATISTICAL sampling; RANDOMIZED controlled trials; PRE-tests &amp;amp; post-tests; PREHYPERTENSION; Blood pressure; Cardiovascular disease; Electrolyte; Exercise; Heart rate variability&lt;/_keywords&gt;&lt;_label&gt;REPEAT&lt;/_label&gt;&lt;_modified&gt;65635116&lt;/_modified&gt;&lt;_pages&gt;47-54&lt;/_pages&gt;&lt;_social_category&gt;医学(2)&lt;/_social_category&gt;&lt;_url&gt;https://search.ebscohost.com/login.aspx?direct=true&amp;amp;AuthType=sso&amp;amp;db=s3h&amp;amp;AN=138368731&amp;amp;site=ehost-live&amp;amp;scope=site&amp;amp;custid=s6636215&lt;/_url&gt;&lt;_volume&gt;17&lt;/_volume&gt;&lt;/Details&gt;&lt;Extra&gt;&lt;DBUID&gt;{CCD8BC99-AC21-4495-A582-31CC77FC1918}&lt;/DBUID&gt;&lt;/Extra&gt;&lt;/Item&gt;&lt;/References&gt;&lt;/Group&gt;&lt;/Citation&gt;_x000a_"/>
    <w:docVar w:name="NE.Ref{8AFCE4CB-5BAA-4AFC-AAA3-8B21C472C202}" w:val=" ADDIN NE.Ref.{8AFCE4CB-5BAA-4AFC-AAA3-8B21C472C202}&lt;Citation&gt;&lt;Group&gt;&lt;References&gt;&lt;Item&gt;&lt;ID&gt;40724&lt;/ID&gt;&lt;UID&gt;{5BDDC819-EC4D-411B-A1C2-5CCABDF87FF8}&lt;/UID&gt;&lt;Title&gt;Effect of Tai Chi vs aerobic exercise on blood pressure in patients with prehypertension&lt;/Title&gt;&lt;Template&gt;Journal Article&lt;/Template&gt;&lt;Star&gt;0&lt;/Star&gt;&lt;Tag&gt;1&lt;/Tag&gt;&lt;Author&gt;Koppelstätter, C&lt;/Author&gt;&lt;Year&gt;2024&lt;/Year&gt;&lt;Details&gt;&lt;_accessed&gt;65653100&lt;/_accessed&gt;&lt;_alternate_title&gt;J. Hyperton.&lt;/_alternate_title&gt;&lt;_author_adr&gt;C. Koppelstätter, Universitätsklinik für Innere Medizin IV Nephrologie und Hypertensiologie, Medizinische Universität Innsbruck, Anichstraße 35, Innsbruck, Austria&lt;/_author_adr&gt;&lt;_collection_scope&gt;ESCI&lt;/_collection_scope&gt;&lt;_created&gt;65585604&lt;/_created&gt;&lt;_date&gt;2024-01-01&lt;/_date&gt;&lt;_date_display&gt;2024&lt;/_date_display&gt;&lt;_isbn&gt;1680-9378&lt;/_isbn&gt;&lt;_issue&gt;1&lt;/_issue&gt;&lt;_journal&gt;Journal fur Hypertonie&lt;/_journal&gt;&lt;_keywords&gt;adult; aerobic exercise; aged; article; blood pressure monitoring; clinical effectiveness; controlled study; diastolic blood pressure; female; human; major clinical study; male; multicenter study; prehypertension; prospective study; randomized controlled trial; single blind procedure; systolic blood pressure; Tai Chi; treatment duration&lt;/_keywords&gt;&lt;_label&gt;REPEAT&lt;/_label&gt;&lt;_modified&gt;65653100&lt;/_modified&gt;&lt;_pages&gt;28-29&lt;/_pages&gt;&lt;_url&gt;https://www.embase.com/search/results?subaction=viewrecord&amp;amp;id=L2032601360&amp;amp;from=export&lt;/_url&gt;&lt;_volume&gt;28&lt;/_volume&gt;&lt;/Details&gt;&lt;Extra&gt;&lt;DBUID&gt;{CCD8BC99-AC21-4495-A582-31CC77FC1918}&lt;/DBUID&gt;&lt;/Extra&gt;&lt;/Item&gt;&lt;/References&gt;&lt;/Group&gt;&lt;/Citation&gt;_x000a_"/>
    <w:docVar w:name="NE.Ref{8DC7FD5C-AACD-4F49-B891-D0C3A8DBFE41}" w:val=" ADDIN NE.Ref.{8DC7FD5C-AACD-4F49-B891-D0C3A8DBFE41}&lt;Citation&gt;&lt;Group&gt;&lt;References&gt;&lt;Item&gt;&lt;ID&gt;40566&lt;/ID&gt;&lt;UID&gt;{67DDE55C-12E2-42A2-9CA9-E3A0E72F9843}&lt;/UID&gt;&lt;Title&gt;A Randomized Controlled Trial Comparing the Effects of Arm-swing Exercise and Low Sodium Intake Education Program with Low Sodium Intake Education Alone on Blood pressure, Heart rate and Cardiorespiratory fitness in Postmenopausal women with Prehypertension&lt;/Title&gt;&lt;Template&gt;Journal Article&lt;/Template&gt;&lt;Star&gt;0&lt;/Star&gt;&lt;Tag&gt;1&lt;/Tag&gt;&lt;Author&gt;TCTR&lt;/Author&gt;&lt;Year&gt;2017&lt;/Year&gt;&lt;Details&gt;&lt;_accessed&gt;65653101&lt;/_accessed&gt;&lt;_created&gt;65585604&lt;/_created&gt;&lt;_date&gt;2017-01-01&lt;/_date&gt;&lt;_date_display&gt;2017&lt;/_date_display&gt;&lt;_label&gt;PROTO&lt;/_label&gt;&lt;_modified&gt;65653101&lt;/_modified&gt;&lt;_url&gt;https://www.cochranelibrary.com/central/doi/10.1002/central/CN-01890633/full&lt;/_url&gt;&lt;/Details&gt;&lt;Extra&gt;&lt;DBUID&gt;{CCD8BC99-AC21-4495-A582-31CC77FC1918}&lt;/DBUID&gt;&lt;/Extra&gt;&lt;/Item&gt;&lt;/References&gt;&lt;/Group&gt;&lt;/Citation&gt;_x000a_"/>
    <w:docVar w:name="NE.Ref{8FE00370-3EF6-46CE-8ABF-78FD00B243F3}" w:val=" ADDIN NE.Ref.{8FE00370-3EF6-46CE-8ABF-78FD00B243F3}&lt;Citation&gt;&lt;Group&gt;&lt;References&gt;&lt;Item&gt;&lt;ID&gt;41118&lt;/ID&gt;&lt;UID&gt;{7E1341FF-4A8B-400C-A9B9-7D1F04BDF934}&lt;/UID&gt;&lt;Title&gt;Clinical Effect of Lifestyle Modification on Cardiovascular Risk in Prehypertensives: PREHIPER I Study&lt;/Title&gt;&lt;Template&gt;Journal Article&lt;/Template&gt;&lt;Star&gt;0&lt;/Star&gt;&lt;Tag&gt;1&lt;/Tag&gt;&lt;Author&gt;Márquez-Celedonio, F G; Téxon-Fernández, O; Chávez-Negrete, A; Hernández-López, S; Marín-Rendón, S; Berlín-Lascurain, S&lt;/Author&gt;&lt;Year&gt;2009&lt;/Year&gt;&lt;Details&gt;&lt;_accessed&gt;65629048&lt;/_accessed&gt;&lt;_alternate_title&gt;Rev. Esp. Cardiol.Eficacia clínica de la modificación del estilo de vida en el riesgo cardiovascular en prehipertensos: estudio PREHIPER I&lt;/_alternate_title&gt;&lt;_author_adr&gt;F.G. Márquez-Celedonio, Unidad de Medicina Familiar N. 61. Instituto Mexicano del Seguro Social. Veracruz., Mexico&lt;/_author_adr&gt;&lt;_created&gt;65585604&lt;/_created&gt;&lt;_date&gt;2009-01-01&lt;/_date&gt;&lt;_date_display&gt;2009&lt;/_date_display&gt;&lt;_doi&gt;10.1016/S0300-8932(09)70025-9&lt;/_doi&gt;&lt;_impact_factor&gt;   6.975&lt;/_impact_factor&gt;&lt;_isbn&gt;0300-8932&lt;/_isbn&gt;&lt;_issue&gt;1&lt;/_issue&gt;&lt;_journal&gt;Revista Espanola de Cardiologia&lt;/_journal&gt;&lt;_keywords&gt;adult; article; cardiovascular disease; cardiovascular risk; clinical article; clinical trial; controlled clinical trial; controlled study; diastolic blood pressure; diet restriction; exercise; female; human; lifestyle; lifestyle modification; male; patient education; physical activity; probability; randomized controlled trial; risk reduction; scoring system; systolic blood pressure&lt;/_keywords&gt;&lt;_label&gt;NOENGLISH&lt;/_label&gt;&lt;_modified&gt;65629048&lt;/_modified&gt;&lt;_pages&gt;86-90&lt;/_pages&gt;&lt;_social_category&gt;医学(3)&lt;/_social_category&gt;&lt;_url&gt;https://www.embase.com/search/results?subaction=viewrecord&amp;amp;id=L354158311&amp;amp;from=export_x000d__x000a_http://dx.doi.org/10.1016/S0300-8932(09)70025-9&lt;/_url&gt;&lt;_volume&gt;62&lt;/_volume&gt;&lt;/Details&gt;&lt;Extra&gt;&lt;DBUID&gt;{CCD8BC99-AC21-4495-A582-31CC77FC1918}&lt;/DBUID&gt;&lt;/Extra&gt;&lt;/Item&gt;&lt;/References&gt;&lt;/Group&gt;&lt;/Citation&gt;_x000a_"/>
    <w:docVar w:name="NE.Ref{95225B7E-05AD-45DA-B172-A9E6DF63500A}" w:val=" ADDIN NE.Ref.{95225B7E-05AD-45DA-B172-A9E6DF63500A}&lt;Citation&gt;&lt;Group&gt;&lt;References&gt;&lt;Item&gt;&lt;ID&gt;39558&lt;/ID&gt;&lt;UID&gt;{BD2E88C9-732E-4C55-8E95-5DAB7C9F3E84}&lt;/UID&gt;&lt;Title&gt;A randomized controlled trial comparing the effects of an arm swing exercise and low sodium intake education program with low sodium intake education alone on cardiovascular outcomes in postmenopausal women with prehypertension&lt;/Title&gt;&lt;Template&gt;Journal Article&lt;/Template&gt;&lt;Star&gt;0&lt;/Star&gt;&lt;Tag&gt;1&lt;/Tag&gt;&lt;Author&gt;Tantiprasoplap, S; Piaseu, N; Kanungsukkasem, V; Taneepanichskul, S&lt;/Author&gt;&lt;Year&gt;2020&lt;/Year&gt;&lt;Details&gt;&lt;_accessed&gt;65635118&lt;/_accessed&gt;&lt;_created&gt;65585604&lt;/_created&gt;&lt;_date&gt;2020-01-01&lt;/_date&gt;&lt;_date_display&gt;2020&lt;/_date_display&gt;&lt;_issue&gt; 1&lt;/_issue&gt;&lt;_keywords&gt; *aerobic exercise;  *arm swing exercise;  *cardiorespiratory fitness;  *postmenopause;  *prehypertension;  *sodium intake;  Adult;  Article;  Blood pressure;  Clinical trial;  Controlled study;  Diastolic blood pressure;  Female;  Heart rate;  Human;  Major clinical study;  Oxygen consumption;  Physical Activity Readiness Questionnaire;  Physical activity;  Questionnaire;  Randomized controlled trial;  Six minute walk test;  Systolic blood pressure;  Training;  Treatment outcome&lt;/_keywords&gt;&lt;_label&gt;Academicthesis&lt;/_label&gt;&lt;_modified&gt;65635118&lt;/_modified&gt;&lt;_pages&gt; 22‐31&lt;/_pages&gt;&lt;_url&gt;https://www.cochranelibrary.com/central/doi/10.1002/central/CN-02085741/full&lt;/_url&gt;&lt;_volume&gt;103&lt;/_volume&gt;&lt;/Details&gt;&lt;Extra&gt;&lt;DBUID&gt;{CCD8BC99-AC21-4495-A582-31CC77FC1918}&lt;/DBUID&gt;&lt;/Extra&gt;&lt;/Item&gt;&lt;/References&gt;&lt;/Group&gt;&lt;/Citation&gt;_x000a_"/>
    <w:docVar w:name="NE.Ref{97C81085-866B-4A07-A438-5F3CC4511062}" w:val=" ADDIN NE.Ref.{97C81085-866B-4A07-A438-5F3CC4511062}&lt;Citation&gt;&lt;Group&gt;&lt;References&gt;&lt;Item&gt;&lt;ID&gt;41868&lt;/ID&gt;&lt;UID&gt;{3AF15EC4-01AE-4BC6-BB92-A56AC9B861DE}&lt;/UID&gt;&lt;Title&gt;Effect of om chanting and yoga nidra on blood pressure and lipid profile in  hypertension - A randomized controlled trial&lt;/Title&gt;&lt;Template&gt;Journal Article&lt;/Template&gt;&lt;Star&gt;0&lt;/Star&gt;&lt;Tag&gt;1&lt;/Tag&gt;&lt;Author&gt;Anjana, K; Archana, R; Mukkadan, J K&lt;/Author&gt;&lt;Year&gt;2022&lt;/Year&gt;&lt;Details&gt;&lt;_accessed&gt;65630013&lt;/_accessed&gt;&lt;_accession_num&gt;36375220&lt;/_accession_num&gt;&lt;_author_adr&gt;Department of Physiology, Little Flower Medical Research Center, Angamaly 683572,  Kerala, India.; Department of Physiology, Saveetha Medical College, Saveetha Institute of  Technical and Medical Sciences (SIMATS), Thandalam, Chennai 602105 Tamil Nadu,  India. Electronic address: professorarchana2017@gmail.com.; Department of Physiology, Little Flower Medical Research Center, Angamaly 683572,  Kerala, India.&lt;/_author_adr&gt;&lt;_collection_scope&gt;ESCI&lt;/_collection_scope&gt;&lt;_created&gt;65585604&lt;/_created&gt;&lt;_date&gt;2022-10-01&lt;/_date&gt;&lt;_date_display&gt;2022 Oct-Dec&lt;/_date_display&gt;&lt;_doi&gt;10.1016/j.jaim.2022.100657&lt;/_doi&gt;&lt;_isbn&gt;0975-9476 (Print); 0976-2809 (Electronic); 0975-9476 (Linking)&lt;/_isbn&gt;&lt;_issue&gt;4&lt;/_issue&gt;&lt;_journal&gt;J Ayurveda Integr Med&lt;/_journal&gt;&lt;_keywords&gt;Blood pressure; Lipid profile; Meditation; OM chanting; Yoga; Yoga nidra&lt;/_keywords&gt;&lt;_label&gt;HTN&lt;/_label&gt;&lt;_language&gt;eng&lt;/_language&gt;&lt;_modified&gt;65630013&lt;/_modified&gt;&lt;_ori_publication&gt;Copyright © 2022 The Authors. Published by Elsevier B.V. All rights reserved.&lt;/_ori_publication&gt;&lt;_pages&gt;100657&lt;/_pages&gt;&lt;_tertiary_title&gt;Journal of Ayurveda and integrative medicine&lt;/_tertiary_title&gt;&lt;_type_work&gt;Journal Article; Review&lt;/_type_work&gt;&lt;_url&gt;http://www.ncbi.nlm.nih.gov/entrez/query.fcgi?cmd=Retrieve&amp;amp;db=pubmed&amp;amp;dopt=Abstract&amp;amp;list_uids=36375220&amp;amp;query_hl=1&lt;/_url&gt;&lt;_volume&gt;13&lt;/_volume&gt;&lt;/Details&gt;&lt;Extra&gt;&lt;DBUID&gt;{CCD8BC99-AC21-4495-A582-31CC77FC1918}&lt;/DBUID&gt;&lt;/Extra&gt;&lt;/Item&gt;&lt;/References&gt;&lt;/Group&gt;&lt;/Citation&gt;_x000a_"/>
    <w:docVar w:name="NE.Ref{9B2961B4-10B2-491C-8816-93C430D938E6}" w:val=" ADDIN NE.Ref.{9B2961B4-10B2-491C-8816-93C430D938E6}&lt;Citation&gt;&lt;Group&gt;&lt;References&gt;&lt;Item&gt;&lt;ID&gt;39711&lt;/ID&gt;&lt;UID&gt;{D87DF6A4-353D-4087-9808-FE226C326C45}&lt;/UID&gt;&lt;Title&gt;Stretching vs Walking for Lowering Blood Pressure&lt;/Title&gt;&lt;Template&gt;Journal Article&lt;/Template&gt;&lt;Star&gt;0&lt;/Star&gt;&lt;Tag&gt;1&lt;/Tag&gt;&lt;Author&gt;NCT&lt;/Author&gt;&lt;Year&gt;2022&lt;/Year&gt;&lt;Details&gt;&lt;_accessed&gt;65653100&lt;/_accessed&gt;&lt;_created&gt;65585604&lt;/_created&gt;&lt;_date&gt;2022-01-01&lt;/_date&gt;&lt;_date_display&gt;2022&lt;/_date_display&gt;&lt;_keywords&gt; Hypertension&lt;/_keywords&gt;&lt;_label&gt;PROTO&lt;/_label&gt;&lt;_modified&gt;65653100&lt;/_modified&gt;&lt;_url&gt;https://www.cochranelibrary.com/central/doi/10.1002/central/CN-02372069/full&lt;/_url&gt;&lt;/Details&gt;&lt;Extra&gt;&lt;DBUID&gt;{CCD8BC99-AC21-4495-A582-31CC77FC1918}&lt;/DBUID&gt;&lt;/Extra&gt;&lt;/Item&gt;&lt;/References&gt;&lt;/Group&gt;&lt;/Citation&gt;_x000a_"/>
    <w:docVar w:name="NE.Ref{A25178AA-757C-49D1-939A-11E613CE2A55}" w:val=" ADDIN NE.Ref.{A25178AA-757C-49D1-939A-11E613CE2A55}&lt;Citation&gt;&lt;Group&gt;&lt;References&gt;&lt;Item&gt;&lt;ID&gt;41117&lt;/ID&gt;&lt;UID&gt;{3E65F661-C523-4CD9-8753-9D111520404B}&lt;/UID&gt;&lt;Title&gt;Cardiac autonomic function and baroreflex changes following 4 weeks of resistance versus aerobic training in individuals with pre-hypertension&lt;/Title&gt;&lt;Template&gt;Journal Article&lt;/Template&gt;&lt;Star&gt;0&lt;/Star&gt;&lt;Tag&gt;1&lt;/Tag&gt;&lt;Author&gt;Collier, S R; Kanaley, J A; Carhart Jr., R; Frechette, V; Tobin, M M; Bennett, N; Luckenbaugh, A N; Fernhall, B&lt;/Author&gt;&lt;Year&gt;2009&lt;/Year&gt;&lt;Details&gt;&lt;_accessed&gt;65629040&lt;/_accessed&gt;&lt;_alternate_title&gt;Acta Physiol.&lt;/_alternate_title&gt;&lt;_author_adr&gt;S. R. Collier, Department of Exercise Science, Syracuse University, 820 Comstock Avenue, Syracuse, NY 13244, United States&lt;/_author_adr&gt;&lt;_collection_scope&gt;SCIE&lt;/_collection_scope&gt;&lt;_created&gt;65585604&lt;/_created&gt;&lt;_date&gt;2009-01-01&lt;/_date&gt;&lt;_date_display&gt;2009&lt;/_date_display&gt;&lt;_doi&gt;10.1111/j.1748-1716.2008.01897.x&lt;/_doi&gt;&lt;_impact_factor&gt;   7.523&lt;/_impact_factor&gt;&lt;_isbn&gt;1748-1708&lt;/_isbn&gt;&lt;_issue&gt;3&lt;/_issue&gt;&lt;_journal&gt;Acta Physiologica&lt;/_journal&gt;&lt;_keywords&gt;adult; aerobic exercise; article; autonomic innervation; diastolic blood pressure; exercise; female; heart innervation; heart rate variability; human; hypertension; male; pressoreceptor reflex; priority journal; resistance training; sympathetic tone; systolic blood pressure; vagus tone&lt;/_keywords&gt;&lt;_label&gt;HTN&lt;/_label&gt;&lt;_modified&gt;65629040&lt;/_modified&gt;&lt;_pages&gt;339-348&lt;/_pages&gt;&lt;_social_category&gt;医学(2)&lt;/_social_category&gt;&lt;_url&gt;https://www.embase.com/search/results?subaction=viewrecord&amp;amp;id=L354131773&amp;amp;from=export_x000d__x000a_http://dx.doi.org/10.1111/j.1748-1716.2008.01897.x&lt;/_url&gt;&lt;_volume&gt;195&lt;/_volume&gt;&lt;/Details&gt;&lt;Extra&gt;&lt;DBUID&gt;{CCD8BC99-AC21-4495-A582-31CC77FC1918}&lt;/DBUID&gt;&lt;/Extra&gt;&lt;/Item&gt;&lt;/References&gt;&lt;/Group&gt;&lt;/Citation&gt;_x000a_"/>
    <w:docVar w:name="NE.Ref{A67DD627-D434-439F-A758-D1E2AD83004E}" w:val=" ADDIN NE.Ref.{A67DD627-D434-439F-A758-D1E2AD83004E}&lt;Citation&gt;&lt;Group&gt;&lt;References&gt;&lt;Item&gt;&lt;ID&gt;40751&lt;/ID&gt;&lt;UID&gt;{A8F30D4F-191C-4852-861A-EBD79237B241}&lt;/UID&gt;&lt;Title&gt;A Comparative Study to Find the Effect of Aerobic Exercise Training Versus Resistance Exercise Training in Adults with Pre-Hypertension&lt;/Title&gt;&lt;Template&gt;Journal Article&lt;/Template&gt;&lt;Star&gt;0&lt;/Star&gt;&lt;Tag&gt;1&lt;/Tag&gt;&lt;Author&gt;Sehgal, S; Daniel, J; Sharma, M&lt;/Author&gt;&lt;Year&gt;2023&lt;/Year&gt;&lt;Details&gt;&lt;_accessed&gt;65638758&lt;/_accessed&gt;&lt;_alternate_title&gt;Indian J. Public Health Res. Dev.&lt;/_alternate_title&gt;&lt;_author_adr&gt;M. Sharma, (Department of Physiotherapy), MAHSI, Indore, India&lt;/_author_adr&gt;&lt;_created&gt;65585604&lt;/_created&gt;&lt;_date&gt;2023-01-01&lt;/_date&gt;&lt;_date_display&gt;2023&lt;/_date_display&gt;&lt;_doi&gt;10.37506/ijphrd.v14i1.18870&lt;/_doi&gt;&lt;_isbn&gt;0976-5506&lt;/_isbn&gt;&lt;_issue&gt;1&lt;/_issue&gt;&lt;_journal&gt;Indian Journal of Public Health Research and Development&lt;/_journal&gt;&lt;_keywords&gt;data analysis software; treadmill; adult; aerobic exercise; article; clinical article; clinical assessment; clinical effectiveness; controlled study; cool down; diastolic blood pressure; female; human; hyperpnea; intermethod comparison; lifestyle modification; male; measurement accuracy; middle aged; outcome assessment; prehypertension; prescription; quadriceps femoris muscle; resistance training; stretching; systolic blood pressure; treadmill exercise; treatment duration; trunk; warm up&lt;/_keywords&gt;&lt;_label&gt;Nocompletedata&lt;/_label&gt;&lt;_modified&gt;65639064&lt;/_modified&gt;&lt;_pages&gt;347-352&lt;/_pages&gt;&lt;_url&gt;https://www.embase.com/search/results?subaction=viewrecord&amp;amp;id=L2018864607&amp;amp;from=export_x000d__x000a_http://dx.doi.org/10.37506/ijphrd.v14i1.18870&lt;/_url&gt;&lt;_volume&gt;14&lt;/_volume&gt;&lt;/Details&gt;&lt;Extra&gt;&lt;DBUID&gt;{CCD8BC99-AC21-4495-A582-31CC77FC1918}&lt;/DBUID&gt;&lt;/Extra&gt;&lt;/Item&gt;&lt;/References&gt;&lt;/Group&gt;&lt;/Citation&gt;_x000a_"/>
    <w:docVar w:name="NE.Ref{A9C5802A-3355-4ECA-86F2-557A6435A4FE}" w:val=" ADDIN NE.Ref.{A9C5802A-3355-4ECA-86F2-557A6435A4FE}&lt;Citation&gt;&lt;Group&gt;&lt;References&gt;&lt;Item&gt;&lt;ID&gt;42010&lt;/ID&gt;&lt;UID&gt;{43D48E9F-EBB8-4A4C-9191-A771495C0887}&lt;/UID&gt;&lt;Title&gt;Effects of aerobic exercise intensity on 24-h ambulatory blood pressure in  individuals with type 2 diabetes and prehypertension&lt;/Title&gt;&lt;Template&gt;Journal Article&lt;/Template&gt;&lt;Star&gt;0&lt;/Star&gt;&lt;Tag&gt;1&lt;/Tag&gt;&lt;Author&gt;Karoline, De Morais P; Sales, M M; Alves, De Almeida J; Motta-Santos, D; Victor, De Sousa C; Simões, H G&lt;/Author&gt;&lt;Year&gt;2015&lt;/Year&gt;&lt;Details&gt;&lt;_accessed&gt;65630041&lt;/_accessed&gt;&lt;_accession_num&gt;25642036&lt;/_accession_num&gt;&lt;_author_adr&gt;Universidade Católica de Brasília: EPTC, QS07, LT1 s/n. Bloco G Sala 15, CEP  72030-170 Águas Claras, Taguatinga/DF, Brazil.; Universidade Católica de Brasília: EPTC, QS07, LT1 s/n. Bloco G Sala 15, CEP  72030-170 Águas Claras, Taguatinga/DF, Brazil.; Universidade de Brasília, Brazil.; Universidade Federal de Minas Gerais, Brazil.; Universidade Católica de Brasília: EPTC, QS07, LT1 s/n. Bloco G Sala 15, CEP  72030-170 Águas Claras, Taguatinga/DF, Brazil.; Universidade Católica de Brasília: EPTC, QS07, LT1 s/n. Bloco G Sala 15, CEP  72030-170 Águas Claras, Taguatinga/DF, Brazil.&lt;/_author_adr&gt;&lt;_created&gt;65585604&lt;/_created&gt;&lt;_date&gt;2015-01-01&lt;/_date&gt;&lt;_date_display&gt;2015 Jan&lt;/_date_display&gt;&lt;_doi&gt;10.1589/jpts.27.51&lt;/_doi&gt;&lt;_isbn&gt;0915-5287 (Print); 2187-5626 (Electronic); 0915-5287 (Linking)&lt;/_isbn&gt;&lt;_issue&gt;1&lt;/_issue&gt;&lt;_journal&gt;J Phys Ther Sci&lt;/_journal&gt;&lt;_keywords&gt;Metabolic disease; Systemic arterial hypertension; lactate threshold&lt;/_keywords&gt;&lt;_label&gt;ACUTE&lt;/_label&gt;&lt;_language&gt;eng&lt;/_language&gt;&lt;_modified&gt;65630041&lt;/_modified&gt;&lt;_pages&gt;51-6&lt;/_pages&gt;&lt;_tertiary_title&gt;Journal of physical therapy science&lt;/_tertiary_title&gt;&lt;_type_work&gt;Journal Article&lt;/_type_work&gt;&lt;_url&gt;http://www.ncbi.nlm.nih.gov/entrez/query.fcgi?cmd=Retrieve&amp;amp;db=pubmed&amp;amp;dopt=Abstract&amp;amp;list_uids=25642036&amp;amp;query_hl=1&lt;/_url&gt;&lt;_volume&gt;27&lt;/_volume&gt;&lt;/Details&gt;&lt;Extra&gt;&lt;DBUID&gt;{CCD8BC99-AC21-4495-A582-31CC77FC1918}&lt;/DBUID&gt;&lt;/Extra&gt;&lt;/Item&gt;&lt;/References&gt;&lt;/Group&gt;&lt;/Citation&gt;_x000a_"/>
    <w:docVar w:name="NE.Ref{AEAE0E2B-0B8F-4124-A454-1C422C3385BA}" w:val=" ADDIN NE.Ref.{AEAE0E2B-0B8F-4124-A454-1C422C3385BA}&lt;Citation&gt;&lt;Group&gt;&lt;References&gt;&lt;Item&gt;&lt;ID&gt;39523&lt;/ID&gt;&lt;UID&gt;{245CF2F6-F1CE-4039-98E6-82E5BB03BCD4}&lt;/UID&gt;&lt;Title&gt;Effect of Self-Management Exercise Program on Physical Fitness among People with Prehypertension and Obesity: A Quasi Experiment Study.&lt;/Title&gt;&lt;Template&gt;Journal Article&lt;/Template&gt;&lt;Star&gt;0&lt;/Star&gt;&lt;Tag&gt;1&lt;/Tag&gt;&lt;Author&gt;Thida, Tongvichean; Yupin, Aungsuroch; Sunida, Preechawong&lt;/Author&gt;&lt;Year&gt;2019&lt;/Year&gt;&lt;Details&gt;&lt;_accessed&gt;65653123&lt;/_accessed&gt;&lt;_alternate_title&gt;Pacific Rim International Journal of Nursing ResearchPacific Rim International Journal of Nursing Research&lt;/_alternate_title&gt;&lt;_author_adr&gt;RN, PhD Candidate, Faculty of Nursing, Chulalongkorn University, Thailand; RN, PhD, Associate Professor, Faculty of Nursing, Chulalongkorn University, Thailand; RN, PhD, Assistant Professor, Faculty of Nursing, Chulalongkorn University, Thailand&lt;/_author_adr&gt;&lt;_collection_scope&gt;ESCI&lt;/_collection_scope&gt;&lt;_created&gt;65585598&lt;/_created&gt;&lt;_date&gt;2019-01-20&lt;/_date&gt;&lt;_date_display&gt;2019/01//Jan-Mar2019&lt;/_date_display&gt;&lt;_isbn&gt;1906-8107&lt;/_isbn&gt;&lt;_issue&gt;1&lt;/_issue&gt;&lt;_journal&gt;Pacific Rim International Journal of Nursing Research&lt;/_journal&gt;&lt;_keywords&gt;Self Care; Exercise; Health Behavior; Physical Fitness; Prehypertension -- Prevention and Control; Obesity -- Prevention and Control; Human; Funding Source; Randomized Controlled Trials; Descriptive Statistics; Chi Square Test; Fisher&amp;apos;s Exact Test; Paired T-Tests; T-Tests; Scales; Quasi-Experimental Studies; Pretest-Posttest Design; Male; Female; Adult; Middle Age; Statistical Significance; Hypertension -- Prevention and Control; Support, Psychosocial; Thailand&lt;/_keywords&gt;&lt;_label&gt;OUTCOME&lt;/_label&gt;&lt;_modified&gt;65653123&lt;/_modified&gt;&lt;_number&gt;133461325&lt;/_number&gt;&lt;_ori_publication&gt;Thailand Nursing &amp;amp; Midwifery Council&lt;/_ori_publication&gt;&lt;_pages&gt;6-17&lt;/_pages&gt;&lt;_url&gt;https://search.ebscohost.com/login.aspx?direct=true&amp;amp;AuthType=sso&amp;amp;db=cul&amp;amp;AN=133461325&amp;amp;site=ehost-live&amp;amp;scope=site&amp;amp;custid=s6636215&lt;/_url&gt;&lt;_volume&gt;23&lt;/_volume&gt;&lt;/Details&gt;&lt;Extra&gt;&lt;DBUID&gt;{CCD8BC99-AC21-4495-A582-31CC77FC1918}&lt;/DBUID&gt;&lt;/Extra&gt;&lt;/Item&gt;&lt;/References&gt;&lt;/Group&gt;&lt;/Citation&gt;_x000a_"/>
    <w:docVar w:name="NE.Ref{B0185F9E-CC40-419A-B1C0-FC9CC60FCB27}" w:val=" ADDIN NE.Ref.{B0185F9E-CC40-419A-B1C0-FC9CC60FCB27}&lt;Citation&gt;&lt;Group&gt;&lt;References&gt;&lt;Item&gt;&lt;ID&gt;40884&lt;/ID&gt;&lt;UID&gt;{B326BF6B-022F-412C-9046-1506DA1BB505}&lt;/UID&gt;&lt;Title&gt;Mindfulness and lifestyle medicine lowers blood pressure in hypertension&lt;/Title&gt;&lt;Template&gt;Journal Article&lt;/Template&gt;&lt;Star&gt;0&lt;/Star&gt;&lt;Tag&gt;1&lt;/Tag&gt;&lt;Author&gt;An, E; Brecht, M L; Doering, L V; Irwin, M R; Watson, K E; MacEy, P M&lt;/Author&gt;&lt;Year&gt;2019&lt;/Year&gt;&lt;Details&gt;&lt;_accessed&gt;65653100&lt;/_accessed&gt;&lt;_alternate_title&gt;Circulation&lt;/_alternate_title&gt;&lt;_author_adr&gt;E. An&lt;/_author_adr&gt;&lt;_collection_scope&gt;SCIE&lt;/_collection_scope&gt;&lt;_created&gt;65585604&lt;/_created&gt;&lt;_date&gt;2019-01-01&lt;/_date&gt;&lt;_date_display&gt;2019&lt;/_date_display&gt;&lt;_doi&gt;10.1161/circ.140.suppl_1.12574&lt;/_doi&gt;&lt;_impact_factor&gt;  39.918&lt;/_impact_factor&gt;&lt;_isbn&gt;1524-4539&lt;/_isbn&gt;&lt;_journal&gt;Circulation&lt;/_journal&gt;&lt;_keywords&gt;adult; American; awareness; cardiovascular risk; conference abstract; controlled study; exercise; female; health promotion; healthy diet; human; hypertension; lifestyle; major clinical study; male; medication compliance; middle aged; mindfulness; outcome assessment; physical activity; randomized controlled trial; self care; systolic blood pressure&lt;/_keywords&gt;&lt;_label&gt;HTN&lt;/_label&gt;&lt;_modified&gt;65653100&lt;/_modified&gt;&lt;_social_category&gt;医学(1)&lt;/_social_category&gt;&lt;_url&gt;https://www.embase.com/search/results?subaction=viewrecord&amp;amp;id=L630923509&amp;amp;from=export_x000d__x000a_http://dx.doi.org/10.1161/circ.140.suppl_1.12574&lt;/_url&gt;&lt;_volume&gt;140&lt;/_volume&gt;&lt;/Details&gt;&lt;Extra&gt;&lt;DBUID&gt;{CCD8BC99-AC21-4495-A582-31CC77FC1918}&lt;/DBUID&gt;&lt;/Extra&gt;&lt;/Item&gt;&lt;/References&gt;&lt;/Group&gt;&lt;/Citation&gt;_x000a_"/>
    <w:docVar w:name="NE.Ref{B1EF4E90-0B24-4FF1-90C1-948FB2DEEFEB}" w:val=" ADDIN NE.Ref.{B1EF4E90-0B24-4FF1-90C1-948FB2DEEFEB}&lt;Citation&gt;&lt;Group&gt;&lt;References&gt;&lt;Item&gt;&lt;ID&gt;40968&lt;/ID&gt;&lt;UID&gt;{D6DD8627-8ABB-475C-86EE-962F70C9C232}&lt;/UID&gt;&lt;Title&gt;Effects of heart rate variability biofeedback on cardiovascular responses and autonomic sympathovagal modulation following stressor tasks in prehypertensives&lt;/Title&gt;&lt;Template&gt;Journal Article&lt;/Template&gt;&lt;Star&gt;0&lt;/Star&gt;&lt;Tag&gt;1&lt;/Tag&gt;&lt;Author&gt;Chen, S; Sun, P; Wang, S; Lin, G; Wang, T&lt;/Author&gt;&lt;Year&gt;2016&lt;/Year&gt;&lt;Details&gt;&lt;_accessed&gt;65628967&lt;/_accessed&gt;&lt;_alternate_title&gt;J. Hum. Hypertens.&lt;/_alternate_title&gt;&lt;_author_adr&gt;T. Wang, Department of Physiology, Zhongshan School of Medicine, Sun Yat-sen University, 74 ZhongShan Road 2, Guangzhou, China&lt;/_author_adr&gt;&lt;_collection_scope&gt;SCIE&lt;/_collection_scope&gt;&lt;_created&gt;65585604&lt;/_created&gt;&lt;_date&gt;2016-01-01&lt;/_date&gt;&lt;_date_display&gt;2016&lt;/_date_display&gt;&lt;_doi&gt;10.1038/jhh.2015.27&lt;/_doi&gt;&lt;_impact_factor&gt;   2.877&lt;/_impact_factor&gt;&lt;_isbn&gt;1476-5527&lt;/_isbn&gt;&lt;_issue&gt;2&lt;/_issue&gt;&lt;_journal&gt;Journal of Human Hypertension&lt;/_journal&gt;&lt;_keywords&gt;adult; article; body mass; breathing rate; cardiovascular response; clinical article; cold pressor test; controlled study; coping; diastolic blood pressure; electrodermal response; exercise test; feedback system; female; follow up; heart rate; heart rate variability; human; male; mental arithmetic; prehypertension; systolic blood pressure&lt;/_keywords&gt;&lt;_label&gt;INTERVENTION&lt;/_label&gt;&lt;_modified&gt;65628967&lt;/_modified&gt;&lt;_pages&gt;105-111&lt;/_pages&gt;&lt;_social_category&gt;医学(4)&lt;/_social_category&gt;&lt;_url&gt;https://www.embase.com/search/results?subaction=viewrecord&amp;amp;id=L604202207&amp;amp;from=export_x000d__x000a_http://dx.doi.org/10.1038/jhh.2015.27&lt;/_url&gt;&lt;_volume&gt;30&lt;/_volume&gt;&lt;/Details&gt;&lt;Extra&gt;&lt;DBUID&gt;{CCD8BC99-AC21-4495-A582-31CC77FC1918}&lt;/DBUID&gt;&lt;/Extra&gt;&lt;/Item&gt;&lt;/References&gt;&lt;/Group&gt;&lt;/Citation&gt;_x000a_"/>
    <w:docVar w:name="NE.Ref{B287344D-0F2C-4E68-8E78-FFF54C5E7379}" w:val=" ADDIN NE.Ref.{B287344D-0F2C-4E68-8E78-FFF54C5E7379}&lt;Citation&gt;&lt;Group&gt;&lt;References&gt;&lt;Item&gt;&lt;ID&gt;41109&lt;/ID&gt;&lt;UID&gt;{A12E2D24-B0FE-4A4B-9C09-240AA3F2FF97}&lt;/UID&gt;&lt;Title&gt;Effect of exercise training on cardiometabolic risk markers among sedentary, but metabolically healthy overweight or obese post-menopausal women with elevated blood pressure&lt;/Title&gt;&lt;Template&gt;Journal Article&lt;/Template&gt;&lt;Star&gt;0&lt;/Star&gt;&lt;Tag&gt;1&lt;/Tag&gt;&lt;Author&gt;Arsenault, B J; Côté, M; Cartier, A; Lemieux, I; Després, J P; Ross, R; Earnest, C P; Blair, S N; Church, T S&lt;/Author&gt;&lt;Year&gt;2009&lt;/Year&gt;&lt;Details&gt;&lt;_accessed&gt;65630835&lt;/_accessed&gt;&lt;_alternate_title&gt;Atherosclerosis&lt;/_alternate_title&gt;&lt;_author_adr&gt;J.-P. Després, Centre de recherche, l&amp;apos;Institut universitaire de cardiologie et de pneumologie de Québec, Canada&lt;/_author_adr&gt;&lt;_collection_scope&gt;SCIE&lt;/_collection_scope&gt;&lt;_created&gt;65585604&lt;/_created&gt;&lt;_date&gt;2009-01-01&lt;/_date&gt;&lt;_date_display&gt;2009&lt;/_date_display&gt;&lt;_doi&gt;10.1016/j.atherosclerosis.2009.05.009&lt;/_doi&gt;&lt;_impact_factor&gt;   6.847&lt;/_impact_factor&gt;&lt;_isbn&gt;0021-9150&lt;/_isbn&gt;&lt;_issue&gt;2&lt;/_issue&gt;&lt;_journal&gt;Atherosclerosis&lt;/_journal&gt;&lt;_keywords&gt;adiponectin; C reactive protein; interleukin 6; lipid; lipoprotein; tumor necrosis factor; adult; aged; article; body mass; clinical trial; controlled clinical trial; controlled study; disease marker; exercise; female; heart rate; human; inflammation; major clinical study; obesity; oxygen concentration; postmenopause; priority journal; protein blood level; randomized controlled trial; risk factor; sitting; systolic blood pressure; treatment duration; waist circumference; body weight loss&lt;/_keywords&gt;&lt;_label&gt;HTN&lt;/_label&gt;&lt;_modified&gt;65630835&lt;/_modified&gt;&lt;_pages&gt;530-533&lt;/_pages&gt;&lt;_social_category&gt;医学(2)&lt;/_social_category&gt;&lt;_url&gt;https://www.embase.com/search/results?subaction=viewrecord&amp;amp;id=L50546349&amp;amp;from=export_x000d__x000a_http://dx.doi.org/10.1016/j.atherosclerosis.2009.05.009&lt;/_url&gt;&lt;_volume&gt;207&lt;/_volume&gt;&lt;/Details&gt;&lt;Extra&gt;&lt;DBUID&gt;{CCD8BC99-AC21-4495-A582-31CC77FC1918}&lt;/DBUID&gt;&lt;/Extra&gt;&lt;/Item&gt;&lt;/References&gt;&lt;/Group&gt;&lt;/Citation&gt;_x000a_"/>
    <w:docVar w:name="NE.Ref{B88948FC-1F8E-4E8A-856B-6DE7319F3F05}" w:val=" ADDIN NE.Ref.{B88948FC-1F8E-4E8A-856B-6DE7319F3F05}&lt;Citation&gt;&lt;Group&gt;&lt;References&gt;&lt;Item&gt;&lt;ID&gt;41079&lt;/ID&gt;&lt;UID&gt;{32E1E61C-1B1D-40FF-8567-F3F10986A4EB}&lt;/UID&gt;&lt;Title&gt;Accumulating short bouts of running reduces resting blood pressure in young normotensive/pre-hypertensive men.&lt;/Title&gt;&lt;Template&gt;Journal Article&lt;/Template&gt;&lt;Star&gt;1&lt;/Star&gt;&lt;Tag&gt;1&lt;/Tag&gt;&lt;Author&gt;Miyashita, M; Burns, S F; Stensel, D J&lt;/Author&gt;&lt;Year&gt;2011&lt;/Year&gt;&lt;Details&gt;&lt;_accessed&gt;65635123&lt;/_accessed&gt;&lt;_alternate_title&gt;J Sports Sci&lt;/_alternate_title&gt;&lt;_author_adr&gt;M. Miyashita, Faculty of Sport Sciences, Waseda University, Tokorozawa, Japan.&lt;/_author_adr&gt;&lt;_collection_scope&gt;SCIE&lt;/_collection_scope&gt;&lt;_created&gt;65585604&lt;/_created&gt;&lt;_date&gt;2011-01-01&lt;/_date&gt;&lt;_date_display&gt;2011&lt;/_date_display&gt;&lt;_impact_factor&gt;   3.943&lt;/_impact_factor&gt;&lt;_isbn&gt;1466-447X&lt;/_isbn&gt;&lt;_issue&gt;14&lt;/_issue&gt;&lt;_journal&gt;Journal of sports sciences&lt;/_journal&gt;&lt;_keywords&gt;adult; article; blood pressure; clinical trial; controlled clinical trial; controlled study; human; male; oxygen consumption; pathophysiology; physiology; prehypertension; randomized controlled trial; reference value; rest; running&lt;/_keywords&gt;&lt;_label&gt;HTN&lt;/_label&gt;&lt;_modified&gt;65635123&lt;/_modified&gt;&lt;_pages&gt;1473-1482&lt;/_pages&gt;&lt;_social_category&gt;医学(2)&lt;/_social_category&gt;&lt;_url&gt;https://www.embase.com/search/results?subaction=viewrecord&amp;amp;id=L560066306&amp;amp;from=export&lt;/_url&gt;&lt;_volume&gt;29&lt;/_volume&gt;&lt;/Details&gt;&lt;Extra&gt;&lt;DBUID&gt;{CCD8BC99-AC21-4495-A582-31CC77FC1918}&lt;/DBUID&gt;&lt;/Extra&gt;&lt;/Item&gt;&lt;/References&gt;&lt;/Group&gt;&lt;/Citation&gt;_x000a_"/>
    <w:docVar w:name="NE.Ref{C2DBA438-D175-466C-AAA7-D4FAA398EDDC}" w:val=" ADDIN NE.Ref.{C2DBA438-D175-466C-AAA7-D4FAA398EDDC}&lt;Citation&gt;&lt;Group&gt;&lt;References&gt;&lt;Item&gt;&lt;ID&gt;41048&lt;/ID&gt;&lt;UID&gt;{C5C8A5BA-9AC2-4D2A-A111-85F5977276BD}&lt;/UID&gt;&lt;Title&gt;Randomized controlled trial of mindfulness-based stress reduction for prehypertension&lt;/Title&gt;&lt;Template&gt;Journal Article&lt;/Template&gt;&lt;Star&gt;0&lt;/Star&gt;&lt;Tag&gt;1&lt;/Tag&gt;&lt;Author&gt;Hughes, J W; Fresco, D M; Myerscough, R; Van Dulmen, M H M; Carlson, L E; Josephson, R&lt;/Author&gt;&lt;Year&gt;2013&lt;/Year&gt;&lt;Details&gt;&lt;_accessed&gt;65635120&lt;/_accessed&gt;&lt;_alternate_title&gt;Psychosom. Med.&lt;/_alternate_title&gt;&lt;_author_adr&gt;J.W. Hughes, Department of Psychology, PO Box 5190, Kent, OH 44242, United States&lt;/_author_adr&gt;&lt;_collection_scope&gt;SSCI;SCIE&lt;/_collection_scope&gt;&lt;_created&gt;65585604&lt;/_created&gt;&lt;_date&gt;2013-01-01&lt;/_date&gt;&lt;_date_display&gt;2013&lt;/_date_display&gt;&lt;_doi&gt;10.1097/PSY.0b013e3182a3e4e5&lt;/_doi&gt;&lt;_impact_factor&gt;   3.864&lt;/_impact_factor&gt;&lt;_isbn&gt;1534-7796&lt;/_isbn&gt;&lt;_issue&gt;8&lt;/_issue&gt;&lt;_journal&gt;Psychosomatic Medicine&lt;/_journal&gt;&lt;_keywords&gt;NCT00440596; adult; article; controlled study; diastolic blood pressure; female; human; lifestyle modification; major clinical study; male; mindfulness-based stress reduction; muscle relaxation; outcome assessment; prehypertension; priority journal; psychotherapy; randomized controlled trial; single blind procedure; systolic blood pressure&lt;/_keywords&gt;&lt;_label&gt;INTERVENTION&lt;/_label&gt;&lt;_modified&gt;65635120&lt;/_modified&gt;&lt;_pages&gt;721-728&lt;/_pages&gt;&lt;_social_category&gt;医学(2)&lt;/_social_category&gt;&lt;_url&gt;https://www.embase.com/search/results?subaction=viewrecord&amp;amp;id=L370086369&amp;amp;from=export_x000d__x000a_http://dx.doi.org/10.1097/PSY.0b013e3182a3e4e5&lt;/_url&gt;&lt;_volume&gt;75&lt;/_volume&gt;&lt;/Details&gt;&lt;Extra&gt;&lt;DBUID&gt;{CCD8BC99-AC21-4495-A582-31CC77FC1918}&lt;/DBUID&gt;&lt;/Extra&gt;&lt;/Item&gt;&lt;/References&gt;&lt;/Group&gt;&lt;/Citation&gt;_x000a_"/>
    <w:docVar w:name="NE.Ref{C306459C-563F-4400-BD40-D545AE30B988}" w:val=" ADDIN NE.Ref.{C306459C-563F-4400-BD40-D545AE30B988}&lt;Citation&gt;&lt;Group&gt;&lt;References&gt;&lt;Item&gt;&lt;ID&gt;40792&lt;/ID&gt;&lt;UID&gt;{2E401077-876D-4A1A-AAD9-B1262FB46A67}&lt;/UID&gt;&lt;Title&gt;A feasibility study examining the prescription of isometric exercise training for blood pressure management using rating of perceived exertion&lt;/Title&gt;&lt;Template&gt;Journal Article&lt;/Template&gt;&lt;Star&gt;0&lt;/Star&gt;&lt;Tag&gt;1&lt;/Tag&gt;&lt;Author&gt;Wiles, J; Lea, J; O&amp;apos;Driscoll, J&lt;/Author&gt;&lt;Year&gt;2022&lt;/Year&gt;&lt;Details&gt;&lt;_accessed&gt;65629007&lt;/_accessed&gt;&lt;_alternate_title&gt;J. Hum. Hypertens.&lt;/_alternate_title&gt;&lt;_author_adr&gt;J. Wiles, Canterbury Christ Church University, Canterbury, United Kingdom&lt;/_author_adr&gt;&lt;_collection_scope&gt;SCIE&lt;/_collection_scope&gt;&lt;_created&gt;65585604&lt;/_created&gt;&lt;_date&gt;2022-01-01&lt;/_date&gt;&lt;_date_display&gt;2022&lt;/_date_display&gt;&lt;_doi&gt;10.1038/s41371-022-00734-5&lt;/_doi&gt;&lt;_impact_factor&gt;   2.877&lt;/_impact_factor&gt;&lt;_isbn&gt;1476-5527&lt;/_isbn&gt;&lt;_journal&gt;Journal of Human Hypertension&lt;/_journal&gt;&lt;_keywords&gt;adult; antihypertensive therapy; blood pressure; blood pressure monitoring; clinical article; conference abstract; controlled study; exercise; feasibility study; female; health care personnel; heart rate; human; human experiment; isometric exercise; lifestyle; male; prescription; randomized controlled trial; systolic blood pressure&lt;/_keywords&gt;&lt;_label&gt;MEETING&lt;/_label&gt;&lt;_modified&gt;65629007&lt;/_modified&gt;&lt;_pages&gt;13&lt;/_pages&gt;&lt;_social_category&gt;医学(4)&lt;/_social_category&gt;&lt;_url&gt;https://www.embase.com/search/results?subaction=viewrecord&amp;amp;id=L639228921&amp;amp;from=export_x000d__x000a_http://dx.doi.org/10.1038/s41371-022-00734-5&lt;/_url&gt;&lt;_volume&gt;36&lt;/_volume&gt;&lt;/Details&gt;&lt;Extra&gt;&lt;DBUID&gt;{CCD8BC99-AC21-4495-A582-31CC77FC1918}&lt;/DBUID&gt;&lt;/Extra&gt;&lt;/Item&gt;&lt;/References&gt;&lt;/Group&gt;&lt;/Citation&gt;_x000a_"/>
    <w:docVar w:name="NE.Ref{CA101D69-0B88-473C-BC14-9543BE9076C7}" w:val=" ADDIN NE.Ref.{CA101D69-0B88-473C-BC14-9543BE9076C7}&lt;Citation&gt;&lt;Group&gt;&lt;References&gt;&lt;Item&gt;&lt;ID&gt;41316&lt;/ID&gt;&lt;UID&gt;{BE5F5F2E-FEAF-47CE-9065-D5FC5B5E089E}&lt;/UID&gt;&lt;Title&gt;Effect of aerobic and resistance exercise training on inflammation, endothelial function and ambulatory blood pressure in middle-aged hypertensive patients&lt;/Title&gt;&lt;Template&gt;Journal Article&lt;/Template&gt;&lt;Star&gt;0&lt;/Star&gt;&lt;Tag&gt;1&lt;/Tag&gt;&lt;Author&gt;Boeno, F P; Ramis, T R; Munhoz, S V; Farinha, J B; Moritz, CEJ; Leal-Menezes, R; Ribeiro, J L; Christou, D D; Reischak-Oliveira, A&lt;/Author&gt;&lt;Year&gt;2020&lt;/Year&gt;&lt;Details&gt;&lt;_accessed&gt;65637629&lt;/_accessed&gt;&lt;_alternate_title&gt;JOURNAL OF HYPERTENSION&lt;/_alternate_title&gt;&lt;_author_adr&gt;Univ Fed Rio Grande do Sul, Sch Phys Educ Physiotherapy &amp;amp; Dance, 750 Felizardo St, BR-90690200 Porto Alegre, RS, Brazil; Ctr Univ Metodista IPA, Porto Alegre, RS, Brazil; Univ Florida, Dept Appl Physiol &amp;amp; Kinesiol, Gainesville, FL USA&lt;/_author_adr&gt;&lt;_collection_scope&gt;SCIE&lt;/_collection_scope&gt;&lt;_created&gt;65585604&lt;/_created&gt;&lt;_date&gt;2020-01-01&lt;/_date&gt;&lt;_date_display&gt;2020&lt;/_date_display&gt;&lt;_doi&gt;10.1097/HJH.0000000000002581&lt;/_doi&gt;&lt;_impact_factor&gt;   4.776&lt;/_impact_factor&gt;&lt;_isbn&gt;0263-6352&lt;/_isbn&gt;&lt;_issue&gt;12&lt;/_issue&gt;&lt;_journal&gt;JOURNAL OF HYPERTENSION&lt;/_journal&gt;&lt;_keywords&gt;ambulatory blood pressure; clinical trial; flow-mediated dilation; inflammation; exercise; METAANALYSIS; MORTALITY; STRESS; LOX-1; RISK&lt;/_keywords&gt;&lt;_label&gt;HTN&lt;/_label&gt;&lt;_modified&gt;65637629&lt;/_modified&gt;&lt;_pages&gt;2501-2509&lt;/_pages&gt;&lt;_social_category&gt;医学(2)&lt;/_social_category&gt;&lt;_volume&gt;38&lt;/_volume&gt;&lt;/Details&gt;&lt;Extra&gt;&lt;DBUID&gt;{CCD8BC99-AC21-4495-A582-31CC77FC1918}&lt;/DBUID&gt;&lt;/Extra&gt;&lt;/Item&gt;&lt;/References&gt;&lt;/Group&gt;&lt;/Citation&gt;_x000a_"/>
    <w:docVar w:name="NE.Ref{CCD2D4F2-989B-4CA7-A2E5-2E79D2B8FA69}" w:val=" ADDIN NE.Ref.{CCD2D4F2-989B-4CA7-A2E5-2E79D2B8FA69}&lt;Citation&gt;&lt;Group&gt;&lt;References&gt;&lt;Item&gt;&lt;ID&gt;41550&lt;/ID&gt;&lt;UID&gt;{1904ED4D-5A8D-4569-B2A7-52EB5D6947D6}&lt;/UID&gt;&lt;Title&gt;The EffectiveNess of LIfestyle with Diet and Physical Activity Education ProGram Among Prehypertensives and Stage 1 HyperTENsives in an Urban Community Setting (ENLIGHTEN) Study&lt;/Title&gt;&lt;Template&gt;Journal Article&lt;/Template&gt;&lt;Star&gt;0&lt;/Star&gt;&lt;Tag&gt;1&lt;/Tag&gt;&lt;Author&gt;Gabiola, J; Morales, D; Quizon, O; Cadiz, R I; Feliciano, K; Ruiz, R L; Aguatis, C J; Mararac, T; Rojina, J; Garcia, A; Hedlin, H; Cullen, M; Palaniappan, L&lt;/Author&gt;&lt;Year&gt;2020&lt;/Year&gt;&lt;Details&gt;&lt;_accessed&gt;65629055&lt;/_accessed&gt;&lt;_alternate_title&gt;JOURNAL OF COMMUNITY HEALTH&lt;/_alternate_title&gt;&lt;_author_adr&gt;Stanford Univ, Sch Med, Div Primary Care &amp;amp; Populat Hlth, 1265 Welch Rd,MC 5475, Stanford, CA 94305 USA; Manila Doctors Hosp, Manila, Philippines; Stanford Univ, Stanford, CA 94305 USA; Oregon Hlth &amp;amp; Sci Univ, Sch Med, Portland, OR 97201 USA; Stanford Univ, Sch Med, Quantitat Sci Unit, Stanford, CA USA; Stanford Univ, Sch Med, Ctr Populat Hlth Sci, Stanford, CA USA&lt;/_author_adr&gt;&lt;_collection_scope&gt;SSCI&lt;/_collection_scope&gt;&lt;_created&gt;65585604&lt;/_created&gt;&lt;_date&gt;2020-01-01&lt;/_date&gt;&lt;_date_display&gt;2020&lt;/_date_display&gt;&lt;_doi&gt;10.1007/s10900-019-00764-0&lt;/_doi&gt;&lt;_impact_factor&gt;   4.371&lt;/_impact_factor&gt;&lt;_isbn&gt;0094-5145&lt;/_isbn&gt;&lt;_issue&gt;3&lt;/_issue&gt;&lt;_journal&gt;JOURNAL OF COMMUNITY HEALTH&lt;/_journal&gt;&lt;_keywords&gt;Hypertension; Lifestyle intervention; Philippines; Lecture; Non-randomized interventional study; Quasi-experimental study; SYSTEMATIC ANALYSIS; BLOOD-PRESSURE; DISEASE&lt;/_keywords&gt;&lt;_label&gt;HTN&lt;/_label&gt;&lt;_modified&gt;65629055&lt;/_modified&gt;&lt;_pages&gt;478-487&lt;/_pages&gt;&lt;_social_category&gt;医学(4)&lt;/_social_category&gt;&lt;_volume&gt;45&lt;/_volume&gt;&lt;/Details&gt;&lt;Extra&gt;&lt;DBUID&gt;{CCD8BC99-AC21-4495-A582-31CC77FC1918}&lt;/DBUID&gt;&lt;/Extra&gt;&lt;/Item&gt;&lt;/References&gt;&lt;/Group&gt;&lt;/Citation&gt;_x000a_"/>
    <w:docVar w:name="NE.Ref{CF046F10-A410-4E3A-AE61-EE01B60EC01A}" w:val=" ADDIN NE.Ref.{CF046F10-A410-4E3A-AE61-EE01B60EC01A}&lt;Citation&gt;&lt;Group&gt;&lt;References&gt;&lt;Item&gt;&lt;ID&gt;39809&lt;/ID&gt;&lt;UID&gt;{834C5B42-4C96-42D0-96F1-258CB2ACE235}&lt;/UID&gt;&lt;Title&gt;Randomized Controlled Trial of Qigong for Treatment of Prehypertension and Mild Essential Hypertension&lt;/Title&gt;&lt;Template&gt;Journal Article&lt;/Template&gt;&lt;Star&gt;0&lt;/Star&gt;&lt;Tag&gt;1&lt;/Tag&gt;&lt;Author&gt;Park, J E; Hong, S; Lee, M; Park, T; Kang, K; Jung, H&lt;/Author&gt;&lt;Year&gt;2011&lt;/Year&gt;&lt;Details&gt;&lt;_accessed&gt;65630082&lt;/_accessed&gt;&lt;_created&gt;65585604&lt;/_created&gt;&lt;_date&gt;2011-01-01&lt;/_date&gt;&lt;_date_display&gt;2011&lt;/_date_display&gt;&lt;_label&gt;HTN&lt;/_label&gt;&lt;_modified&gt;65630082&lt;/_modified&gt;&lt;_url&gt;https://www.cochranelibrary.com/central/doi/10.1002/central/CN-00873204/full&lt;/_url&gt;&lt;/Details&gt;&lt;Extra&gt;&lt;DBUID&gt;{CCD8BC99-AC21-4495-A582-31CC77FC1918}&lt;/DBUID&gt;&lt;/Extra&gt;&lt;/Item&gt;&lt;/References&gt;&lt;/Group&gt;&lt;/Citation&gt;_x000a_"/>
    <w:docVar w:name="NE.Ref{D1830FE9-DABC-4D6C-B4D8-53385D5D55AB}" w:val=" ADDIN NE.Ref.{D1830FE9-DABC-4D6C-B4D8-53385D5D55AB}&lt;Citation&gt;&lt;Group&gt;&lt;References&gt;&lt;Item&gt;&lt;ID&gt;39792&lt;/ID&gt;&lt;UID&gt;{0F49CF00-8C10-4F63-BB73-FEDE2AD15839}&lt;/UID&gt;&lt;Title&gt;Running Against Prehypertension Trial (RAPT): a Pilot Trial&lt;/Title&gt;&lt;Template&gt;Journal Article&lt;/Template&gt;&lt;Star&gt;0&lt;/Star&gt;&lt;Tag&gt;1&lt;/Tag&gt;&lt;Author&gt;NCT&lt;/Author&gt;&lt;Year&gt;2012&lt;/Year&gt;&lt;Details&gt;&lt;_accessed&gt;65635118&lt;/_accessed&gt;&lt;_created&gt;65585604&lt;/_created&gt;&lt;_date&gt;2012-01-01&lt;/_date&gt;&lt;_date_display&gt;2012&lt;/_date_display&gt;&lt;_keywords&gt; Prehypertension&lt;/_keywords&gt;&lt;_label&gt;PROTO&lt;/_label&gt;&lt;_modified&gt;65635118&lt;/_modified&gt;&lt;_url&gt;https://www.cochranelibrary.com/central/doi/10.1002/central/CN-02022975/full&lt;/_url&gt;&lt;/Details&gt;&lt;Extra&gt;&lt;DBUID&gt;{CCD8BC99-AC21-4495-A582-31CC77FC1918}&lt;/DBUID&gt;&lt;/Extra&gt;&lt;/Item&gt;&lt;/References&gt;&lt;/Group&gt;&lt;/Citation&gt;_x000a_"/>
    <w:docVar w:name="NE.Ref{D6DF00C0-38AC-4506-AC36-64A47EC4F6EE}" w:val=" ADDIN NE.Ref.{D6DF00C0-38AC-4506-AC36-64A47EC4F6EE}&lt;Citation&gt;&lt;Group&gt;&lt;References&gt;&lt;Item&gt;&lt;ID&gt;39540&lt;/ID&gt;&lt;UID&gt;{EEC25BEA-3FB3-48B0-B581-ED118DCDEC07}&lt;/UID&gt;&lt;Title&gt;Proinflammatory and Anti-inflammatory Cytokine Response to Isometric Handgrip Exercise and the Effects of Duration and Intensity of the Isometric Efforts in Prehypertensive Participants.&lt;/Title&gt;&lt;Template&gt;Journal Article&lt;/Template&gt;&lt;Star&gt;0&lt;/Star&gt;&lt;Tag&gt;1&lt;/Tag&gt;&lt;Author&gt;Ogbutor, Udoji Godsday; Nwangwa, Eze Kingsley; Nwogueze, Bartholomew Chukwuebuka; Igweh, John Chukwuka; Ugoeze, Francis Chinedu; Ezunu, Emmanuel; Chijiokwu, Ejime Agbonifo&lt;/Author&gt;&lt;Year&gt;2022&lt;/Year&gt;&lt;Details&gt;&lt;_accessed&gt;65653122&lt;/_accessed&gt;&lt;_alternate_title&gt;Journal of Chiropractic MedicineJournal of Chiropractic Medicine&lt;/_alternate_title&gt;&lt;_author_adr&gt;Physiotherapy Department, Federal Medical Centre, Asaba, Delta State, Nigeria; Physiology Department, Delta State University, Abraka, Delta State, Nigeria&lt;/_author_adr&gt;&lt;_collection_scope&gt;ESCI&lt;/_collection_scope&gt;&lt;_created&gt;65585598&lt;/_created&gt;&lt;_date&gt;2022-09-01&lt;/_date&gt;&lt;_date_display&gt;2022/09//&lt;/_date_display&gt;&lt;_doi&gt;10.1016/j.jcm.2022.05.002&lt;/_doi&gt;&lt;_isbn&gt;1556-3707&lt;/_isbn&gt;&lt;_issue&gt;3&lt;/_issue&gt;&lt;_journal&gt;Journal of Chiropractic Medicine&lt;/_journal&gt;&lt;_keywords&gt;Isometric Exercises; Cytokines -- Metabolism; Antiinflammatory Agents -- Therapeutic Use; Grip Strength; Exercise Intensity; Prehypertension -- Rehabilitation; Training Effect (Physiology); Human; Life Style, Sedentary; Nigeria; Adult; Middle Age; Random Assignment; Descriptive Statistics; Interleukins -- Blood; Tumor Necrosis Factor; Inflammation; Metabolic Diseases; Randomized Controlled Trials; Random Sample; Comparative Studies; Pretest-Posttest Design&lt;/_keywords&gt;&lt;_label&gt;OUTCOME&lt;/_label&gt;&lt;_modified&gt;65653123&lt;/_modified&gt;&lt;_number&gt;158931926&lt;/_number&gt;&lt;_ori_publication&gt;Elsevier B.V.&lt;/_ori_publication&gt;&lt;_pages&gt;177-186&lt;/_pages&gt;&lt;_place_published&gt;New York, New York&lt;/_place_published&gt;&lt;_url&gt;https://search.ebscohost.com/login.aspx?direct=true&amp;amp;AuthType=sso&amp;amp;db=cul&amp;amp;AN=158931926&amp;amp;site=ehost-live&amp;amp;scope=site&amp;amp;custid=s6636215&lt;/_url&gt;&lt;_volume&gt;21&lt;/_volume&gt;&lt;/Details&gt;&lt;Extra&gt;&lt;DBUID&gt;{CCD8BC99-AC21-4495-A582-31CC77FC1918}&lt;/DBUID&gt;&lt;/Extra&gt;&lt;/Item&gt;&lt;/References&gt;&lt;/Group&gt;&lt;/Citation&gt;_x000a_"/>
    <w:docVar w:name="NE.Ref{DC56C715-C5F5-4B4C-BE51-F7CEAF423500}" w:val=" ADDIN NE.Ref.{DC56C715-C5F5-4B4C-BE51-F7CEAF423500}&lt;Citation&gt;&lt;Group&gt;&lt;References&gt;&lt;Item&gt;&lt;ID&gt;40016&lt;/ID&gt;&lt;UID&gt;{A847EC92-35E5-4554-80E5-E77D16D559DE}&lt;/UID&gt;&lt;Title&gt;Whole-Body Vibration Exercise Therapy Improves Cardiac Autonomic Function and Blood Pressure in Obese Pre- and Stage 1 Hypertensive Postmenopausal Women&lt;/Title&gt;&lt;Template&gt;Journal Article&lt;/Template&gt;&lt;Star&gt;0&lt;/Star&gt;&lt;Tag&gt;1&lt;/Tag&gt;&lt;Author&gt;Wong, A; Alvarez-Alvarado, S; Kinsey, A W; Figueroa, A&lt;/Author&gt;&lt;Year&gt;2016&lt;/Year&gt;&lt;Details&gt;&lt;_accessed&gt;65637671&lt;/_accessed&gt;&lt;_created&gt;65585604&lt;/_created&gt;&lt;_date&gt;2016-01-01&lt;/_date&gt;&lt;_date_display&gt;2016&lt;/_date_display&gt;&lt;_doi&gt;10.1089/acm.2016.0124&lt;/_doi&gt;&lt;_issue&gt; 12&lt;/_issue&gt;&lt;_keywords&gt; *alternative medicine;  *blood pressure variability;  *diastolic blood pressure;  *heart rate variability;  *hypertension;  *kinesiotherapy;  *leg exercise;  *obesity;  *postmenopause;  *whole body vibration;  Adult;  Aged;  Article;  Blood Pressure [physiology];  Body mass;  Calf (mammal);  Clinical article;  Complementary Therapies [*methods];  Control group;  Controlled clinical trial;  Controlled study;  Diastolic blood pressure;  Exercise Therapy [*methods];  Female;  Heart Rate [*physiology];  Human;  Humans;  Hypertension [*therapy];  Middle Aged;  Middle aged;  Nonhuman;  Obesity [*therapy];  Parallel design;  Parasympathetic tone;  Postmenopause;  Priority journal;  Randomized controlled trial;  Standing;  Sympathetic tone;  Systolic blood pressure;  Vibration [*therapeutic use]&lt;/_keywords&gt;&lt;_label&gt;HTN&lt;/_label&gt;&lt;_modified&gt;65637671&lt;/_modified&gt;&lt;_pages&gt; 970‐976&lt;/_pages&gt;&lt;_url&gt;https://www.cochranelibrary.com/central/doi/10.1002/central/CN-01335357/full&lt;/_url&gt;&lt;_volume&gt;22&lt;/_volume&gt;&lt;/Details&gt;&lt;Extra&gt;&lt;DBUID&gt;{CCD8BC99-AC21-4495-A582-31CC77FC1918}&lt;/DBUID&gt;&lt;/Extra&gt;&lt;/Item&gt;&lt;/References&gt;&lt;/Group&gt;&lt;/Citation&gt;_x000a_"/>
    <w:docVar w:name="NE.Ref{DD40F032-6CD7-4BDB-BD32-C8CDB6C072EA}" w:val=" ADDIN NE.Ref.{DD40F032-6CD7-4BDB-BD32-C8CDB6C072EA}&lt;Citation&gt;&lt;Group&gt;&lt;References&gt;&lt;Item&gt;&lt;ID&gt;41192&lt;/ID&gt;&lt;UID&gt;{177E1ECA-13AE-4A5B-B349-EB90E51EE016}&lt;/UID&gt;&lt;Title&gt;Physical training of middle-aged men with borderline hypertension&lt;/Title&gt;&lt;Template&gt;Journal Article&lt;/Template&gt;&lt;Star&gt;0&lt;/Star&gt;&lt;Tag&gt;1&lt;/Tag&gt;&lt;Author&gt;Kukkonen, K; Rauramaa, R; Voutilainen, E; Lansimies, E&lt;/Author&gt;&lt;Year&gt;1982&lt;/Year&gt;&lt;Details&gt;&lt;_accessed&gt;65630332&lt;/_accessed&gt;&lt;_alternate_title&gt;ANN. CLIN. RES.&lt;/_alternate_title&gt;&lt;_author_adr&gt;Dept. Clin. Physiol., Kuopio Inst. Exerc. Med., Univ. Kuopio, Kuopio&lt;/_author_adr&gt;&lt;_created&gt;65585604&lt;/_created&gt;&lt;_date&gt;1982-01-01&lt;/_date&gt;&lt;_date_display&gt;1982&lt;/_date_display&gt;&lt;_isbn&gt;0003-4762&lt;/_isbn&gt;&lt;_issue&gt;Suppl. 34&lt;/_issue&gt;&lt;_journal&gt;Annals of Clinical Research&lt;/_journal&gt;&lt;_keywords&gt;adult; cardiovascular system; clinical trial; controlled study; exercise; human; hypertension; major clinical study; normal human; randomized controlled trial; theoretical study; therapy; training&lt;/_keywords&gt;&lt;_label&gt;NORCT&lt;/_label&gt;&lt;_modified&gt;65630332&lt;/_modified&gt;&lt;_pages&gt;139-145&lt;/_pages&gt;&lt;_url&gt;https://www.embase.com/search/results?subaction=viewrecord&amp;amp;id=L12016897&amp;amp;from=export&lt;/_url&gt;&lt;_volume&gt;14&lt;/_volume&gt;&lt;/Details&gt;&lt;Extra&gt;&lt;DBUID&gt;{CCD8BC99-AC21-4495-A582-31CC77FC1918}&lt;/DBUID&gt;&lt;/Extra&gt;&lt;/Item&gt;&lt;/References&gt;&lt;/Group&gt;&lt;/Citation&gt;_x000a_"/>
    <w:docVar w:name="NE.Ref{DE39D6B1-9FEE-4029-8E2A-6749FF01A826}" w:val=" ADDIN NE.Ref.{DE39D6B1-9FEE-4029-8E2A-6749FF01A826}&lt;Citation&gt;&lt;Group&gt;&lt;References&gt;&lt;Item&gt;&lt;ID&gt;41007&lt;/ID&gt;&lt;UID&gt;{DB1A0F72-84BF-41A4-9ACE-2F845D3888AA}&lt;/UID&gt;&lt;Title&gt;Addition of yoga therapy to standard lifestyle modification improve cardiovascular autonomic function and metabolic derangement in prehypertensive subjects: A randomized controlled study&lt;/Title&gt;&lt;Template&gt;Journal Article&lt;/Template&gt;&lt;Star&gt;0&lt;/Star&gt;&lt;Tag&gt;1&lt;/Tag&gt;&lt;Author&gt;Ramkumar, T; Senthil Kumar, S; Pravati, P; Gopal Krushna, P; Madanmohan, T; Bobby, Z; Ashok Kumar, D&lt;/Author&gt;&lt;Year&gt;2014&lt;/Year&gt;&lt;Details&gt;&lt;_accessed&gt;65630450&lt;/_accessed&gt;&lt;_alternate_title&gt;Eur. J. Prev. Cardiol.&lt;/_alternate_title&gt;&lt;_author_adr&gt;T. Ramkumar, Jawaharlal Institute of Post Graduate Medical Education and Research, Pondicherry, India&lt;/_author_adr&gt;&lt;_collection_scope&gt;SCIE&lt;/_collection_scope&gt;&lt;_created&gt;65585604&lt;/_created&gt;&lt;_date&gt;2014-01-01&lt;/_date&gt;&lt;_date_display&gt;2014&lt;/_date_display&gt;&lt;_doi&gt;10.1177/2047487314534582&lt;/_doi&gt;&lt;_impact_factor&gt;   8.526&lt;/_impact_factor&gt;&lt;_isbn&gt;2047-4873&lt;/_isbn&gt;&lt;_issue&gt;1&lt;/_issue&gt;&lt;_journal&gt;European Journal of Preventive Cardiology&lt;/_journal&gt;&lt;_keywords&gt;marker; human; lifestyle modification; therapy; yoga; randomized controlled trial; oxidative stress; inflammation; prehypertension; side effect; gender; risk; insulin resistance; blood pressure; Indian; parameters; lifestyle; cardiovascular risk; medication compliance; statistical analysis; intention to treat analysis; drug therapy&lt;/_keywords&gt;&lt;_label&gt;MEETING&lt;/_label&gt;&lt;_modified&gt;65630451&lt;/_modified&gt;&lt;_pages&gt;S111&lt;/_pages&gt;&lt;_social_category&gt;医学(1)&lt;/_social_category&gt;&lt;_url&gt;https://www.embase.com/search/results?subaction=viewrecord&amp;amp;id=L71705564&amp;amp;from=export_x000d__x000a_http://dx.doi.org/10.1177/2047487314534582&lt;/_url&gt;&lt;_volume&gt;21&lt;/_volume&gt;&lt;/Details&gt;&lt;Extra&gt;&lt;DBUID&gt;{CCD8BC99-AC21-4495-A582-31CC77FC1918}&lt;/DBUID&gt;&lt;/Extra&gt;&lt;/Item&gt;&lt;/References&gt;&lt;/Group&gt;&lt;/Citation&gt;_x000a_"/>
    <w:docVar w:name="NE.Ref{E122ED7D-12BF-4783-B430-72C6BE59E86B}" w:val=" ADDIN NE.Ref.{E122ED7D-12BF-4783-B430-72C6BE59E86B}&lt;Citation&gt;&lt;Group&gt;&lt;References&gt;&lt;Item&gt;&lt;ID&gt;41973&lt;/ID&gt;&lt;UID&gt;{5CFD96DB-FE6F-4782-B703-FC1DB2DCDBCC}&lt;/UID&gt;&lt;Title&gt;Blood pressure reduction following accumulated physical activity in  prehypertensive&lt;/Title&gt;&lt;Template&gt;Journal Article&lt;/Template&gt;&lt;Star&gt;0&lt;/Star&gt;&lt;Tag&gt;1&lt;/Tag&gt;&lt;Author&gt;Saxena, Y; Gupta, R; Moinuddin, A; Narwal, R&lt;/Author&gt;&lt;Year&gt;2016&lt;/Year&gt;&lt;Details&gt;&lt;_accessed&gt;65630005&lt;/_accessed&gt;&lt;_accession_num&gt;27843840&lt;/_accession_num&gt;&lt;_author_adr&gt;Department of Physiology, HIMS, SRH University, Dehradun, Uttarakhand, India.; Department of Physiology, HIMS, SRH University, Dehradun, Uttarakhand, India.; Department of Physiology, NIMS University, Jaipur, Rajasthan, India.; Department of PMR, BPS Government Medical College for Women, Sonipat, Haryana,  India.&lt;/_author_adr&gt;&lt;_collection_scope&gt;ESCI&lt;/_collection_scope&gt;&lt;_created&gt;65585604&lt;/_created&gt;&lt;_date&gt;2016-04-01&lt;/_date&gt;&lt;_date_display&gt;2016 Apr-Jun&lt;/_date_display&gt;&lt;_doi&gt;10.4103/2249-4863.192368&lt;/_doi&gt;&lt;_isbn&gt;2249-4863 (Print); 2278-7135 (Electronic); 2249-4863 (Linking)&lt;/_isbn&gt;&lt;_issue&gt;2&lt;/_issue&gt;&lt;_journal&gt;J Family Med Prim Care&lt;/_journal&gt;&lt;_keywords&gt;Accumulated physical activity; blood pressure; prehypertensive&lt;/_keywords&gt;&lt;_label&gt;ACUTE&lt;/_label&gt;&lt;_language&gt;eng&lt;/_language&gt;&lt;_modified&gt;65630005&lt;/_modified&gt;&lt;_pages&gt;349-356&lt;/_pages&gt;&lt;_tertiary_title&gt;Journal of family medicine and primary care&lt;/_tertiary_title&gt;&lt;_type_work&gt;Journal Article&lt;/_type_work&gt;&lt;_url&gt;http://www.ncbi.nlm.nih.gov/entrez/query.fcgi?cmd=Retrieve&amp;amp;db=pubmed&amp;amp;dopt=Abstract&amp;amp;list_uids=27843840&amp;amp;query_hl=1&lt;/_url&gt;&lt;_volume&gt;5&lt;/_volume&gt;&lt;/Details&gt;&lt;Extra&gt;&lt;DBUID&gt;{CCD8BC99-AC21-4495-A582-31CC77FC1918}&lt;/DBUID&gt;&lt;/Extra&gt;&lt;/Item&gt;&lt;/References&gt;&lt;/Group&gt;&lt;/Citation&gt;_x000a_"/>
    <w:docVar w:name="NE.Ref{E793A08B-6459-4085-ADA1-C78239B737CE}" w:val=" ADDIN NE.Ref.{E793A08B-6459-4085-ADA1-C78239B737CE}&lt;Citation&gt;&lt;Group&gt;&lt;References&gt;&lt;Item&gt;&lt;ID&gt;41936&lt;/ID&gt;&lt;UID&gt;{A2A14BBB-E965-448A-A023-6CDF5EC3966D}&lt;/UID&gt;&lt;Title&gt;Controlled aerobic training improves endothelial function and modifies vascular  remodeling in healthy adults with high normal blood pressure&lt;/Title&gt;&lt;Template&gt;Journal Article&lt;/Template&gt;&lt;Star&gt;0&lt;/Star&gt;&lt;Tag&gt;1&lt;/Tag&gt;&lt;Author&gt;Glodzik, J; Rewiuk, K; Adamiak, J; Marchewka, J; Salakowski, A; Mazur, M; Brudecki, J; Mikolajczyk, T P; Guzik, T; Aleksander-Szymanowicz, P; Grodzicki, T&lt;/Author&gt;&lt;Year&gt;2018&lt;/Year&gt;&lt;Details&gt;&lt;_accessed&gt;65637620&lt;/_accessed&gt;&lt;_accession_num&gt;30683821&lt;/_accession_num&gt;&lt;_author_adr&gt;Department of Physical Medicine and Biological Recovery, University of Physical  Education, Cracow, Poland.; Department of Internal Medicine and Gerontology, Jagiellonian University Medical  College, Cracow, Poland.; Department of Physical Medicine and Biological Recovery, University of Physical  Education, Cracow, Poland.; Department of Physical Medicine and Biological Recovery, University of Physical  Education, Cracow, Poland.; Department of Internal Medicine and Gerontology, Jagiellonian University Medical  College, Cracow, Poland.; Department of Internal and Agricultural Medicine, Jagiellonian University Medical  College, Cracow, Poland.; Department of Anthropology, University of Physical Education, Cracow, Poland.; Department of Internal and Agricultural Medicine, Jagiellonian University Medical  College, Cracow, Poland.; Department of Internal and Agricultural Medicine, Jagiellonian University Medical  College, Cracow, Poland.; Department of Occupational Therapy, University of Physical Education, Cracow,  Poland.; Department of Internal Medicine and Gerontology, Jagiellonian University Medical  College, Cracow, Poland.&lt;/_author_adr&gt;&lt;_collection_scope&gt;SCIE&lt;/_collection_scope&gt;&lt;_created&gt;65585604&lt;/_created&gt;&lt;_date&gt;2018-10-01&lt;/_date&gt;&lt;_date_display&gt;2018 Oct&lt;/_date_display&gt;&lt;_doi&gt;10.26402/jpp.2018.5.04&lt;/_doi&gt;&lt;_impact_factor&gt;   2.589&lt;/_impact_factor&gt;&lt;_isbn&gt;1899-1505 (Electronic); 0867-5910 (Linking)&lt;/_isbn&gt;&lt;_issue&gt;5&lt;/_issue&gt;&lt;_journal&gt;J Physiol Pharmacol&lt;/_journal&gt;&lt;_label&gt;NORCT&lt;/_label&gt;&lt;_language&gt;eng&lt;/_language&gt;&lt;_modified&gt;65637620&lt;/_modified&gt;&lt;_social_category&gt;医学(4)&lt;/_social_category&gt;&lt;_subject_headings&gt;Adult; Blood Pressure/*physiology; Endothelium, Vascular/*physiology; Exercise/*physiology; Female; Healthy Volunteers; Humans; Lipids/blood; Male; Middle Aged; Vascular Remodeling/*physiology&lt;/_subject_headings&gt;&lt;_tertiary_title&gt;Journal of physiology and pharmacology : an official journal of the Polish _x000d__x000a_      Physiological Society&lt;/_tertiary_title&gt;&lt;_type_work&gt;Journal Article&lt;/_type_work&gt;&lt;_url&gt;http://www.ncbi.nlm.nih.gov/entrez/query.fcgi?cmd=Retrieve&amp;amp;db=pubmed&amp;amp;dopt=Abstract&amp;amp;list_uids=30683821&amp;amp;query_hl=1&lt;/_url&gt;&lt;_volume&gt;69&lt;/_volume&gt;&lt;/Details&gt;&lt;Extra&gt;&lt;DBUID&gt;{CCD8BC99-AC21-4495-A582-31CC77FC1918}&lt;/DBUID&gt;&lt;/Extra&gt;&lt;/Item&gt;&lt;/References&gt;&lt;/Group&gt;&lt;/Citation&gt;_x000a_"/>
    <w:docVar w:name="NE.Ref{E89A5C68-0FE3-423E-8371-0E40C0BB45C0}" w:val=" ADDIN NE.Ref.{E89A5C68-0FE3-423E-8371-0E40C0BB45C0}&lt;Citation&gt;&lt;Group&gt;&lt;References&gt;&lt;Item&gt;&lt;ID&gt;39545&lt;/ID&gt;&lt;UID&gt;{A410A915-CE28-4F48-8331-FE8004B8F5C2}&lt;/UID&gt;&lt;Title&gt;The antihypertensive effects of aerobic versus isometric handgrip resistance exercise.&lt;/Title&gt;&lt;Template&gt;Journal Article&lt;/Template&gt;&lt;Star&gt;0&lt;/Star&gt;&lt;Tag&gt;1&lt;/Tag&gt;&lt;Author&gt;Ash, Garrett I; Taylor, Beth A; Thompson, Paul D; MacDonald, Hayley V; Lamberti, Lauren; Ming-Hui, Chen; Farinatti, Paulo; Kraemer, William J; Panza, Gregory A; Zaleski, Amanda L; Deshpande, Ved; Ballard, Kevin D; Mujtaba, Mohammadtokir; White, C Michael; Pescatello, Linda S; Chen, Ming-Hui&lt;/Author&gt;&lt;Year&gt;2017&lt;/Year&gt;&lt;Details&gt;&lt;_accessed&gt;65653100&lt;/_accessed&gt;&lt;_alternate_title&gt;Journal of HypertensionJournal of Hypertension&lt;/_alternate_title&gt;&lt;_author_adr&gt;University of Connecticut, Storrs; Yale University, New Haven; Hartford Hospital, Hartford, Connecticut, USA; University of Rio de Janeiro State, Rio de Janeiro; Salgado de Oliveira University, Niteroi, Brazil; The Ohio State University, Columbus; Miami University, Oxford, Ohio; Institute for Systems Genomics, Farmington, Connecticut, USA&lt;/_author_adr&gt;&lt;_collection_scope&gt;SCIE&lt;/_collection_scope&gt;&lt;_created&gt;65585598&lt;/_created&gt;&lt;_date&gt;2017-02-01&lt;/_date&gt;&lt;_date_display&gt;2017/02//&lt;/_date_display&gt;&lt;_doi&gt;10.1097/HJH.0000000000001176&lt;/_doi&gt;&lt;_impact_factor&gt;   4.776&lt;/_impact_factor&gt;&lt;_isbn&gt;0263-6352&lt;/_isbn&gt;&lt;_issue&gt;2&lt;/_issue&gt;&lt;_journal&gt;Journal of Hypertension&lt;/_journal&gt;&lt;_keywords&gt;Resistance Training; Exercise; Blood Pressure; Isometric Contraction -- Physiology; Obesity -- Therapy; Prehypertension -- Therapy; Blood Pressure Monitoring, Ambulatory; Diagnosis, Cardiovascular; Prehypertension -- Physiopathology; Adult; Sleep -- Physiology; Crossover Design; Obesity -- Complications; Human; Female; Obesity -- Physiopathology; Prehypertension -- Complications; Male; Systole; Diastole; Middle Age; Wakefulness -- Physiology; Validation Studies; Comparative Studies; Evaluation Research; Multicenter Studies; Randomized Controlled Trials; Random Assignment; Funding Source&lt;/_keywords&gt;&lt;_label&gt;HTN&lt;/_label&gt;&lt;_modified&gt;65653100&lt;/_modified&gt;&lt;_number&gt;120605985&lt;/_number&gt;&lt;_ori_publication&gt;Lippincott Williams &amp;amp; Wilkins&lt;/_ori_publication&gt;&lt;_pages&gt;291-299&lt;/_pages&gt;&lt;_place_published&gt;Baltimore, Maryland&lt;/_place_published&gt;&lt;_social_category&gt;医学(2)&lt;/_social_category&gt;&lt;_url&gt;https://search.ebscohost.com/login.aspx?direct=true&amp;amp;AuthType=sso&amp;amp;db=cul&amp;amp;AN=120605985&amp;amp;site=ehost-live&amp;amp;scope=site&amp;amp;custid=s6636215&lt;/_url&gt;&lt;_volume&gt;35&lt;/_volume&gt;&lt;/Details&gt;&lt;Extra&gt;&lt;DBUID&gt;{CCD8BC99-AC21-4495-A582-31CC77FC1918}&lt;/DBUID&gt;&lt;/Extra&gt;&lt;/Item&gt;&lt;/References&gt;&lt;/Group&gt;&lt;/Citation&gt;_x000a_"/>
    <w:docVar w:name="NE.Ref{EAAA0B33-8A99-4AA9-9A59-E8B1E4E98ECE}" w:val=" ADDIN NE.Ref.{EAAA0B33-8A99-4AA9-9A59-E8B1E4E98ECE}&lt;Citation&gt;&lt;Group&gt;&lt;References&gt;&lt;Item&gt;&lt;ID&gt;41157&lt;/ID&gt;&lt;UID&gt;{312EE90A-A896-4946-8A38-C998E4FE62B2}&lt;/UID&gt;&lt;Title&gt;Exercise and weight loss reduce blood pressure in men and women with mild hypertension: Effects on cardiovascular, metabolic, and hemodynamic functioning&lt;/Title&gt;&lt;Template&gt;Journal Article&lt;/Template&gt;&lt;Star&gt;0&lt;/Star&gt;&lt;Tag&gt;1&lt;/Tag&gt;&lt;Author&gt;Blumenthal, J A; Sherwood, A; Gullette, E C D; Babyak, M; Waugh, R; Georgiades, A; Craighead, L W; Tweedy, D; Feinglos, M; Appelbaum, M; Hayano, J; Hinderliter, A&lt;/Author&gt;&lt;Year&gt;2000&lt;/Year&gt;&lt;Details&gt;&lt;_accessed&gt;65653100&lt;/_accessed&gt;&lt;_alternate_title&gt;Arch. Intern. Med.&lt;/_alternate_title&gt;&lt;_author_adr&gt;J.A. Blumenthal, Dept. of Psychiat./Behavioral Sci., Duke University Medical Center, PO Box 3119, Durham, NC 27710, United States&lt;/_author_adr&gt;&lt;_created&gt;65585604&lt;/_created&gt;&lt;_date&gt;2000-01-01&lt;/_date&gt;&lt;_date_display&gt;2000&lt;/_date_display&gt;&lt;_doi&gt;10.1001/archinte.160.13.1947&lt;/_doi&gt;&lt;_isbn&gt;0003-9926&lt;/_isbn&gt;&lt;_issue&gt;13&lt;/_issue&gt;&lt;_journal&gt;Archives of Internal Medicine&lt;/_journal&gt;&lt;_keywords&gt;adult; article; body weight; exercise; human; hypertension; major clinical study; priority journal; sitting; treatment outcome; body weight loss&lt;/_keywords&gt;&lt;_label&gt;HTN&lt;/_label&gt;&lt;_modified&gt;65653100&lt;/_modified&gt;&lt;_pages&gt;1947-1958&lt;/_pages&gt;&lt;_url&gt;https://www.embase.com/search/results?subaction=viewrecord&amp;amp;id=L30437579&amp;amp;from=export_x000d__x000a_http://dx.doi.org/10.1001/archinte.160.13.1947&lt;/_url&gt;&lt;_volume&gt;160&lt;/_volume&gt;&lt;/Details&gt;&lt;Extra&gt;&lt;DBUID&gt;{CCD8BC99-AC21-4495-A582-31CC77FC1918}&lt;/DBUID&gt;&lt;/Extra&gt;&lt;/Item&gt;&lt;/References&gt;&lt;/Group&gt;&lt;/Citation&gt;_x000a_"/>
    <w:docVar w:name="NE.Ref{ECF82236-B8D5-4066-87DF-7860DD7F0A71}" w:val=" ADDIN NE.Ref.{ECF82236-B8D5-4066-87DF-7860DD7F0A71}&lt;Citation&gt;&lt;Group&gt;&lt;References&gt;&lt;Item&gt;&lt;ID&gt;41024&lt;/ID&gt;&lt;UID&gt;{80EB07BE-2B56-408A-8AA2-A76716489543}&lt;/UID&gt;&lt;Title&gt;A Randomized Controlled Trial Comparing the Effects of Yoga With an Active Control on Ambulatory Blood Pressure in Individuals With Prehypertension and Stage 1 Hypertension&lt;/Title&gt;&lt;Template&gt;Journal Article&lt;/Template&gt;&lt;Star&gt;0&lt;/Star&gt;&lt;Tag&gt;1&lt;/Tag&gt;&lt;Author&gt;Hagins, M; Rundle, A; Consedine, N S; Khalsa, S B S&lt;/Author&gt;&lt;Year&gt;2014&lt;/Year&gt;&lt;Details&gt;&lt;_accessed&gt;65635120&lt;/_accessed&gt;&lt;_alternate_title&gt;J. Clin. Hypertens.&lt;/_alternate_title&gt;&lt;_author_adr&gt;M. Hagins, Department of Physical Therapy, Long Island University, One University Plaza, Brooklyn, NY, 11201, United States&lt;/_author_adr&gt;&lt;_collection_scope&gt;SCIE&lt;/_collection_scope&gt;&lt;_created&gt;65585604&lt;/_created&gt;&lt;_date&gt;2014-01-01&lt;/_date&gt;&lt;_date_display&gt;2014&lt;/_date_display&gt;&lt;_doi&gt;10.1111/jch.12244&lt;/_doi&gt;&lt;_impact_factor&gt;   2.885&lt;/_impact_factor&gt;&lt;_isbn&gt;1524-6175&lt;/_isbn&gt;&lt;_issue&gt;1&lt;/_issue&gt;&lt;_journal&gt;Journal of Clinical Hypertension&lt;/_journal&gt;&lt;_keywords&gt;NCT01542359; adult; article; blood pressure monitoring; blood pressure regulation; body mass; borderline hypertension; controlled study; diastolic blood pressure; energy; female; heart rate; human; hypertension; major clinical study; male; mean arterial pressure; middle aged; night; physical activity; prehypertension; priority journal; randomized controlled trial; sleep waking cycle; social interaction; stage 1 hypertension; systolic blood pressure; warm up; yoga&lt;/_keywords&gt;&lt;_label&gt;HTN&lt;/_label&gt;&lt;_modified&gt;65635120&lt;/_modified&gt;&lt;_pages&gt;54-62&lt;/_pages&gt;&lt;_social_category&gt;医学(3)&lt;/_social_category&gt;&lt;_url&gt;https://www.embase.com/search/results?subaction=viewrecord&amp;amp;id=L52947540&amp;amp;from=export_x000d__x000a_http://dx.doi.org/10.1111/jch.12244&lt;/_url&gt;&lt;_volume&gt;16&lt;/_volume&gt;&lt;/Details&gt;&lt;Extra&gt;&lt;DBUID&gt;{CCD8BC99-AC21-4495-A582-31CC77FC1918}&lt;/DBUID&gt;&lt;/Extra&gt;&lt;/Item&gt;&lt;/References&gt;&lt;/Group&gt;&lt;/Citation&gt;_x000a_"/>
    <w:docVar w:name="NE.Ref{F0D831FD-11D2-4D6A-899B-7D93EC7903E7}" w:val=" ADDIN NE.Ref.{F0D831FD-11D2-4D6A-899B-7D93EC7903E7}&lt;Citation&gt;&lt;Group&gt;&lt;References&gt;&lt;Item&gt;&lt;ID&gt;41904&lt;/ID&gt;&lt;UID&gt;{97F50F2C-B1F9-4935-A390-6C89C6BAEC4F}&lt;/UID&gt;&lt;Title&gt;Effect of High-Intensity Interval Training on Body Composition, Cardiorespiratory  Fitness, Blood Pressure, and Substrate Utilization During Exercise Among  Prehypertensive and Hypertensive Patients With Excessive Adiposity&lt;/Title&gt;&lt;Template&gt;Journal Article&lt;/Template&gt;&lt;Star&gt;0&lt;/Star&gt;&lt;Tag&gt;1&lt;/Tag&gt;&lt;Author&gt;Delgado-Floody, P; Izquierdo, M; Ramírez-Vélez, R; Caamaño-Navarrete, F; Moris, R; Jerez-Mayorga, D; Andrade, D C; Álvarez, C&lt;/Author&gt;&lt;Year&gt;2020&lt;/Year&gt;&lt;Details&gt;&lt;_accessed&gt;65629040&lt;/_accessed&gt;&lt;_accession_num&gt;33192554&lt;/_accession_num&gt;&lt;_author_adr&gt;Department of Physical Education, Sport and Recreation, Universidad de La  Frontera, Temuco, Chile.; Navarrabiomed, Complejo Hospitalario de Navarra (CHN)-Universidad Pública de  Navarra (UPNA), IdiSNA, Pamplona, Spain.; CIBER of Frailty and Healthy Aging (CIBERFES), Instituto de Salud Carlos III,  Madrid, Spain.; Grupo GICAEDS, Facultad de Cultura Física, Deporte y Recreación, Universidad  Santo Tomás, Bogotá, Colombia.; Navarrabiomed, Complejo Hospitalario de Navarra (CHN)-Universidad Pública de  Navarra (UPNA), IdiSNA, Pamplona, Spain.; CIBER of Frailty and Healthy Aging (CIBERFES), Instituto de Salud Carlos III,  Madrid, Spain.; Faculty of Education, Universidad Católica de Temuco, Temuco, Chile.; Department of Physical Education, Sport and Recreation, Universidad de La  Frontera, Temuco, Chile.; Faculty of Rehabilitation Sciences, Universidad Andres Bello, Santiago, Chile.; Centro de Investigación en Fisiología del Ejercicio, Universidad Mayor, Santiago,  Chile.; Quality of Life and Wellness Research Group, Department of Physical Activity  Sciences, Universidad de Los Lagos, Osorno, Chile.&lt;/_author_adr&gt;&lt;_collection_scope&gt;SCIE&lt;/_collection_scope&gt;&lt;_created&gt;65585604&lt;/_created&gt;&lt;_date&gt;2020-01-20&lt;/_date&gt;&lt;_date_display&gt;2020&lt;/_date_display&gt;&lt;_doi&gt;10.3389/fphys.2020.558910&lt;/_doi&gt;&lt;_impact_factor&gt;   4.755&lt;/_impact_factor&gt;&lt;_isbn&gt;1664-042X (Print); 1664-042X (Electronic); 1664-042X (Linking)&lt;/_isbn&gt;&lt;_journal&gt;Front Physiol&lt;/_journal&gt;&lt;_keywords&gt;blood pressure; cardiorespiratory fitness; hypertension; metabolic flexibility; obesity&lt;/_keywords&gt;&lt;_label&gt;HTN&lt;/_label&gt;&lt;_language&gt;eng&lt;/_language&gt;&lt;_modified&gt;65629040&lt;/_modified&gt;&lt;_ori_publication&gt;Copyright © 2020 Delgado-Floody, Izquierdo, Ramírez-Vélez, Caamaño-Navarrete, _x000d__x000a_      Moris, Jerez-Mayorga, Andrade and Álvarez.&lt;/_ori_publication&gt;&lt;_pages&gt;558910&lt;/_pages&gt;&lt;_social_category&gt;医学(2)&lt;/_social_category&gt;&lt;_tertiary_title&gt;Frontiers in physiology&lt;/_tertiary_title&gt;&lt;_type_work&gt;Journal Article&lt;/_type_work&gt;&lt;_url&gt;http://www.ncbi.nlm.nih.gov/entrez/query.fcgi?cmd=Retrieve&amp;amp;db=pubmed&amp;amp;dopt=Abstract&amp;amp;list_uids=33192554&amp;amp;query_hl=1&lt;/_url&gt;&lt;_volume&gt;11&lt;/_volume&gt;&lt;/Details&gt;&lt;Extra&gt;&lt;DBUID&gt;{CCD8BC99-AC21-4495-A582-31CC77FC1918}&lt;/DBUID&gt;&lt;/Extra&gt;&lt;/Item&gt;&lt;/References&gt;&lt;/Group&gt;&lt;/Citation&gt;_x000a_"/>
    <w:docVar w:name="NE.Ref{F1F19A7D-2E0B-4B36-AC7E-188E21EF5055}" w:val=" ADDIN NE.Ref.{F1F19A7D-2E0B-4B36-AC7E-188E21EF5055}&lt;Citation&gt;&lt;Group&gt;&lt;References&gt;&lt;Item&gt;&lt;ID&gt;39546&lt;/ID&gt;&lt;UID&gt;{7BEA06C6-6B5E-4D88-B337-B71E780E4B9C}&lt;/UID&gt;&lt;Title&gt;The effect of a theory-based health education program on physical activity and blood pressure in middle-aged women with pre-hypertension: A cluster randomized trial.&lt;/Title&gt;&lt;Template&gt;Journal Article&lt;/Template&gt;&lt;Star&gt;0&lt;/Star&gt;&lt;Tag&gt;1&lt;/Tag&gt;&lt;Author&gt;Jalilian, Mohsen; Koushki, Marjan; Saeedfiroozabadi, Malihe; Chenary, Roghayeh; Sayadi, Hojat; Mirzaei, Amin&lt;/Author&gt;&lt;Year&gt;2024&lt;/Year&gt;&lt;Details&gt;&lt;_accessed&gt;65635118&lt;/_accessed&gt;&lt;_alternate_title&gt;Journal of Human Behavior in the Social EnvironmentJournal of Human Behavior in the Social Environment&lt;/_alternate_title&gt;&lt;_author_adr&gt;Department of Public Health, Faculty of Health, Ilam University of Medical Sciences, Ilam, Iran; The Persian Gulf Tropical Medicine Research Center, the Persian Gulf Biomedical Sciences Research Institute, Bushehr University of Medical Sciences, Bushehr, Iran; Department of Biostatistics, Faculty of Health, Ilam University of Medical Sciences, Ilam, Iran&lt;/_author_adr&gt;&lt;_collection_scope&gt;ESCI&lt;/_collection_scope&gt;&lt;_created&gt;65585598&lt;/_created&gt;&lt;_date&gt;2024-10-01&lt;/_date&gt;&lt;_date_display&gt;2024/10//&lt;/_date_display&gt;&lt;_doi&gt;10.1080/10911359.2023.2237082&lt;/_doi&gt;&lt;_isbn&gt;1091-1359&lt;/_isbn&gt;&lt;_issue&gt;7&lt;/_issue&gt;&lt;_journal&gt;Journal of Human Behavior in the Social Environment&lt;/_journal&gt;&lt;_keywords&gt;Health Education; Program Evaluation; Physical Activity -- Education -- In Middle Age; Blood Pressure -- Education -- In Middle Age; Prehypertension; Women; Outcomes of Education; Human; Funding Source; Iran; Female; Adult; Middle Age; Randomized Controlled Trials; Random Assignment; Health Facilities; Pretest-Posttest Control Group Design; Cluster Sample; Questionnaires; Interviews; Descriptive Statistics; Summated Rating Scaling; Data Analysis Software; Ajzen&amp;apos;s Theory of Planned Behavior; T-Tests; Chi Square Test; Confidence Intervals; Attitude to Health; Online Education; Hypertension -- Prevention and Control; Behavioral Changes&lt;/_keywords&gt;&lt;_label&gt;INTERVENTION&lt;/_label&gt;&lt;_modified&gt;65635118&lt;/_modified&gt;&lt;_number&gt;179359882&lt;/_number&gt;&lt;_ori_publication&gt;Taylor &amp;amp; Francis Ltd&lt;/_ori_publication&gt;&lt;_pages&gt;1075-1088&lt;/_pages&gt;&lt;_place_published&gt;Philadelphia, Pennsylvania&lt;/_place_published&gt;&lt;_url&gt;https://search.ebscohost.com/login.aspx?direct=true&amp;amp;AuthType=sso&amp;amp;db=cul&amp;amp;AN=179359882&amp;amp;site=ehost-live&amp;amp;scope=site&amp;amp;custid=s6636215&lt;/_url&gt;&lt;_volume&gt;34&lt;/_volume&gt;&lt;/Details&gt;&lt;Extra&gt;&lt;DBUID&gt;{CCD8BC99-AC21-4495-A582-31CC77FC1918}&lt;/DBUID&gt;&lt;/Extra&gt;&lt;/Item&gt;&lt;/References&gt;&lt;/Group&gt;&lt;/Citation&gt;_x000a_"/>
    <w:docVar w:name="NE.Ref{F3E63DCA-5ED1-4C3C-A121-7C0646C8F69F}" w:val=" ADDIN NE.Ref.{F3E63DCA-5ED1-4C3C-A121-7C0646C8F69F}&lt;Citation&gt;&lt;Group&gt;&lt;References&gt;&lt;Item&gt;&lt;ID&gt;41119&lt;/ID&gt;&lt;UID&gt;{866FBA80-1053-4CB7-AAD3-F59D15D2A219}&lt;/UID&gt;&lt;Title&gt;Decreased exercise blood pressure in older adults after exercise training: contributions of increased fitness and decreased fatness.&lt;/Title&gt;&lt;Template&gt;Journal Article&lt;/Template&gt;&lt;Star&gt;0&lt;/Star&gt;&lt;Tag&gt;1&lt;/Tag&gt;&lt;Author&gt;Barone, B B; Wang, N Y; Bacher, A C; Stewart, K J&lt;/Author&gt;&lt;Year&gt;2009&lt;/Year&gt;&lt;Details&gt;&lt;_accessed&gt;65628950&lt;/_accessed&gt;&lt;_alternate_title&gt;Br J Sports Med&lt;/_alternate_title&gt;&lt;_author_adr&gt;B.B. Barone, Bloomberg School of Public Health, Johns Hopkins University, Baltimore, MD 21205, USA.&lt;/_author_adr&gt;&lt;_collection_scope&gt;SCIE&lt;/_collection_scope&gt;&lt;_created&gt;65585604&lt;/_created&gt;&lt;_date&gt;2009-01-01&lt;/_date&gt;&lt;_date_display&gt;2009&lt;/_date_display&gt;&lt;_impact_factor&gt;  18.473&lt;/_impact_factor&gt;&lt;_isbn&gt;1473-0480&lt;/_isbn&gt;&lt;_issue&gt;1&lt;/_issue&gt;&lt;_journal&gt;British journal of sports medicine&lt;/_journal&gt;&lt;_keywords&gt;adipose tissue; aged; article; body composition; clinical trial; controlled clinical trial; controlled study; exercise test; female; fitness; heart rate; human; hypertension; kinesiotherapy; male; methodology; middle aged; multivariate analysis; pathophysiology; photon absorptiometry; physiology; prospective study; randomized controlled trial; waist circumference&lt;/_keywords&gt;&lt;_label&gt;HTN&lt;/_label&gt;&lt;_modified&gt;65628950&lt;/_modified&gt;&lt;_pages&gt;52-56&lt;/_pages&gt;&lt;_social_category&gt;医学(1)&lt;/_social_category&gt;&lt;_url&gt;https://www.embase.com/search/results?subaction=viewrecord&amp;amp;id=L354244150&amp;amp;from=export&lt;/_url&gt;&lt;_volume&gt;43&lt;/_volume&gt;&lt;/Details&gt;&lt;Extra&gt;&lt;DBUID&gt;{CCD8BC99-AC21-4495-A582-31CC77FC1918}&lt;/DBUID&gt;&lt;/Extra&gt;&lt;/Item&gt;&lt;/References&gt;&lt;/Group&gt;&lt;/Citation&gt;_x000a_"/>
    <w:docVar w:name="NE.Ref{F526AF37-9416-439A-9949-B7371CFD2EA6}" w:val=" ADDIN NE.Ref.{F526AF37-9416-439A-9949-B7371CFD2EA6}&lt;Citation&gt;&lt;Group&gt;&lt;References&gt;&lt;Item&gt;&lt;ID&gt;41034&lt;/ID&gt;&lt;UID&gt;{8E67F2FB-BBE1-416C-AF74-0B0286130DF8}&lt;/UID&gt;&lt;Title&gt;Exercise training reduces peripheral arterial stiffness and myocardial oxygen demand in young prehypertensive subjects&lt;/Title&gt;&lt;Template&gt;Journal Article&lt;/Template&gt;&lt;Star&gt;0&lt;/Star&gt;&lt;Tag&gt;1&lt;/Tag&gt;&lt;Author&gt;Beck, D T; Martin, J S; Casey, D P; Braith, R W&lt;/Author&gt;&lt;Year&gt;2013&lt;/Year&gt;&lt;Details&gt;&lt;_accessed&gt;65653100&lt;/_accessed&gt;&lt;_alternate_title&gt;Am. J. Hypertens.&lt;/_alternate_title&gt;&lt;_author_adr&gt;D.T. Beck, Malcom Randall VA Medical Center, Geriatric Research Education and Clinical Center, Gainesville, FL, United States&lt;/_author_adr&gt;&lt;_collection_scope&gt;SCIE&lt;/_collection_scope&gt;&lt;_created&gt;65585604&lt;/_created&gt;&lt;_date&gt;2013-01-01&lt;/_date&gt;&lt;_date_display&gt;2013&lt;/_date_display&gt;&lt;_doi&gt;10.1093/ajh/hpt080&lt;/_doi&gt;&lt;_impact_factor&gt;   3.080&lt;/_impact_factor&gt;&lt;_isbn&gt;0895-7061&lt;/_isbn&gt;&lt;_issue&gt;9&lt;/_issue&gt;&lt;_journal&gt;American Journal of Hypertension&lt;/_journal&gt;&lt;_keywords&gt;adult; arterial stiffness; article; augmentation index; clinical article; controlled study; diastolic blood pressure; disease course; endurance training; exercise; female; heart muscle oxygen consumption; human; male; oxygen consumption; prehypertension; priority journal; pulse wave; resistance training; systolic blood pressure&lt;/_keywords&gt;&lt;_label&gt;REPEAT&lt;/_label&gt;&lt;_modified&gt;65653100&lt;/_modified&gt;&lt;_pages&gt;1093-1102&lt;/_pages&gt;&lt;_social_category&gt;医学(3)&lt;/_social_category&gt;&lt;_url&gt;https://www.embase.com/search/results?subaction=viewrecord&amp;amp;id=L369611196&amp;amp;from=export_x000d__x000a_http://dx.doi.org/10.1093/ajh/hpt080&lt;/_url&gt;&lt;_volume&gt;26&lt;/_volume&gt;&lt;/Details&gt;&lt;Extra&gt;&lt;DBUID&gt;{CCD8BC99-AC21-4495-A582-31CC77FC1918}&lt;/DBUID&gt;&lt;/Extra&gt;&lt;/Item&gt;&lt;/References&gt;&lt;/Group&gt;&lt;/Citation&gt;_x000a_"/>
    <w:docVar w:name="NE.Ref{F615D10A-FBDB-4BAA-AFF8-8D920743504E}" w:val=" ADDIN NE.Ref.{F615D10A-FBDB-4BAA-AFF8-8D920743504E}&lt;Citation&gt;&lt;Group&gt;&lt;References&gt;&lt;Item&gt;&lt;ID&gt;40985&lt;/ID&gt;&lt;UID&gt;{1976F0F8-3054-43FC-9FB9-05250A6A3B8A}&lt;/UID&gt;&lt;Title&gt;Walking Workstation Use Reduces Ambulatory Blood Pressure in Adults With Prehypertension&lt;/Title&gt;&lt;Template&gt;Journal Article&lt;/Template&gt;&lt;Star&gt;0&lt;/Star&gt;&lt;Tag&gt;1&lt;/Tag&gt;&lt;Author&gt;Zeigler, Z S; Swan, P D; Bhammar, D M; Gaesser, G A&lt;/Author&gt;&lt;Year&gt;2015&lt;/Year&gt;&lt;Details&gt;&lt;_accessed&gt;65628968&lt;/_accessed&gt;&lt;_alternate_title&gt;J Phys Act Health&lt;/_alternate_title&gt;&lt;_collection_scope&gt;SSCI&lt;/_collection_scope&gt;&lt;_created&gt;65585604&lt;/_created&gt;&lt;_date&gt;2015-01-01&lt;/_date&gt;&lt;_date_display&gt;2015&lt;/_date_display&gt;&lt;_doi&gt;10.1123/jpah.2013-0487&lt;/_doi&gt;&lt;_impact_factor&gt;   3.000&lt;/_impact_factor&gt;&lt;_isbn&gt;1543-5474&lt;/_isbn&gt;&lt;_journal&gt;Journal of physical activity &amp;amp; health&lt;/_journal&gt;&lt;_keywords&gt;adult; blood pressure; blood pressure monitoring; controlled study; crossover procedure; female; human; hypertension; male; middle aged; pathophysiology; physiology; prehypertension; procedures; psychology; questionnaire; randomized controlled trial; sedentary lifestyle; walking&lt;/_keywords&gt;&lt;_label&gt;ACUTE&lt;/_label&gt;&lt;_modified&gt;65628968&lt;/_modified&gt;&lt;_pages&gt;S119-S127&lt;/_pages&gt;&lt;_social_category&gt;医学(4)&lt;/_social_category&gt;&lt;_url&gt;https://www.embase.com/search/results?subaction=viewrecord&amp;amp;id=L607887748&amp;amp;from=export_x000d__x000a_http://dx.doi.org/10.1123/jpah.2013-0487&lt;/_url&gt;&lt;_volume&gt;12&lt;/_volume&gt;&lt;/Details&gt;&lt;Extra&gt;&lt;DBUID&gt;{CCD8BC99-AC21-4495-A582-31CC77FC1918}&lt;/DBUID&gt;&lt;/Extra&gt;&lt;/Item&gt;&lt;/References&gt;&lt;/Group&gt;&lt;/Citation&gt;_x000a_"/>
    <w:docVar w:name="NE.Ref{F6A36B4F-447E-49FA-B986-7F88F4011C6A}" w:val=" ADDIN NE.Ref.{F6A36B4F-447E-49FA-B986-7F88F4011C6A}&lt;Citation&gt;&lt;Group&gt;&lt;References&gt;&lt;Item&gt;&lt;ID&gt;41173&lt;/ID&gt;&lt;UID&gt;{8DA1D3E9-3404-45FA-993D-4D43825781F1}&lt;/UID&gt;&lt;Title&gt;Effect of exercise training on ambulatory blood pressure&lt;/Title&gt;&lt;Template&gt;Journal Article&lt;/Template&gt;&lt;Star&gt;0&lt;/Star&gt;&lt;Tag&gt;1&lt;/Tag&gt;&lt;Author&gt;Wijnen, J A G; Kool, M J F; Van Baak, M A; Kuipers, H; De Haan, C H A; Verstappen, F T J; Struijker Boudier, H A J; Van Bortel, L M A B&lt;/Author&gt;&lt;Year&gt;1994&lt;/Year&gt;&lt;Details&gt;&lt;_accessed&gt;65630550&lt;/_accessed&gt;&lt;_alternate_title&gt;INT. J. SPORTS MED.&lt;/_alternate_title&gt;&lt;_author_adr&gt;J.A.G. Wijnen, Department of Pharmacology, University of Limburg, PO Box 616, 6200 MD Maastricht, Netherlands&lt;/_author_adr&gt;&lt;_collection_scope&gt;SCIE&lt;/_collection_scope&gt;&lt;_created&gt;65585604&lt;/_created&gt;&lt;_date&gt;1994-01-01&lt;/_date&gt;&lt;_date_display&gt;1994&lt;/_date_display&gt;&lt;_doi&gt;10.1055/s-2007-1021012&lt;/_doi&gt;&lt;_impact_factor&gt;   2.997&lt;/_impact_factor&gt;&lt;_isbn&gt;0172-4622&lt;/_isbn&gt;&lt;_issue&gt;1&lt;/_issue&gt;&lt;_journal&gt;International Journal of Sports Medicine&lt;/_journal&gt;&lt;_keywords&gt;adult; ambulatory monitoring; article; bicycle ergometry; blood pressure; blood pressure monitoring; clinical article; clinical trial; controlled clinical trial; controlled study; crossover procedure; diastolic blood pressure; endurance; exercise; heart output; heart rate; heart stroke volume; human; male; randomized controlled trial; reproducibility; sitting; systemic vascular resistance; systolic blood pressure&lt;/_keywords&gt;&lt;_label&gt;HTN&lt;/_label&gt;&lt;_modified&gt;65630550&lt;/_modified&gt;&lt;_pages&gt;10-15&lt;/_pages&gt;&lt;_social_category&gt;医学(4)&lt;/_social_category&gt;&lt;_url&gt;https://www.embase.com/search/results?subaction=viewrecord&amp;amp;id=L24051859&amp;amp;from=export_x000d__x000a_http://dx.doi.org/10.1055/s-2007-1021012&lt;/_url&gt;&lt;_volume&gt;15&lt;/_volume&gt;&lt;/Details&gt;&lt;Extra&gt;&lt;DBUID&gt;{CCD8BC99-AC21-4495-A582-31CC77FC1918}&lt;/DBUID&gt;&lt;/Extra&gt;&lt;/Item&gt;&lt;/References&gt;&lt;/Group&gt;&lt;/Citation&gt;_x000a_"/>
    <w:docVar w:name="NE.Ref{FBB92978-CF8D-4978-B600-F631DBD4B438}" w:val=" ADDIN NE.Ref.{FBB92978-CF8D-4978-B600-F631DBD4B438}&lt;Citation&gt;&lt;Group&gt;&lt;References&gt;&lt;Item&gt;&lt;ID&gt;42077&lt;/ID&gt;&lt;UID&gt;{809352FA-7211-42DF-B3FB-7C085C92B0BB}&lt;/UID&gt;&lt;Title&gt;Sex differences in resting hemodynamics and arterial stiffness following 4 weeks  of resistance versus aerobic exercise training in individuals with  pre-hypertension to stage 1 hypertension&lt;/Title&gt;&lt;Template&gt;Journal Article&lt;/Template&gt;&lt;Star&gt;0&lt;/Star&gt;&lt;Tag&gt;1&lt;/Tag&gt;&lt;Author&gt;Collier, S R; Frechette, V; Sandberg, K; Schafer, P; Ji, H; Smulyan, H; Fernhall, B&lt;/Author&gt;&lt;Year&gt;2011&lt;/Year&gt;&lt;Details&gt;&lt;_accessed&gt;65629024&lt;/_accessed&gt;&lt;_accession_num&gt;21867499&lt;/_accession_num&gt;&lt;_author_adr&gt;Vascular Biology and Autonomic Studies Laboratory, Appalachian State University,  111 Rivers Street, Boone, NC 28608, USA. colliersr@appstate.edu.&lt;/_author_adr&gt;&lt;_collection_scope&gt;SCIE&lt;/_collection_scope&gt;&lt;_created&gt;65585604&lt;/_created&gt;&lt;_date&gt;2011-08-25&lt;/_date&gt;&lt;_date_display&gt;2011 Aug 25&lt;/_date_display&gt;&lt;_doi&gt;10.1186/2042-6410-2-9&lt;/_doi&gt;&lt;_impact_factor&gt;   8.811&lt;/_impact_factor&gt;&lt;_isbn&gt;2042-6410 (Electronic); 2042-6410 (Linking)&lt;/_isbn&gt;&lt;_issue&gt;1&lt;/_issue&gt;&lt;_journal&gt;Biol Sex Differ&lt;/_journal&gt;&lt;_label&gt;HTN&lt;/_label&gt;&lt;_language&gt;eng&lt;/_language&gt;&lt;_modified&gt;65629024&lt;/_modified&gt;&lt;_pages&gt;9&lt;/_pages&gt;&lt;_social_category&gt;医学(2)&lt;/_social_category&gt;&lt;_tertiary_title&gt;Biology of sex differences&lt;/_tertiary_title&gt;&lt;_type_work&gt;Journal Article&lt;/_type_work&gt;&lt;_url&gt;http://www.ncbi.nlm.nih.gov/entrez/query.fcgi?cmd=Retrieve&amp;amp;db=pubmed&amp;amp;dopt=Abstract&amp;amp;list_uids=21867499&amp;amp;query_hl=1&lt;/_url&gt;&lt;_volume&gt;2&lt;/_volume&gt;&lt;/Details&gt;&lt;Extra&gt;&lt;DBUID&gt;{CCD8BC99-AC21-4495-A582-31CC77FC1918}&lt;/DBUID&gt;&lt;/Extra&gt;&lt;/Item&gt;&lt;/References&gt;&lt;/Group&gt;&lt;/Citation&gt;_x000a_"/>
    <w:docVar w:name="NE.Ref{FE0023FE-94E6-43D0-B196-2F18E61E189C}" w:val=" ADDIN NE.Ref.{FE0023FE-94E6-43D0-B196-2F18E61E189C}&lt;Citation&gt;&lt;Group&gt;&lt;References&gt;&lt;Item&gt;&lt;ID&gt;39536&lt;/ID&gt;&lt;UID&gt;{A00772F1-479E-40C7-AA4E-01C8A4B925A7}&lt;/UID&gt;&lt;Title&gt;Investigation of the effects of 8-week Nordic and traditional walking training on blood pressure in prehypertensive postmenopausal women.&lt;/Title&gt;&lt;Template&gt;Journal Article&lt;/Template&gt;&lt;Star&gt;0&lt;/Star&gt;&lt;Tag&gt;1&lt;/Tag&gt;&lt;Author&gt;Tekn, Ebru; Ünver, Fatma; Yaylalı, Yalın Tolga&lt;/Author&gt;&lt;Year&gt;2023&lt;/Year&gt;&lt;Details&gt;&lt;_accessed&gt;65630798&lt;/_accessed&gt;&lt;_alternate_title&gt;Spor Hekimligi Dergisi/Turkish Journal of Sports MedicineSpor Hekimligi Dergisi/Turkish Journal of Sports Medicine&lt;/_alternate_title&gt;&lt;_author_adr&gt;Therapyand Rehabilitaton, Bigadiç Vocational School, Balıkesr University, Balıkesr, Türkiye.; Department of Physiotherapy and Rehabiltiation, Faculty of Physiotherapy and Rehabilitation, Pamukkale Universtiy, Denizil, Türkiye.; Department of Cardology, Faculty of Medcne, Pamukkale Unversty, Denzl, Türkiye.&lt;/_author_adr&gt;&lt;_created&gt;65585598&lt;/_created&gt;&lt;_date&gt;2023-09-01&lt;/_date&gt;&lt;_date_display&gt;2023/09//&lt;/_date_display&gt;&lt;_doi&gt;10.47447/tjsm.0717&lt;/_doi&gt;&lt;_isbn&gt;1300-0551&lt;/_isbn&gt;&lt;_issue&gt;3&lt;/_issue&gt;&lt;_journal&gt;Spor Hekimligi Dergisi/Turkish Journal of Sports Medicine&lt;/_journal&gt;&lt;_keywords&gt;Nordic Walking -- Education; Blood Pressure -- Evaluation; Heart Rate -- Evaluation; Relaxation; Prehypertension -- Therapy; Postmenopause; Women&amp;apos;s Health; Human; Middle Age; Aged; Randomized Controlled Trials; Therapeutic Exercise -- Methods; Body Composition -- Evaluation; Body Weight -- Evaluation; Body Mass Index -- Evaluation; Hip -- Anatomy and Histology; Systolic Pressure -- Evaluation; Diastolic Pressure -- Evaluation; Effect Size; Life Style, Sedentary; DASH Diet; Wearable Sensors; Confidence Intervals; Data Analysis Software; Anthropometry; Funding Source&lt;/_keywords&gt;&lt;_label&gt;HTN&lt;/_label&gt;&lt;_modified&gt;65630798&lt;/_modified&gt;&lt;_number&gt;171862786&lt;/_number&gt;&lt;_ori_publication&gt;Turkish Journal of Sports Medicine / Spor Hekimleri Dernegi&lt;/_ori_publication&gt;&lt;_pages&gt;112-117&lt;/_pages&gt;&lt;_url&gt;https://search.ebscohost.com/login.aspx?direct=true&amp;amp;AuthType=sso&amp;amp;db=cul&amp;amp;AN=171862786&amp;amp;site=ehost-live&amp;amp;scope=site&amp;amp;custid=s6636215&lt;/_url&gt;&lt;_volume&gt;58&lt;/_volume&gt;&lt;/Details&gt;&lt;Extra&gt;&lt;DBUID&gt;{CCD8BC99-AC21-4495-A582-31CC77FC1918}&lt;/DBUID&gt;&lt;/Extra&gt;&lt;/Item&gt;&lt;/References&gt;&lt;/Group&gt;&lt;/Citation&gt;_x000a_"/>
    <w:docVar w:name="ne_docsoft" w:val="MSWord"/>
    <w:docVar w:name="ne_docversion" w:val="NoteExpress 2.0"/>
    <w:docVar w:name="ne_stylename" w:val="BMJ reference"/>
  </w:docVars>
  <w:rsids>
    <w:rsidRoot w:val="00172A27"/>
    <w:rsid w:val="02EA7B5C"/>
    <w:rsid w:val="0A4C1970"/>
    <w:rsid w:val="0FA062BA"/>
    <w:rsid w:val="10EC17B7"/>
    <w:rsid w:val="12AD1419"/>
    <w:rsid w:val="12AD2E34"/>
    <w:rsid w:val="165E0162"/>
    <w:rsid w:val="20FC2B2A"/>
    <w:rsid w:val="22FB3ADB"/>
    <w:rsid w:val="24763D61"/>
    <w:rsid w:val="25F0369F"/>
    <w:rsid w:val="2E556795"/>
    <w:rsid w:val="30AD0B0B"/>
    <w:rsid w:val="30E738F1"/>
    <w:rsid w:val="32786EF6"/>
    <w:rsid w:val="33A855B9"/>
    <w:rsid w:val="35492DCC"/>
    <w:rsid w:val="35775243"/>
    <w:rsid w:val="366E40B8"/>
    <w:rsid w:val="368A71F8"/>
    <w:rsid w:val="3C7249B6"/>
    <w:rsid w:val="3F6F1681"/>
    <w:rsid w:val="40302BBE"/>
    <w:rsid w:val="41006334"/>
    <w:rsid w:val="4161419B"/>
    <w:rsid w:val="49F7299F"/>
    <w:rsid w:val="4D926C66"/>
    <w:rsid w:val="4E4B45D1"/>
    <w:rsid w:val="536C1D08"/>
    <w:rsid w:val="566C1DBE"/>
    <w:rsid w:val="599D70BF"/>
    <w:rsid w:val="5B4E6197"/>
    <w:rsid w:val="5B715278"/>
    <w:rsid w:val="5D2B2C34"/>
    <w:rsid w:val="5D9205BD"/>
    <w:rsid w:val="5F926F9A"/>
    <w:rsid w:val="62436329"/>
    <w:rsid w:val="636C4BE7"/>
    <w:rsid w:val="63FE4BFE"/>
    <w:rsid w:val="640E13F5"/>
    <w:rsid w:val="641066DF"/>
    <w:rsid w:val="65EA1523"/>
    <w:rsid w:val="6A86594D"/>
    <w:rsid w:val="6A9516EC"/>
    <w:rsid w:val="6B264A3A"/>
    <w:rsid w:val="6C691082"/>
    <w:rsid w:val="6E867CCA"/>
    <w:rsid w:val="6F3F60CB"/>
    <w:rsid w:val="6F871F4B"/>
    <w:rsid w:val="71CC2B3F"/>
    <w:rsid w:val="7571371B"/>
    <w:rsid w:val="76FC79DE"/>
    <w:rsid w:val="7BFD3595"/>
    <w:rsid w:val="7E5F22E5"/>
    <w:rsid w:val="7F7B314F"/>
    <w:rsid w:val="7F853F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itle"/>
    <w:basedOn w:val="1"/>
    <w:next w:val="1"/>
    <w:qFormat/>
    <w:uiPriority w:val="0"/>
    <w:pPr>
      <w:suppressLineNumbers/>
      <w:spacing w:before="240" w:after="360"/>
      <w:jc w:val="center"/>
    </w:pPr>
    <w:rPr>
      <w:rFonts w:cs="Times New Roman"/>
      <w:b/>
      <w:sz w:val="32"/>
      <w:szCs w:val="32"/>
    </w:rPr>
  </w:style>
  <w:style w:type="table" w:styleId="7">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unhideWhenUsed/>
    <w:qFormat/>
    <w:uiPriority w:val="99"/>
    <w:rPr>
      <w:color w:val="0026E5" w:themeColor="hyperlink"/>
      <w:u w:val="single"/>
      <w14:textFill>
        <w14:solidFill>
          <w14:schemeClr w14:val="hlink"/>
        </w14:solidFill>
      </w14:textFill>
    </w:rPr>
  </w:style>
  <w:style w:type="paragraph" w:customStyle="1" w:styleId="10">
    <w:name w:val="Default"/>
    <w:qFormat/>
    <w:uiPriority w:val="0"/>
    <w:pPr>
      <w:widowControl w:val="0"/>
      <w:autoSpaceDE w:val="0"/>
      <w:autoSpaceDN w:val="0"/>
      <w:adjustRightInd w:val="0"/>
    </w:pPr>
    <w:rPr>
      <w:rFonts w:ascii="Calibri" w:hAnsi="Calibri" w:eastAsia="等线" w:cs="Calibri"/>
      <w:color w:val="000000"/>
      <w:kern w:val="0"/>
      <w:sz w:val="24"/>
      <w:szCs w:val="24"/>
      <w:lang w:val="en-CA" w:eastAsia="en-CA" w:bidi="ar-SA"/>
    </w:rPr>
  </w:style>
  <w:style w:type="paragraph" w:customStyle="1" w:styleId="11">
    <w:name w:val="CM1"/>
    <w:basedOn w:val="10"/>
    <w:next w:val="10"/>
    <w:qFormat/>
    <w:uiPriority w:val="0"/>
    <w:rPr>
      <w:rFonts w:cs="Times New Roman"/>
      <w:color w:val="auto"/>
    </w:rPr>
  </w:style>
  <w:style w:type="paragraph" w:customStyle="1" w:styleId="12">
    <w:name w:val="Supplementary Material"/>
    <w:basedOn w:val="5"/>
    <w:next w:val="5"/>
    <w:qFormat/>
    <w:uiPriority w:val="0"/>
    <w:pPr>
      <w:spacing w:after="120"/>
    </w:pPr>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146</Words>
  <Characters>988</Characters>
  <Lines>0</Lines>
  <Paragraphs>0</Paragraphs>
  <TotalTime>3</TotalTime>
  <ScaleCrop>false</ScaleCrop>
  <LinksUpToDate>false</LinksUpToDate>
  <CharactersWithSpaces>1113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2024-10-19T07:27:00Z</dcterms:created>
  <dc:creator>天天*^_^*</dc:creator>
  <cp:lastModifiedBy>天天*^_^*</cp:lastModifiedBy>
  <dcterms:modified xsi:type="dcterms:W3CDTF">2025-06-20T08:17:22Z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8FD0256B0EF74228B241EAB3194F4CBE_11</vt:lpwstr>
  </property>
  <property fmtid="{D5CDD505-2E9C-101B-9397-08002B2CF9AE}" pid="4" name="KSOTemplateDocerSaveRecord">
    <vt:lpwstr>eyJoZGlkIjoiZGViNTljZTJlODExMjUwMzczYzRkZWFmNmY0MDEzZGIiLCJ1c2VySWQiOiIyNDIzODM1MTMifQ==</vt:lpwstr>
  </property>
</Properties>
</file>