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3A" w:rsidRPr="00370775" w:rsidRDefault="00401B3A" w:rsidP="00401B3A">
      <w:pPr>
        <w:tabs>
          <w:tab w:val="left" w:pos="1453"/>
        </w:tabs>
        <w:bidi w:val="0"/>
        <w:spacing w:line="480" w:lineRule="auto"/>
        <w:jc w:val="center"/>
        <w:rPr>
          <w:rFonts w:asciiTheme="minorBidi" w:hAnsiTheme="minorBidi"/>
          <w:sz w:val="20"/>
          <w:szCs w:val="20"/>
          <w:lang w:bidi="ar-EG"/>
        </w:rPr>
      </w:pPr>
      <w:r w:rsidRPr="00370775">
        <w:rPr>
          <w:rFonts w:asciiTheme="minorBidi" w:hAnsiTheme="minorBidi"/>
          <w:sz w:val="20"/>
          <w:szCs w:val="20"/>
          <w:lang w:bidi="ar-EG"/>
        </w:rPr>
        <w:t>Table.S1. Nonlinear equations of kinetic, classic isotherm, and advanced isotherm models</w:t>
      </w:r>
    </w:p>
    <w:tbl>
      <w:tblPr>
        <w:tblStyle w:val="LightShading1"/>
        <w:tblW w:w="10031" w:type="dxa"/>
        <w:jc w:val="center"/>
        <w:tblLook w:val="04A0" w:firstRow="1" w:lastRow="0" w:firstColumn="1" w:lastColumn="0" w:noHBand="0" w:noVBand="1"/>
      </w:tblPr>
      <w:tblGrid>
        <w:gridCol w:w="2518"/>
        <w:gridCol w:w="3260"/>
        <w:gridCol w:w="4253"/>
      </w:tblGrid>
      <w:tr w:rsidR="00401B3A" w:rsidRPr="00370775" w:rsidTr="00323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3"/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Kinetic models</w:t>
            </w:r>
          </w:p>
        </w:tc>
      </w:tr>
      <w:tr w:rsidR="00401B3A" w:rsidRPr="00370775" w:rsidTr="0032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Model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Equation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Parameters</w:t>
            </w:r>
          </w:p>
        </w:tc>
      </w:tr>
      <w:tr w:rsidR="00401B3A" w:rsidRPr="00370775" w:rsidTr="003236BB">
        <w:trPr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jc w:val="both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Pseudo-first-order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1B3A" w:rsidRPr="00370775" w:rsidRDefault="00E35B78" w:rsidP="00323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 w:themeColor="text1"/>
                        <w:sz w:val="16"/>
                        <w:szCs w:val="16"/>
                      </w:rPr>
                      <m:t xml:space="preserve">t 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 xml:space="preserve"> (1-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e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-k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.t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)</m:t>
                </m:r>
              </m:oMath>
            </m:oMathPara>
          </w:p>
          <w:p w:rsidR="00401B3A" w:rsidRPr="00370775" w:rsidRDefault="00401B3A" w:rsidP="003236B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proofErr w:type="spellStart"/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Q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vertAlign w:val="subscript"/>
                <w:lang w:bidi="ar-EG"/>
              </w:rPr>
              <w:t>t</w:t>
            </w:r>
            <w:proofErr w:type="spellEnd"/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vertAlign w:val="subscript"/>
                <w:lang w:bidi="ar-EG"/>
              </w:rPr>
              <w:t xml:space="preserve"> 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(mg/g) is the adsorbed ions at time (t), and K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vertAlign w:val="subscript"/>
                <w:lang w:bidi="ar-EG"/>
              </w:rPr>
              <w:t>1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 xml:space="preserve"> is the rate constant of the first-order adsorption (1/min)</w:t>
            </w:r>
          </w:p>
        </w:tc>
      </w:tr>
      <w:tr w:rsidR="00401B3A" w:rsidRPr="00370775" w:rsidTr="0032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jc w:val="both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Pseudo-second-order</w:t>
            </w:r>
          </w:p>
        </w:tc>
        <w:tc>
          <w:tcPr>
            <w:tcW w:w="3260" w:type="dxa"/>
            <w:shd w:val="clear" w:color="auto" w:fill="auto"/>
            <w:hideMark/>
          </w:tcPr>
          <w:p w:rsidR="00401B3A" w:rsidRPr="00370775" w:rsidRDefault="00E35B78" w:rsidP="003236BB">
            <w:pPr>
              <w:bidi w:val="0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 xml:space="preserve">e 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e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4253" w:type="dxa"/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Qe is the quantity of adsorbed ions after equilibration (mg/g)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, and K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vertAlign w:val="subscript"/>
                <w:lang w:bidi="ar-EG"/>
              </w:rPr>
              <w:t>2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 xml:space="preserve"> is the model rate constant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(g/mg min).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 xml:space="preserve">  </w:t>
            </w:r>
          </w:p>
        </w:tc>
      </w:tr>
      <w:tr w:rsidR="00401B3A" w:rsidRPr="00370775" w:rsidTr="003236B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Classic Isotherm models</w:t>
            </w:r>
          </w:p>
        </w:tc>
      </w:tr>
      <w:tr w:rsidR="00401B3A" w:rsidRPr="00370775" w:rsidTr="0032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Model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Equation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Parameters</w:t>
            </w:r>
          </w:p>
        </w:tc>
      </w:tr>
      <w:tr w:rsidR="00401B3A" w:rsidRPr="00370775" w:rsidTr="003236BB">
        <w:trPr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401B3A" w:rsidRPr="00370775" w:rsidRDefault="00401B3A" w:rsidP="003236BB">
            <w:pPr>
              <w:bidi w:val="0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</w:p>
          <w:p w:rsidR="00401B3A" w:rsidRPr="00370775" w:rsidRDefault="00401B3A" w:rsidP="003236BB">
            <w:pPr>
              <w:bidi w:val="0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Langmuir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01B3A" w:rsidRPr="00370775" w:rsidRDefault="00E35B78" w:rsidP="003236B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  <w:lang w:bidi="ar-EG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  <w:lang w:bidi="ar-EG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  <w:lang w:bidi="ar-EG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  <w:lang w:bidi="ar-EG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  <w:lang w:bidi="ar-EG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  <w:lang w:bidi="ar-E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  <w:lang w:bidi="ar-EG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  <w:lang w:bidi="ar-EG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  <w:lang w:bidi="ar-EG"/>
                      </w:rPr>
                      <m:t xml:space="preserve"> b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  <w:lang w:bidi="ar-E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  <w:lang w:bidi="ar-EG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  <w:lang w:bidi="ar-EG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  <w:lang w:bidi="ar-EG"/>
                      </w:rPr>
                      <m:t>(1+b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  <w:lang w:bidi="ar-E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  <w:lang w:bidi="ar-EG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  <w:lang w:bidi="ar-EG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  <w:lang w:bidi="ar-EG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  <w:lang w:bidi="ar-EG"/>
                  </w:rPr>
                  <m:t xml:space="preserve">   </m:t>
                </m:r>
              </m:oMath>
            </m:oMathPara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01B3A" w:rsidRPr="00370775" w:rsidRDefault="00401B3A" w:rsidP="003236BB">
            <w:pPr>
              <w:bidi w:val="0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i/>
                <w:iCs/>
                <w:noProof/>
                <w:color w:val="000000" w:themeColor="text1"/>
                <w:sz w:val="16"/>
                <w:szCs w:val="16"/>
              </w:rPr>
              <w:t>C</w:t>
            </w:r>
            <w:r w:rsidRPr="00370775">
              <w:rPr>
                <w:rFonts w:asciiTheme="minorBidi" w:hAnsiTheme="minorBidi"/>
                <w:i/>
                <w:iCs/>
                <w:noProof/>
                <w:color w:val="000000" w:themeColor="text1"/>
                <w:sz w:val="16"/>
                <w:szCs w:val="16"/>
                <w:vertAlign w:val="subscript"/>
              </w:rPr>
              <w:t>e</w:t>
            </w:r>
            <w:r w:rsidRPr="00370775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 xml:space="preserve">  is  the rest ions concentrations (mg/L)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 xml:space="preserve">,  </w:t>
            </w:r>
            <w:r w:rsidRPr="00370775">
              <w:rPr>
                <w:rFonts w:asciiTheme="minorBidi" w:hAnsiTheme="minorBidi"/>
                <w:i/>
                <w:iCs/>
                <w:noProof/>
                <w:color w:val="000000" w:themeColor="text1"/>
                <w:sz w:val="16"/>
                <w:szCs w:val="16"/>
              </w:rPr>
              <w:t>Q</w:t>
            </w:r>
            <w:r w:rsidRPr="00370775">
              <w:rPr>
                <w:rFonts w:asciiTheme="minorBidi" w:hAnsiTheme="minorBidi"/>
                <w:i/>
                <w:iCs/>
                <w:noProof/>
                <w:color w:val="000000" w:themeColor="text1"/>
                <w:sz w:val="16"/>
                <w:szCs w:val="16"/>
                <w:vertAlign w:val="subscript"/>
              </w:rPr>
              <w:t>max</w:t>
            </w:r>
            <w:r w:rsidRPr="00370775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 xml:space="preserve"> is the theoritical maximum adsorption capacity (mg/g)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 xml:space="preserve">, and </w:t>
            </w:r>
            <w:r w:rsidRPr="00370775">
              <w:rPr>
                <w:rFonts w:asciiTheme="minorBidi" w:hAnsiTheme="minorBidi"/>
                <w:i/>
                <w:iCs/>
                <w:noProof/>
                <w:color w:val="000000" w:themeColor="text1"/>
                <w:sz w:val="16"/>
                <w:szCs w:val="16"/>
              </w:rPr>
              <w:t>b</w:t>
            </w:r>
            <w:r w:rsidRPr="00370775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 xml:space="preserve"> is the Langmuir constant  (L/mg)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401B3A" w:rsidRPr="00370775" w:rsidTr="0032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proofErr w:type="spellStart"/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Freundlich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401B3A" w:rsidRPr="00370775" w:rsidRDefault="00E35B78" w:rsidP="003236BB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i/>
                <w:iCs/>
                <w:color w:val="000000" w:themeColor="text1"/>
                <w:sz w:val="16"/>
                <w:szCs w:val="16"/>
                <w:lang w:bidi="ar-EG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16"/>
                      <w:szCs w:val="16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  <w:lang w:bidi="ar-EG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  <w:lang w:bidi="ar-EG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16"/>
                  <w:szCs w:val="16"/>
                  <w:lang w:bidi="ar-EG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16"/>
                      <w:szCs w:val="16"/>
                      <w:lang w:bidi="ar-EG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  <w:lang w:bidi="ar-EG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  <w:lang w:bidi="ar-EG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color w:val="000000" w:themeColor="text1"/>
                      <w:sz w:val="16"/>
                      <w:szCs w:val="16"/>
                      <w:lang w:bidi="ar-EG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  <w:lang w:bidi="ar-EG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  <w:lang w:bidi="ar-EG"/>
                    </w:rPr>
                    <m:t>e</m:t>
                  </m:r>
                </m:sub>
                <m:sup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  <w:lang w:bidi="ar-EG"/>
                    </w:rPr>
                    <m:t>1/n</m:t>
                  </m:r>
                </m:sup>
              </m:sSubSup>
            </m:oMath>
            <w:r w:rsidR="00401B3A"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 xml:space="preserve">   </w:t>
            </w:r>
          </w:p>
        </w:tc>
        <w:tc>
          <w:tcPr>
            <w:tcW w:w="4253" w:type="dxa"/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K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vertAlign w:val="subscript"/>
              </w:rPr>
              <w:t>F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(mg/g) is the constant of </w:t>
            </w:r>
            <w:proofErr w:type="spellStart"/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Freundlich</w:t>
            </w:r>
            <w:proofErr w:type="spellEnd"/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model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 xml:space="preserve"> related to the adsorption capacity and 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n is the  constant of </w:t>
            </w:r>
            <w:proofErr w:type="spellStart"/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Freundlich</w:t>
            </w:r>
            <w:proofErr w:type="spellEnd"/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model related to the adsorption intensities</w:t>
            </w:r>
          </w:p>
        </w:tc>
      </w:tr>
      <w:tr w:rsidR="00401B3A" w:rsidRPr="00370775" w:rsidTr="003236BB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proofErr w:type="spellStart"/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Dubinin</w:t>
            </w:r>
            <w:proofErr w:type="spellEnd"/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–</w:t>
            </w:r>
            <w:proofErr w:type="spellStart"/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Radushkevich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01B3A" w:rsidRPr="00370775" w:rsidRDefault="00E35B78" w:rsidP="003236B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noProof/>
                      <w:color w:val="000000" w:themeColor="text1"/>
                      <w:sz w:val="16"/>
                      <w:szCs w:val="16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noProof/>
                  <w:color w:val="000000" w:themeColor="text1"/>
                  <w:sz w:val="16"/>
                  <w:szCs w:val="16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  <w:sz w:val="16"/>
                      <w:szCs w:val="16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noProof/>
                      <w:color w:val="000000" w:themeColor="text1"/>
                      <w:sz w:val="16"/>
                      <w:szCs w:val="16"/>
                    </w:rPr>
                    <m:t>m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  <w:sz w:val="16"/>
                      <w:szCs w:val="16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  <w:sz w:val="16"/>
                      <w:szCs w:val="16"/>
                    </w:rPr>
                    <m:t>-β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  <w:sz w:val="16"/>
                          <w:szCs w:val="1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sz w:val="16"/>
                          <w:szCs w:val="16"/>
                        </w:rPr>
                        <m:t>ɛ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  <w:sz w:val="16"/>
                          <w:szCs w:val="16"/>
                        </w:rPr>
                        <m:t>2</m:t>
                      </m:r>
                    </m:sup>
                  </m:sSup>
                </m:sup>
              </m:sSup>
            </m:oMath>
            <w:r w:rsidR="00401B3A" w:rsidRPr="00370775">
              <w:rPr>
                <w:rFonts w:asciiTheme="minorBidi" w:hAnsiTheme="minorBidi"/>
                <w:i/>
                <w:iCs/>
                <w:noProof/>
                <w:color w:val="000000" w:themeColor="text1"/>
                <w:sz w:val="16"/>
                <w:szCs w:val="16"/>
              </w:rPr>
              <w:t xml:space="preserve">    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01B3A" w:rsidRPr="00370775" w:rsidRDefault="00401B3A" w:rsidP="003236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β (mol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/KJ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) is the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D-R constant, ɛ (KJ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/mol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) is the </w:t>
            </w:r>
            <w:proofErr w:type="spellStart"/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polanyil</w:t>
            </w:r>
            <w:proofErr w:type="spellEnd"/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potential, and </w:t>
            </w:r>
            <w:proofErr w:type="spellStart"/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Q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vertAlign w:val="subscript"/>
              </w:rPr>
              <w:t>m</w:t>
            </w:r>
            <w:proofErr w:type="spellEnd"/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is the adsorption capacity (mg/g)</w:t>
            </w:r>
          </w:p>
        </w:tc>
      </w:tr>
      <w:tr w:rsidR="00401B3A" w:rsidRPr="00370775" w:rsidTr="0032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01B3A" w:rsidRPr="00370775" w:rsidRDefault="00401B3A" w:rsidP="003236BB">
            <w:pPr>
              <w:bidi w:val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70775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Advanced isotherm models</w:t>
            </w:r>
          </w:p>
        </w:tc>
      </w:tr>
      <w:tr w:rsidR="00401B3A" w:rsidRPr="00370775" w:rsidTr="003236BB">
        <w:trPr>
          <w:trHeight w:val="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401B3A" w:rsidRPr="00370775" w:rsidRDefault="00401B3A" w:rsidP="003236BB">
            <w:pPr>
              <w:bidi w:val="0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Model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01B3A" w:rsidRPr="00370775" w:rsidRDefault="00401B3A" w:rsidP="003236BB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Equation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01B3A" w:rsidRPr="00370775" w:rsidRDefault="00401B3A" w:rsidP="003236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Parameters</w:t>
            </w:r>
          </w:p>
        </w:tc>
      </w:tr>
      <w:tr w:rsidR="00401B3A" w:rsidRPr="00370775" w:rsidTr="0032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401B3A" w:rsidRPr="00370775" w:rsidRDefault="00401B3A" w:rsidP="003236BB">
            <w:pPr>
              <w:bidi w:val="0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Monolayer model with one energy site (Model 1)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01B3A" w:rsidRPr="00370775" w:rsidRDefault="00370775" w:rsidP="003236BB">
            <w:pPr>
              <w:bidi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Q</m:t>
                </m:r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=n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C1/2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o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C1/2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01B3A" w:rsidRPr="00370775" w:rsidRDefault="00401B3A" w:rsidP="003236BB">
            <w:pPr>
              <w:bidi w:val="0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Q is the adsorbed quantities in mg/g</w:t>
            </w:r>
          </w:p>
          <w:p w:rsidR="00401B3A" w:rsidRPr="00370775" w:rsidRDefault="00401B3A" w:rsidP="003236BB">
            <w:pPr>
              <w:bidi w:val="0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n is the number of adsorbed ion per site</w:t>
            </w:r>
          </w:p>
          <w:p w:rsidR="00401B3A" w:rsidRPr="00370775" w:rsidRDefault="00401B3A" w:rsidP="003236BB">
            <w:pPr>
              <w:bidi w:val="0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Nm is the density of the effective receptor sites (mg/g)</w:t>
            </w:r>
          </w:p>
          <w:p w:rsidR="00401B3A" w:rsidRPr="00370775" w:rsidRDefault="00401B3A" w:rsidP="003236BB">
            <w:pPr>
              <w:bidi w:val="0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proofErr w:type="spellStart"/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Q</w:t>
            </w: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vertAlign w:val="subscript"/>
                <w:lang w:bidi="ar-EG"/>
              </w:rPr>
              <w:t>o</w:t>
            </w:r>
            <w:proofErr w:type="spellEnd"/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 xml:space="preserve"> is the adsorption capacity at the saturation state in mg/g</w:t>
            </w:r>
          </w:p>
          <w:p w:rsidR="00401B3A" w:rsidRPr="00370775" w:rsidRDefault="00401B3A" w:rsidP="003236BB">
            <w:pPr>
              <w:bidi w:val="0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C1/2 is the concentration of the ions at half saturation stage in mg/L</w:t>
            </w:r>
          </w:p>
          <w:p w:rsidR="00401B3A" w:rsidRPr="00370775" w:rsidRDefault="00401B3A" w:rsidP="003236BB">
            <w:pPr>
              <w:bidi w:val="0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>C1 and C2 are the concentrations of the ions at the half saturation stage for the first active sites and the second active sites, respectively</w:t>
            </w:r>
          </w:p>
          <w:p w:rsidR="00401B3A" w:rsidRPr="00370775" w:rsidRDefault="00401B3A" w:rsidP="003236BB">
            <w:pPr>
              <w:bidi w:val="0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  <w:t xml:space="preserve">n1 and n2 are the adsorbed ions per site for the first active sites and the second active sites, respectively </w:t>
            </w:r>
          </w:p>
        </w:tc>
      </w:tr>
      <w:tr w:rsidR="00401B3A" w:rsidRPr="00370775" w:rsidTr="003236BB">
        <w:trPr>
          <w:trHeight w:val="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:rsidR="00401B3A" w:rsidRPr="00370775" w:rsidRDefault="00401B3A" w:rsidP="003236BB">
            <w:pPr>
              <w:bidi w:val="0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Monolayer model with two energy sites (Model 2)</w:t>
            </w:r>
          </w:p>
        </w:tc>
        <w:tc>
          <w:tcPr>
            <w:tcW w:w="3260" w:type="dxa"/>
            <w:shd w:val="clear" w:color="auto" w:fill="auto"/>
          </w:tcPr>
          <w:p w:rsidR="00401B3A" w:rsidRPr="00370775" w:rsidRDefault="00370775" w:rsidP="003236BB">
            <w:pPr>
              <w:bidi w:val="0"/>
              <w:spacing w:after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Q</m:t>
                </m:r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1M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)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2M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16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)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sup>
                    </m:sSup>
                  </m:den>
                </m:f>
              </m:oMath>
            </m:oMathPara>
          </w:p>
        </w:tc>
        <w:tc>
          <w:tcPr>
            <w:tcW w:w="4253" w:type="dxa"/>
            <w:vMerge/>
            <w:shd w:val="clear" w:color="auto" w:fill="auto"/>
          </w:tcPr>
          <w:p w:rsidR="00401B3A" w:rsidRPr="00370775" w:rsidRDefault="00401B3A" w:rsidP="003236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</w:p>
        </w:tc>
      </w:tr>
      <w:tr w:rsidR="00401B3A" w:rsidRPr="00370775" w:rsidTr="0032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:rsidR="00401B3A" w:rsidRPr="00370775" w:rsidRDefault="00401B3A" w:rsidP="003236BB">
            <w:pPr>
              <w:bidi w:val="0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Double layer model with one energy site (Model 3)</w:t>
            </w:r>
          </w:p>
        </w:tc>
        <w:tc>
          <w:tcPr>
            <w:tcW w:w="3260" w:type="dxa"/>
            <w:shd w:val="clear" w:color="auto" w:fill="auto"/>
          </w:tcPr>
          <w:p w:rsidR="00401B3A" w:rsidRPr="00370775" w:rsidRDefault="00370775" w:rsidP="003236BB">
            <w:pPr>
              <w:bidi w:val="0"/>
              <w:spacing w:after="12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Q</m:t>
                </m:r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o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C1/2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+2(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C1/2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2n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1+(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C1/2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+(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C1/2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2n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53" w:type="dxa"/>
            <w:vMerge/>
            <w:shd w:val="clear" w:color="auto" w:fill="auto"/>
          </w:tcPr>
          <w:p w:rsidR="00401B3A" w:rsidRPr="00370775" w:rsidRDefault="00401B3A" w:rsidP="003236BB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</w:p>
        </w:tc>
      </w:tr>
      <w:tr w:rsidR="00401B3A" w:rsidRPr="00370775" w:rsidTr="003236BB">
        <w:trPr>
          <w:trHeight w:val="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</w:tcPr>
          <w:p w:rsidR="00401B3A" w:rsidRPr="00370775" w:rsidRDefault="00401B3A" w:rsidP="003236BB">
            <w:pPr>
              <w:bidi w:val="0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</w:pPr>
            <w:r w:rsidRPr="00370775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  <w:lang w:bidi="ar-EG"/>
              </w:rPr>
              <w:t>Double layer model with two energy sites (Model 3)</w:t>
            </w:r>
          </w:p>
        </w:tc>
        <w:tc>
          <w:tcPr>
            <w:tcW w:w="3260" w:type="dxa"/>
            <w:shd w:val="clear" w:color="auto" w:fill="auto"/>
          </w:tcPr>
          <w:p w:rsidR="00401B3A" w:rsidRPr="00370775" w:rsidRDefault="00370775" w:rsidP="003236BB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Q</m:t>
                </m:r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o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C1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+2(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2n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1+(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C1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+(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16"/>
                            <w:szCs w:val="16"/>
                          </w:rPr>
                        </m:ctrlPr>
                      </m:sSup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C2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16"/>
                            <w:szCs w:val="16"/>
                          </w:rPr>
                          <m:t>2n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253" w:type="dxa"/>
            <w:vMerge/>
            <w:shd w:val="clear" w:color="auto" w:fill="auto"/>
          </w:tcPr>
          <w:p w:rsidR="00401B3A" w:rsidRPr="00370775" w:rsidRDefault="00401B3A" w:rsidP="003236BB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16"/>
                <w:szCs w:val="16"/>
                <w:lang w:bidi="ar-EG"/>
              </w:rPr>
            </w:pPr>
          </w:p>
        </w:tc>
      </w:tr>
    </w:tbl>
    <w:p w:rsidR="00E35B78" w:rsidRDefault="00E35B78" w:rsidP="00401B3A">
      <w:pPr>
        <w:tabs>
          <w:tab w:val="left" w:pos="1453"/>
        </w:tabs>
        <w:bidi w:val="0"/>
        <w:rPr>
          <w:lang w:bidi="ar-EG"/>
        </w:rPr>
      </w:pPr>
    </w:p>
    <w:p w:rsidR="00E35B78" w:rsidRDefault="00E35B78" w:rsidP="00E35B78">
      <w:pPr>
        <w:tabs>
          <w:tab w:val="left" w:pos="1453"/>
        </w:tabs>
        <w:bidi w:val="0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E56D76" wp14:editId="5CA5449F">
            <wp:simplePos x="0" y="0"/>
            <wp:positionH relativeFrom="column">
              <wp:posOffset>1520825</wp:posOffset>
            </wp:positionH>
            <wp:positionV relativeFrom="paragraph">
              <wp:posOffset>43180</wp:posOffset>
            </wp:positionV>
            <wp:extent cx="3745865" cy="291147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91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B78" w:rsidRDefault="00E35B78" w:rsidP="00E35B78">
      <w:pPr>
        <w:tabs>
          <w:tab w:val="left" w:pos="1453"/>
        </w:tabs>
        <w:bidi w:val="0"/>
        <w:rPr>
          <w:lang w:bidi="ar-EG"/>
        </w:rPr>
      </w:pPr>
    </w:p>
    <w:p w:rsidR="00E35B78" w:rsidRDefault="00E35B78" w:rsidP="00E35B78">
      <w:pPr>
        <w:tabs>
          <w:tab w:val="left" w:pos="1453"/>
        </w:tabs>
        <w:bidi w:val="0"/>
        <w:rPr>
          <w:lang w:bidi="ar-EG"/>
        </w:rPr>
      </w:pPr>
    </w:p>
    <w:p w:rsidR="00E35B78" w:rsidRDefault="00E35B78" w:rsidP="00E35B78">
      <w:pPr>
        <w:tabs>
          <w:tab w:val="left" w:pos="1453"/>
        </w:tabs>
        <w:bidi w:val="0"/>
        <w:rPr>
          <w:lang w:bidi="ar-EG"/>
        </w:rPr>
      </w:pPr>
    </w:p>
    <w:p w:rsidR="00E35B78" w:rsidRDefault="00E35B78" w:rsidP="00E35B78">
      <w:pPr>
        <w:tabs>
          <w:tab w:val="left" w:pos="1453"/>
        </w:tabs>
        <w:bidi w:val="0"/>
        <w:rPr>
          <w:lang w:bidi="ar-EG"/>
        </w:rPr>
      </w:pPr>
    </w:p>
    <w:p w:rsidR="00E35B78" w:rsidRDefault="00E35B78" w:rsidP="00E35B78">
      <w:pPr>
        <w:tabs>
          <w:tab w:val="left" w:pos="1453"/>
        </w:tabs>
        <w:bidi w:val="0"/>
        <w:rPr>
          <w:lang w:bidi="ar-EG"/>
        </w:rPr>
      </w:pPr>
    </w:p>
    <w:p w:rsidR="00E35B78" w:rsidRDefault="00E35B78" w:rsidP="00E35B78">
      <w:pPr>
        <w:tabs>
          <w:tab w:val="left" w:pos="1453"/>
        </w:tabs>
        <w:bidi w:val="0"/>
        <w:rPr>
          <w:lang w:bidi="ar-EG"/>
        </w:rPr>
      </w:pPr>
    </w:p>
    <w:p w:rsidR="00E35B78" w:rsidRDefault="00E35B78" w:rsidP="00E35B78">
      <w:pPr>
        <w:tabs>
          <w:tab w:val="left" w:pos="1453"/>
        </w:tabs>
        <w:bidi w:val="0"/>
        <w:rPr>
          <w:lang w:bidi="ar-EG"/>
        </w:rPr>
      </w:pPr>
    </w:p>
    <w:p w:rsidR="00E35B78" w:rsidRDefault="00E35B78" w:rsidP="00E35B78">
      <w:pPr>
        <w:tabs>
          <w:tab w:val="left" w:pos="1453"/>
        </w:tabs>
        <w:bidi w:val="0"/>
        <w:rPr>
          <w:lang w:bidi="ar-EG"/>
        </w:rPr>
      </w:pPr>
    </w:p>
    <w:p w:rsidR="00E35B78" w:rsidRPr="00403D2F" w:rsidRDefault="00E35B78" w:rsidP="00E35B78">
      <w:pPr>
        <w:tabs>
          <w:tab w:val="left" w:pos="1655"/>
        </w:tabs>
        <w:bidi w:val="0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B181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Fig.S</w:t>
      </w:r>
      <w:r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1</w:t>
      </w:r>
      <w:r w:rsidRPr="001B181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.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The 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>EDX spectrum of</w:t>
      </w:r>
      <w:bookmarkStart w:id="0" w:name="_GoBack"/>
      <w:bookmarkEnd w:id="0"/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Ca-MCM-41 </w:t>
      </w:r>
    </w:p>
    <w:p w:rsidR="00E35B78" w:rsidRDefault="00E35B78" w:rsidP="00E35B78">
      <w:pPr>
        <w:tabs>
          <w:tab w:val="left" w:pos="1453"/>
        </w:tabs>
        <w:bidi w:val="0"/>
        <w:rPr>
          <w:lang w:bidi="ar-EG"/>
        </w:rPr>
      </w:pPr>
    </w:p>
    <w:p w:rsidR="00E35B78" w:rsidRDefault="00E35B78" w:rsidP="00E35B78">
      <w:pPr>
        <w:tabs>
          <w:tab w:val="left" w:pos="1453"/>
        </w:tabs>
        <w:bidi w:val="0"/>
        <w:rPr>
          <w:lang w:bidi="ar-EG"/>
        </w:rPr>
      </w:pPr>
    </w:p>
    <w:p w:rsidR="00401B3A" w:rsidRDefault="00403D2F" w:rsidP="00E35B78">
      <w:pPr>
        <w:tabs>
          <w:tab w:val="left" w:pos="1453"/>
        </w:tabs>
        <w:bidi w:val="0"/>
        <w:rPr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C8FC19" wp14:editId="4E7BF8A4">
            <wp:simplePos x="0" y="0"/>
            <wp:positionH relativeFrom="column">
              <wp:posOffset>1660181</wp:posOffset>
            </wp:positionH>
            <wp:positionV relativeFrom="paragraph">
              <wp:posOffset>248962</wp:posOffset>
            </wp:positionV>
            <wp:extent cx="3411520" cy="32480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9"/>
                    <a:stretch/>
                  </pic:blipFill>
                  <pic:spPr bwMode="auto">
                    <a:xfrm>
                      <a:off x="0" y="0"/>
                      <a:ext cx="3411520" cy="324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D2F" w:rsidRDefault="00403D2F" w:rsidP="00403D2F">
      <w:pPr>
        <w:tabs>
          <w:tab w:val="left" w:pos="1453"/>
        </w:tabs>
        <w:bidi w:val="0"/>
        <w:rPr>
          <w:lang w:bidi="ar-EG"/>
        </w:rPr>
      </w:pPr>
    </w:p>
    <w:p w:rsidR="00403D2F" w:rsidRDefault="00403D2F" w:rsidP="00403D2F">
      <w:pPr>
        <w:tabs>
          <w:tab w:val="left" w:pos="1453"/>
        </w:tabs>
        <w:bidi w:val="0"/>
        <w:rPr>
          <w:lang w:bidi="ar-EG"/>
        </w:rPr>
      </w:pPr>
    </w:p>
    <w:p w:rsidR="00403D2F" w:rsidRDefault="00403D2F" w:rsidP="00403D2F">
      <w:pPr>
        <w:tabs>
          <w:tab w:val="left" w:pos="1453"/>
        </w:tabs>
        <w:bidi w:val="0"/>
        <w:rPr>
          <w:lang w:bidi="ar-EG"/>
        </w:rPr>
      </w:pPr>
    </w:p>
    <w:p w:rsidR="00403D2F" w:rsidRDefault="00403D2F" w:rsidP="00403D2F">
      <w:pPr>
        <w:tabs>
          <w:tab w:val="left" w:pos="1453"/>
        </w:tabs>
        <w:bidi w:val="0"/>
        <w:rPr>
          <w:lang w:bidi="ar-EG"/>
        </w:rPr>
      </w:pPr>
    </w:p>
    <w:p w:rsidR="00403D2F" w:rsidRDefault="00403D2F" w:rsidP="00403D2F">
      <w:pPr>
        <w:tabs>
          <w:tab w:val="left" w:pos="1453"/>
        </w:tabs>
        <w:bidi w:val="0"/>
        <w:rPr>
          <w:lang w:bidi="ar-EG"/>
        </w:rPr>
      </w:pPr>
    </w:p>
    <w:p w:rsidR="00403D2F" w:rsidRDefault="00403D2F" w:rsidP="00403D2F">
      <w:pPr>
        <w:tabs>
          <w:tab w:val="left" w:pos="1453"/>
        </w:tabs>
        <w:bidi w:val="0"/>
        <w:rPr>
          <w:lang w:bidi="ar-EG"/>
        </w:rPr>
      </w:pPr>
    </w:p>
    <w:p w:rsidR="00403D2F" w:rsidRDefault="00403D2F" w:rsidP="00403D2F">
      <w:pPr>
        <w:tabs>
          <w:tab w:val="left" w:pos="1453"/>
        </w:tabs>
        <w:bidi w:val="0"/>
        <w:rPr>
          <w:lang w:bidi="ar-EG"/>
        </w:rPr>
      </w:pPr>
    </w:p>
    <w:p w:rsidR="00403D2F" w:rsidRDefault="00403D2F" w:rsidP="00403D2F">
      <w:pPr>
        <w:tabs>
          <w:tab w:val="left" w:pos="1453"/>
        </w:tabs>
        <w:bidi w:val="0"/>
        <w:rPr>
          <w:lang w:bidi="ar-EG"/>
        </w:rPr>
      </w:pPr>
    </w:p>
    <w:p w:rsidR="00403D2F" w:rsidRDefault="00403D2F" w:rsidP="00403D2F">
      <w:pPr>
        <w:tabs>
          <w:tab w:val="left" w:pos="1453"/>
        </w:tabs>
        <w:bidi w:val="0"/>
        <w:rPr>
          <w:lang w:bidi="ar-EG"/>
        </w:rPr>
      </w:pPr>
    </w:p>
    <w:p w:rsidR="00403D2F" w:rsidRDefault="00403D2F" w:rsidP="00403D2F">
      <w:pPr>
        <w:tabs>
          <w:tab w:val="left" w:pos="1453"/>
        </w:tabs>
        <w:bidi w:val="0"/>
        <w:rPr>
          <w:lang w:bidi="ar-EG"/>
        </w:rPr>
      </w:pPr>
    </w:p>
    <w:p w:rsidR="00403D2F" w:rsidRPr="00403D2F" w:rsidRDefault="00403D2F" w:rsidP="00E35B78">
      <w:pPr>
        <w:tabs>
          <w:tab w:val="left" w:pos="1655"/>
        </w:tabs>
        <w:bidi w:val="0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B181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Fig.S</w:t>
      </w:r>
      <w:r w:rsidR="00E35B7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2</w:t>
      </w:r>
      <w:r w:rsidRPr="001B181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.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The obtained nitrogen adsorption/desorption isotherm curve of Ca-MCM-41 </w:t>
      </w:r>
    </w:p>
    <w:p w:rsidR="00403D2F" w:rsidRPr="00370775" w:rsidRDefault="00403D2F" w:rsidP="00403D2F">
      <w:pPr>
        <w:tabs>
          <w:tab w:val="left" w:pos="1453"/>
        </w:tabs>
        <w:bidi w:val="0"/>
        <w:spacing w:line="240" w:lineRule="auto"/>
        <w:rPr>
          <w:lang w:bidi="ar-EG"/>
        </w:rPr>
      </w:pPr>
    </w:p>
    <w:p w:rsidR="00401B3A" w:rsidRPr="00370775" w:rsidRDefault="00241CF7" w:rsidP="00401B3A">
      <w:pPr>
        <w:tabs>
          <w:tab w:val="left" w:pos="1655"/>
        </w:tabs>
        <w:bidi w:val="0"/>
        <w:rPr>
          <w:rFonts w:asciiTheme="minorBidi" w:hAnsiTheme="minorBidi"/>
          <w:sz w:val="18"/>
          <w:szCs w:val="18"/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22E28D" wp14:editId="3E5A4026">
            <wp:simplePos x="0" y="0"/>
            <wp:positionH relativeFrom="column">
              <wp:posOffset>1476504</wp:posOffset>
            </wp:positionH>
            <wp:positionV relativeFrom="paragraph">
              <wp:posOffset>9894</wp:posOffset>
            </wp:positionV>
            <wp:extent cx="3708088" cy="297411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7" t="9244" r="11171" b="4427"/>
                    <a:stretch/>
                  </pic:blipFill>
                  <pic:spPr bwMode="auto">
                    <a:xfrm>
                      <a:off x="0" y="0"/>
                      <a:ext cx="3707660" cy="297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B3A" w:rsidRPr="00370775" w:rsidRDefault="00401B3A" w:rsidP="00401B3A">
      <w:pPr>
        <w:tabs>
          <w:tab w:val="left" w:pos="1655"/>
        </w:tabs>
        <w:bidi w:val="0"/>
        <w:rPr>
          <w:rFonts w:asciiTheme="minorBidi" w:hAnsiTheme="minorBidi"/>
          <w:sz w:val="18"/>
          <w:szCs w:val="18"/>
          <w:lang w:bidi="ar-EG"/>
        </w:rPr>
      </w:pPr>
    </w:p>
    <w:p w:rsidR="00401B3A" w:rsidRPr="00370775" w:rsidRDefault="00401B3A" w:rsidP="00401B3A">
      <w:pPr>
        <w:tabs>
          <w:tab w:val="left" w:pos="1655"/>
        </w:tabs>
        <w:bidi w:val="0"/>
        <w:rPr>
          <w:rFonts w:asciiTheme="minorBidi" w:hAnsiTheme="minorBidi"/>
          <w:sz w:val="18"/>
          <w:szCs w:val="18"/>
          <w:lang w:bidi="ar-EG"/>
        </w:rPr>
      </w:pPr>
    </w:p>
    <w:p w:rsidR="00401B3A" w:rsidRPr="00370775" w:rsidRDefault="00401B3A" w:rsidP="00401B3A">
      <w:pPr>
        <w:tabs>
          <w:tab w:val="left" w:pos="1655"/>
        </w:tabs>
        <w:bidi w:val="0"/>
        <w:rPr>
          <w:rFonts w:asciiTheme="minorBidi" w:hAnsiTheme="minorBidi"/>
          <w:sz w:val="18"/>
          <w:szCs w:val="18"/>
          <w:lang w:bidi="ar-EG"/>
        </w:rPr>
      </w:pPr>
    </w:p>
    <w:p w:rsidR="00401B3A" w:rsidRPr="00370775" w:rsidRDefault="00401B3A" w:rsidP="00401B3A">
      <w:pPr>
        <w:tabs>
          <w:tab w:val="left" w:pos="1655"/>
        </w:tabs>
        <w:bidi w:val="0"/>
        <w:rPr>
          <w:rFonts w:asciiTheme="minorBidi" w:hAnsiTheme="minorBidi"/>
          <w:sz w:val="18"/>
          <w:szCs w:val="18"/>
          <w:lang w:bidi="ar-EG"/>
        </w:rPr>
      </w:pPr>
    </w:p>
    <w:p w:rsidR="00401B3A" w:rsidRPr="00370775" w:rsidRDefault="00401B3A" w:rsidP="00401B3A">
      <w:pPr>
        <w:tabs>
          <w:tab w:val="left" w:pos="1655"/>
        </w:tabs>
        <w:bidi w:val="0"/>
        <w:rPr>
          <w:rFonts w:asciiTheme="minorBidi" w:hAnsiTheme="minorBidi"/>
          <w:sz w:val="18"/>
          <w:szCs w:val="18"/>
          <w:lang w:bidi="ar-EG"/>
        </w:rPr>
      </w:pPr>
    </w:p>
    <w:p w:rsidR="00401B3A" w:rsidRPr="00370775" w:rsidRDefault="00401B3A" w:rsidP="00401B3A">
      <w:pPr>
        <w:tabs>
          <w:tab w:val="left" w:pos="1655"/>
        </w:tabs>
        <w:bidi w:val="0"/>
        <w:rPr>
          <w:rFonts w:asciiTheme="minorBidi" w:hAnsiTheme="minorBidi"/>
          <w:sz w:val="18"/>
          <w:szCs w:val="18"/>
          <w:lang w:bidi="ar-EG"/>
        </w:rPr>
      </w:pPr>
    </w:p>
    <w:p w:rsidR="00401B3A" w:rsidRPr="00370775" w:rsidRDefault="00401B3A" w:rsidP="00401B3A">
      <w:pPr>
        <w:tabs>
          <w:tab w:val="left" w:pos="1655"/>
        </w:tabs>
        <w:bidi w:val="0"/>
        <w:rPr>
          <w:rFonts w:asciiTheme="minorBidi" w:hAnsiTheme="minorBidi"/>
          <w:sz w:val="18"/>
          <w:szCs w:val="18"/>
          <w:lang w:bidi="ar-EG"/>
        </w:rPr>
      </w:pPr>
    </w:p>
    <w:p w:rsidR="00401B3A" w:rsidRPr="00370775" w:rsidRDefault="00401B3A" w:rsidP="00401B3A">
      <w:pPr>
        <w:tabs>
          <w:tab w:val="left" w:pos="1655"/>
        </w:tabs>
        <w:bidi w:val="0"/>
        <w:rPr>
          <w:rFonts w:asciiTheme="minorBidi" w:hAnsiTheme="minorBidi"/>
          <w:sz w:val="18"/>
          <w:szCs w:val="18"/>
          <w:lang w:bidi="ar-EG"/>
        </w:rPr>
      </w:pPr>
    </w:p>
    <w:p w:rsidR="00401B3A" w:rsidRPr="00370775" w:rsidRDefault="00401B3A" w:rsidP="00401B3A">
      <w:pPr>
        <w:tabs>
          <w:tab w:val="left" w:pos="1655"/>
        </w:tabs>
        <w:bidi w:val="0"/>
        <w:rPr>
          <w:rFonts w:asciiTheme="minorBidi" w:hAnsiTheme="minorBidi"/>
          <w:sz w:val="18"/>
          <w:szCs w:val="18"/>
          <w:lang w:bidi="ar-EG"/>
        </w:rPr>
      </w:pPr>
    </w:p>
    <w:p w:rsidR="00401B3A" w:rsidRPr="001B181E" w:rsidRDefault="00401B3A" w:rsidP="001B181E">
      <w:pPr>
        <w:tabs>
          <w:tab w:val="left" w:pos="1655"/>
        </w:tabs>
        <w:bidi w:val="0"/>
        <w:jc w:val="center"/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</w:pPr>
    </w:p>
    <w:p w:rsidR="0038347C" w:rsidRDefault="001B181E" w:rsidP="00E35B78">
      <w:pPr>
        <w:tabs>
          <w:tab w:val="left" w:pos="1655"/>
        </w:tabs>
        <w:bidi w:val="0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B181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Fig.S</w:t>
      </w:r>
      <w:r w:rsidR="00E35B78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3</w:t>
      </w:r>
      <w:r w:rsidRPr="001B181E">
        <w:rPr>
          <w:rFonts w:ascii="Arial" w:eastAsia="Calibri" w:hAnsi="Arial" w:cs="Arial"/>
          <w:b/>
          <w:bCs/>
          <w:color w:val="000000" w:themeColor="text1"/>
          <w:sz w:val="18"/>
          <w:szCs w:val="18"/>
        </w:rPr>
        <w:t>.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The recyclability properties of </w:t>
      </w:r>
      <w:r w:rsidR="00241CF7">
        <w:rPr>
          <w:rFonts w:ascii="Arial" w:eastAsia="Calibri" w:hAnsi="Arial" w:cs="Arial"/>
          <w:color w:val="000000" w:themeColor="text1"/>
          <w:sz w:val="18"/>
          <w:szCs w:val="18"/>
        </w:rPr>
        <w:t>Ca-MCM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during the adsorption of </w:t>
      </w:r>
      <w:r w:rsidR="00241CF7">
        <w:rPr>
          <w:rFonts w:ascii="Arial" w:eastAsia="Calibri" w:hAnsi="Arial" w:cs="Arial"/>
          <w:color w:val="000000" w:themeColor="text1"/>
          <w:sz w:val="18"/>
          <w:szCs w:val="18"/>
        </w:rPr>
        <w:t>strontium and boron ions</w:t>
      </w:r>
    </w:p>
    <w:p w:rsidR="0038347C" w:rsidRPr="00370775" w:rsidRDefault="0038347C" w:rsidP="0038347C">
      <w:pPr>
        <w:tabs>
          <w:tab w:val="left" w:pos="1655"/>
        </w:tabs>
        <w:bidi w:val="0"/>
        <w:rPr>
          <w:rFonts w:ascii="Arial" w:eastAsia="Calibri" w:hAnsi="Arial" w:cs="Arial"/>
          <w:color w:val="000000" w:themeColor="text1"/>
          <w:sz w:val="18"/>
          <w:szCs w:val="18"/>
        </w:rPr>
      </w:pPr>
    </w:p>
    <w:sectPr w:rsidR="0038347C" w:rsidRPr="00370775" w:rsidSect="00EE54C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7DB"/>
    <w:multiLevelType w:val="hybridMultilevel"/>
    <w:tmpl w:val="9DF40A68"/>
    <w:lvl w:ilvl="0" w:tplc="1DD4D5E4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3318"/>
    <w:multiLevelType w:val="hybridMultilevel"/>
    <w:tmpl w:val="BAFE40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C66B3"/>
    <w:multiLevelType w:val="hybridMultilevel"/>
    <w:tmpl w:val="116A95DA"/>
    <w:lvl w:ilvl="0" w:tplc="0A803AC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268636B2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92"/>
    <w:rsid w:val="001B181E"/>
    <w:rsid w:val="00241CF7"/>
    <w:rsid w:val="00370775"/>
    <w:rsid w:val="0038347C"/>
    <w:rsid w:val="00401B3A"/>
    <w:rsid w:val="00403D2F"/>
    <w:rsid w:val="00517E87"/>
    <w:rsid w:val="0053342A"/>
    <w:rsid w:val="00782FC4"/>
    <w:rsid w:val="00937FD9"/>
    <w:rsid w:val="00A12138"/>
    <w:rsid w:val="00A96C84"/>
    <w:rsid w:val="00C95D97"/>
    <w:rsid w:val="00D1271A"/>
    <w:rsid w:val="00E35B78"/>
    <w:rsid w:val="00EE54CC"/>
    <w:rsid w:val="00F11D35"/>
    <w:rsid w:val="00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E54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E54CC"/>
    <w:pPr>
      <w:bidi w:val="0"/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401B3A"/>
    <w:pPr>
      <w:spacing w:after="0" w:line="240" w:lineRule="auto"/>
    </w:pPr>
    <w:rPr>
      <w:rFonts w:ascii="Calibri" w:eastAsia="Calibri" w:hAnsi="Calibri"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3A"/>
    <w:rPr>
      <w:rFonts w:ascii="Tahoma" w:hAnsi="Tahoma" w:cs="Tahoma"/>
      <w:sz w:val="16"/>
      <w:szCs w:val="16"/>
    </w:rPr>
  </w:style>
  <w:style w:type="table" w:customStyle="1" w:styleId="LightShading11">
    <w:name w:val="Light Shading11"/>
    <w:basedOn w:val="TableNormal"/>
    <w:uiPriority w:val="60"/>
    <w:rsid w:val="0038347C"/>
    <w:pPr>
      <w:spacing w:after="0" w:line="240" w:lineRule="auto"/>
    </w:pPr>
    <w:rPr>
      <w:rFonts w:ascii="Calibri" w:eastAsia="Calibri" w:hAnsi="Calibri"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41">
    <w:name w:val="Light Shading41"/>
    <w:basedOn w:val="TableNormal"/>
    <w:uiPriority w:val="60"/>
    <w:rsid w:val="00782FC4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E54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E54CC"/>
    <w:pPr>
      <w:bidi w:val="0"/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401B3A"/>
    <w:pPr>
      <w:spacing w:after="0" w:line="240" w:lineRule="auto"/>
    </w:pPr>
    <w:rPr>
      <w:rFonts w:ascii="Calibri" w:eastAsia="Calibri" w:hAnsi="Calibri"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3A"/>
    <w:rPr>
      <w:rFonts w:ascii="Tahoma" w:hAnsi="Tahoma" w:cs="Tahoma"/>
      <w:sz w:val="16"/>
      <w:szCs w:val="16"/>
    </w:rPr>
  </w:style>
  <w:style w:type="table" w:customStyle="1" w:styleId="LightShading11">
    <w:name w:val="Light Shading11"/>
    <w:basedOn w:val="TableNormal"/>
    <w:uiPriority w:val="60"/>
    <w:rsid w:val="0038347C"/>
    <w:pPr>
      <w:spacing w:after="0" w:line="240" w:lineRule="auto"/>
    </w:pPr>
    <w:rPr>
      <w:rFonts w:ascii="Calibri" w:eastAsia="Calibri" w:hAnsi="Calibri"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41">
    <w:name w:val="Light Shading41"/>
    <w:basedOn w:val="TableNormal"/>
    <w:uiPriority w:val="60"/>
    <w:rsid w:val="00782FC4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2024-06-24T10:59:00Z</dcterms:created>
  <dcterms:modified xsi:type="dcterms:W3CDTF">2025-02-16T15:14:00Z</dcterms:modified>
</cp:coreProperties>
</file>