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7E7F" w14:textId="77777777" w:rsidR="00745DF9" w:rsidRDefault="00000000">
      <w:pPr>
        <w:pStyle w:val="SupplementaryMaterial"/>
        <w:rPr>
          <w:b w:val="0"/>
        </w:rPr>
      </w:pPr>
      <w:r>
        <w:t>Supplementary Material</w:t>
      </w:r>
    </w:p>
    <w:p w14:paraId="553476AC" w14:textId="77777777" w:rsidR="00745DF9" w:rsidRDefault="00000000">
      <w:pPr>
        <w:pStyle w:val="Heading2"/>
      </w:pPr>
      <w:r>
        <w:t>Supplementary Figures</w:t>
      </w:r>
    </w:p>
    <w:p w14:paraId="58B98896" w14:textId="77777777" w:rsidR="00745DF9" w:rsidRPr="00637E17" w:rsidRDefault="00000000">
      <w:pPr>
        <w:rPr>
          <w:rFonts w:eastAsia="SimSun" w:cs="Times New Roman"/>
          <w:szCs w:val="21"/>
          <w:lang w:eastAsia="zh-CN"/>
        </w:rPr>
      </w:pPr>
      <w:r w:rsidRPr="00637E17">
        <w:rPr>
          <w:rFonts w:eastAsia="SimSun" w:cs="Times New Roman"/>
          <w:noProof/>
          <w:szCs w:val="21"/>
        </w:rPr>
        <w:drawing>
          <wp:inline distT="0" distB="0" distL="114300" distR="114300" wp14:anchorId="6C923540" wp14:editId="4011C053">
            <wp:extent cx="5238750" cy="2336800"/>
            <wp:effectExtent l="0" t="0" r="3810" b="10160"/>
            <wp:docPr id="4" name="图片 4" descr="C:/Users/95643/Desktop/文章①/材料/图/jingjian.pngjingj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95643/Desktop/文章①/材料/图/jingjian.pngjingjian"/>
                    <pic:cNvPicPr>
                      <a:picLocks noChangeAspect="1"/>
                    </pic:cNvPicPr>
                  </pic:nvPicPr>
                  <pic:blipFill>
                    <a:blip r:embed="rId7"/>
                    <a:srcRect l="734" r="73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D61B" w14:textId="77777777" w:rsidR="00745DF9" w:rsidRPr="00637E17" w:rsidRDefault="00000000">
      <w:pPr>
        <w:pStyle w:val="Caption"/>
        <w:jc w:val="both"/>
        <w:rPr>
          <w:rFonts w:ascii="Times New Roman" w:hAnsi="Times New Roman" w:cs="Times New Roman"/>
          <w:sz w:val="24"/>
        </w:rPr>
      </w:pPr>
      <w:r w:rsidRPr="00637E17">
        <w:rPr>
          <w:rFonts w:ascii="Times New Roman" w:hAnsi="Times New Roman" w:cs="Times New Roman" w:hint="eastAsia"/>
          <w:b/>
          <w:bCs/>
          <w:sz w:val="24"/>
        </w:rPr>
        <w:t xml:space="preserve">Supplementary Figure 1. </w:t>
      </w:r>
      <w:r w:rsidRPr="00637E17">
        <w:rPr>
          <w:rFonts w:ascii="Times New Roman" w:hAnsi="Times New Roman" w:cs="Times New Roman"/>
          <w:b/>
          <w:bCs/>
          <w:sz w:val="24"/>
        </w:rPr>
        <w:t>(A)</w:t>
      </w:r>
      <w:r w:rsidRPr="00637E17">
        <w:rPr>
          <w:rFonts w:ascii="Times New Roman" w:hAnsi="Times New Roman" w:cs="Times New Roman"/>
          <w:sz w:val="24"/>
        </w:rPr>
        <w:t xml:space="preserve"> The single colony morphology on BHI agar </w:t>
      </w:r>
      <w:r w:rsidRPr="00637E17">
        <w:rPr>
          <w:rFonts w:ascii="Times New Roman" w:hAnsi="Times New Roman" w:cs="Times New Roman" w:hint="eastAsia"/>
          <w:sz w:val="24"/>
        </w:rPr>
        <w:t xml:space="preserve">exhibited swarming </w:t>
      </w:r>
      <w:r w:rsidRPr="00637E17">
        <w:rPr>
          <w:rFonts w:ascii="Times New Roman" w:hAnsi="Times New Roman" w:cs="Times New Roman" w:hint="eastAsia"/>
          <w:sz w:val="24"/>
          <w:lang w:eastAsia="zh-CN"/>
        </w:rPr>
        <w:t>motility</w:t>
      </w:r>
      <w:r w:rsidRPr="00637E17">
        <w:rPr>
          <w:rFonts w:ascii="Times New Roman" w:hAnsi="Times New Roman" w:cs="Times New Roman" w:hint="eastAsia"/>
          <w:sz w:val="24"/>
        </w:rPr>
        <w:t xml:space="preserve"> on BHI agar</w:t>
      </w:r>
      <w:r w:rsidRPr="00637E17">
        <w:rPr>
          <w:rFonts w:ascii="Times New Roman" w:hAnsi="Times New Roman" w:cs="Times New Roman"/>
          <w:sz w:val="24"/>
        </w:rPr>
        <w:t xml:space="preserve">. </w:t>
      </w:r>
      <w:r w:rsidRPr="00637E17">
        <w:rPr>
          <w:rFonts w:ascii="Times New Roman" w:hAnsi="Times New Roman" w:cs="Times New Roman"/>
          <w:b/>
          <w:bCs/>
          <w:sz w:val="24"/>
        </w:rPr>
        <w:t>(B)</w:t>
      </w:r>
      <w:r w:rsidRPr="00637E17">
        <w:rPr>
          <w:rFonts w:ascii="Times New Roman" w:hAnsi="Times New Roman" w:cs="Times New Roman"/>
          <w:sz w:val="24"/>
        </w:rPr>
        <w:t xml:space="preserve"> Microscopic examination after Gram staining reveal</w:t>
      </w:r>
      <w:r w:rsidRPr="00637E17">
        <w:rPr>
          <w:rFonts w:ascii="Times New Roman" w:hAnsi="Times New Roman" w:cs="Times New Roman" w:hint="eastAsia"/>
          <w:sz w:val="24"/>
        </w:rPr>
        <w:t>ed</w:t>
      </w:r>
      <w:r w:rsidRPr="00637E17">
        <w:rPr>
          <w:rFonts w:ascii="Times New Roman" w:hAnsi="Times New Roman" w:cs="Times New Roman"/>
          <w:sz w:val="24"/>
        </w:rPr>
        <w:t xml:space="preserve"> that the isolated strain appears as red, non-spore-forming, short rods with blunt ends (100</w:t>
      </w:r>
      <w:r w:rsidRPr="00637E17">
        <w:rPr>
          <w:rFonts w:ascii="Times New Roman" w:hAnsi="Times New Roman" w:cs="Times New Roman" w:hint="eastAsia"/>
          <w:sz w:val="24"/>
        </w:rPr>
        <w:t xml:space="preserve"> </w:t>
      </w:r>
      <w:r w:rsidRPr="00637E17">
        <w:rPr>
          <w:rFonts w:ascii="Times New Roman" w:hAnsi="Times New Roman" w:cs="Times New Roman"/>
          <w:sz w:val="24"/>
        </w:rPr>
        <w:t>×)</w:t>
      </w:r>
      <w:r w:rsidRPr="00637E17">
        <w:rPr>
          <w:rFonts w:ascii="Times New Roman" w:hAnsi="Times New Roman" w:cs="Times New Roman" w:hint="eastAsia"/>
          <w:sz w:val="24"/>
        </w:rPr>
        <w:t>.</w:t>
      </w:r>
    </w:p>
    <w:p w14:paraId="5457AE10" w14:textId="77777777" w:rsidR="00745DF9" w:rsidRPr="00637E17" w:rsidRDefault="00000000">
      <w:pPr>
        <w:rPr>
          <w:rFonts w:eastAsia="SimSun" w:cs="Times New Roman"/>
          <w:lang w:eastAsia="zh-CN"/>
        </w:rPr>
      </w:pPr>
      <w:r w:rsidRPr="00637E17">
        <w:rPr>
          <w:rFonts w:eastAsia="SimSun" w:cs="Times New Roman" w:hint="eastAsia"/>
          <w:noProof/>
          <w:lang w:eastAsia="zh-CN"/>
        </w:rPr>
        <w:drawing>
          <wp:inline distT="0" distB="0" distL="114300" distR="114300" wp14:anchorId="040C1589" wp14:editId="5EA2D307">
            <wp:extent cx="5262880" cy="2448560"/>
            <wp:effectExtent l="0" t="0" r="10160" b="5080"/>
            <wp:docPr id="6" name="图片 6" descr="16s 树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s 树 6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7700" w14:textId="77777777" w:rsidR="00745DF9" w:rsidRPr="00637E17" w:rsidRDefault="00000000">
      <w:pPr>
        <w:jc w:val="both"/>
        <w:rPr>
          <w:rFonts w:eastAsiaTheme="minorEastAsia" w:cs="Times New Roman"/>
        </w:rPr>
      </w:pPr>
      <w:r w:rsidRPr="00637E17">
        <w:rPr>
          <w:rFonts w:cs="Times New Roman" w:hint="eastAsia"/>
          <w:b/>
          <w:bCs/>
        </w:rPr>
        <w:t xml:space="preserve">Supplementary Figure </w:t>
      </w:r>
      <w:r w:rsidRPr="00637E17">
        <w:rPr>
          <w:rFonts w:cs="Times New Roman" w:hint="eastAsia"/>
          <w:b/>
          <w:bCs/>
          <w:lang w:eastAsia="zh-CN"/>
        </w:rPr>
        <w:t>2</w:t>
      </w:r>
      <w:r w:rsidRPr="00637E17">
        <w:rPr>
          <w:rFonts w:cs="Times New Roman" w:hint="eastAsia"/>
          <w:b/>
          <w:bCs/>
        </w:rPr>
        <w:t xml:space="preserve">. </w:t>
      </w:r>
      <w:r w:rsidRPr="00637E17">
        <w:rPr>
          <w:rFonts w:cs="Times New Roman"/>
          <w:b/>
          <w:bCs/>
        </w:rPr>
        <w:t>(A)</w:t>
      </w:r>
      <w:r w:rsidRPr="00637E17">
        <w:rPr>
          <w:rFonts w:cs="Times New Roman"/>
        </w:rPr>
        <w:t xml:space="preserve"> Gel electrophoresis results of the 16S rRNA amplification products of the isolate indicate</w:t>
      </w:r>
      <w:r w:rsidRPr="00637E17">
        <w:rPr>
          <w:rFonts w:cs="Times New Roman" w:hint="eastAsia"/>
        </w:rPr>
        <w:t>d</w:t>
      </w:r>
      <w:r w:rsidRPr="00637E17">
        <w:rPr>
          <w:rFonts w:cs="Times New Roman"/>
        </w:rPr>
        <w:t xml:space="preserve"> a sequence length of about 1,500 bp. M: DL2,000 DNA Marker</w:t>
      </w:r>
      <w:r w:rsidRPr="00637E17">
        <w:rPr>
          <w:rFonts w:eastAsia="SimSun" w:cs="Times New Roman" w:hint="eastAsia"/>
          <w:lang w:eastAsia="zh-CN"/>
        </w:rPr>
        <w:t>;</w:t>
      </w:r>
      <w:r w:rsidRPr="00637E17">
        <w:rPr>
          <w:rFonts w:cs="Times New Roman"/>
        </w:rPr>
        <w:t xml:space="preserve"> 1-2: Amplification products of the isolate</w:t>
      </w:r>
      <w:r w:rsidRPr="00637E17">
        <w:rPr>
          <w:rFonts w:eastAsia="SimSun" w:cs="Times New Roman" w:hint="eastAsia"/>
          <w:lang w:eastAsia="zh-CN"/>
        </w:rPr>
        <w:t>;</w:t>
      </w:r>
      <w:r w:rsidRPr="00637E17">
        <w:rPr>
          <w:rFonts w:cs="Times New Roman"/>
        </w:rPr>
        <w:t xml:space="preserve"> 3: Negative control. </w:t>
      </w:r>
      <w:r w:rsidRPr="00637E17">
        <w:rPr>
          <w:rFonts w:cs="Times New Roman"/>
          <w:b/>
          <w:bCs/>
        </w:rPr>
        <w:t>(B)</w:t>
      </w:r>
      <w:r w:rsidRPr="00637E17">
        <w:rPr>
          <w:rFonts w:cs="Times New Roman"/>
        </w:rPr>
        <w:t xml:space="preserve"> A phylogenetic tree constructed using the maximum likelihood method based on the 16S rRNA sequences show</w:t>
      </w:r>
      <w:r w:rsidRPr="00637E17">
        <w:rPr>
          <w:rFonts w:cs="Times New Roman" w:hint="eastAsia"/>
        </w:rPr>
        <w:t>ed</w:t>
      </w:r>
      <w:r w:rsidRPr="00637E17">
        <w:rPr>
          <w:rFonts w:cs="Times New Roman"/>
        </w:rPr>
        <w:t xml:space="preserve"> that PM2022 clusters with</w:t>
      </w:r>
      <w:r w:rsidRPr="00637E17">
        <w:rPr>
          <w:rFonts w:cs="Times New Roman"/>
          <w:i/>
          <w:iCs/>
        </w:rPr>
        <w:t xml:space="preserve"> P. mirabilis</w:t>
      </w:r>
      <w:r w:rsidRPr="00637E17">
        <w:rPr>
          <w:rFonts w:cs="Times New Roman"/>
        </w:rPr>
        <w:t>,</w:t>
      </w:r>
      <w:r w:rsidRPr="00637E17">
        <w:rPr>
          <w:rFonts w:cs="Times New Roman"/>
          <w:i/>
          <w:iCs/>
        </w:rPr>
        <w:t xml:space="preserve"> </w:t>
      </w:r>
      <w:r w:rsidRPr="00637E17">
        <w:rPr>
          <w:rFonts w:cs="Times New Roman"/>
        </w:rPr>
        <w:t xml:space="preserve">while being distinct from other species of the genus </w:t>
      </w:r>
      <w:r w:rsidRPr="00637E17">
        <w:rPr>
          <w:rFonts w:cs="Times New Roman"/>
          <w:i/>
          <w:iCs/>
        </w:rPr>
        <w:t>Proteus</w:t>
      </w:r>
      <w:r w:rsidRPr="00637E17">
        <w:rPr>
          <w:rFonts w:cs="Times New Roman"/>
        </w:rPr>
        <w:t>.</w:t>
      </w:r>
    </w:p>
    <w:p w14:paraId="798B1702" w14:textId="77777777" w:rsidR="00745DF9" w:rsidRDefault="00745DF9"/>
    <w:p w14:paraId="67FEAA06" w14:textId="77777777" w:rsidR="00745DF9" w:rsidRDefault="00000000">
      <w:pPr>
        <w:pStyle w:val="Heading2"/>
      </w:pPr>
      <w:r>
        <w:lastRenderedPageBreak/>
        <w:t xml:space="preserve">Supplementary </w:t>
      </w:r>
      <w:r>
        <w:rPr>
          <w:rFonts w:eastAsia="SimSun" w:hint="eastAsia"/>
          <w:lang w:eastAsia="zh-CN"/>
        </w:rPr>
        <w:t>Tables</w:t>
      </w:r>
    </w:p>
    <w:p w14:paraId="2FCDA397" w14:textId="77777777" w:rsidR="00745DF9" w:rsidRDefault="00000000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Supplementary</w:t>
      </w:r>
      <w:r>
        <w:rPr>
          <w:rFonts w:ascii="Times New Roman" w:eastAsiaTheme="minorHAnsi" w:hAnsi="Times New Roman" w:cs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zh-CN"/>
        </w:rPr>
        <w:t>1</w:t>
      </w:r>
      <w:r>
        <w:rPr>
          <w:rFonts w:ascii="Times New Roman" w:eastAsiaTheme="minorHAnsi" w:hAnsi="Times New Roman" w:cs="Times New Roman" w:hint="eastAsia"/>
          <w:b/>
          <w:sz w:val="24"/>
          <w:szCs w:val="24"/>
          <w:lang w:eastAsia="zh-CN"/>
        </w:rPr>
        <w:t>.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The results of biochemical test</w:t>
      </w:r>
    </w:p>
    <w:tbl>
      <w:tblPr>
        <w:tblStyle w:val="TableGrid"/>
        <w:tblpPr w:leftFromText="180" w:rightFromText="180" w:vertAnchor="text" w:horzAnchor="page" w:tblpX="2627" w:tblpY="36"/>
        <w:tblOverlap w:val="never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2989"/>
      </w:tblGrid>
      <w:tr w:rsidR="00745DF9" w14:paraId="7E70089C" w14:textId="77777777">
        <w:trPr>
          <w:trHeight w:val="397"/>
        </w:trPr>
        <w:tc>
          <w:tcPr>
            <w:tcW w:w="3971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/>
          </w:tcPr>
          <w:p w14:paraId="7F09918C" w14:textId="77777777" w:rsidR="00745DF9" w:rsidRDefault="00000000">
            <w:pPr>
              <w:jc w:val="center"/>
              <w:rPr>
                <w:rFonts w:eastAsia="SimSun" w:cs="Times New Roman"/>
                <w:b/>
                <w:color w:val="000000"/>
                <w:szCs w:val="24"/>
              </w:rPr>
            </w:pPr>
            <w:r>
              <w:rPr>
                <w:rFonts w:eastAsia="SimSun" w:cs="Times New Roman" w:hint="eastAsia"/>
                <w:b/>
                <w:color w:val="000000"/>
                <w:szCs w:val="24"/>
              </w:rPr>
              <w:t>Biochemical Tests</w:t>
            </w:r>
          </w:p>
        </w:tc>
        <w:tc>
          <w:tcPr>
            <w:tcW w:w="2989" w:type="dxa"/>
            <w:tcBorders>
              <w:top w:val="single" w:sz="12" w:space="0" w:color="000000"/>
              <w:bottom w:val="single" w:sz="4" w:space="0" w:color="000000"/>
              <w:tl2br w:val="nil"/>
              <w:tr2bl w:val="nil"/>
            </w:tcBorders>
            <w:shd w:val="clear" w:color="auto" w:fill="FFFFFF"/>
          </w:tcPr>
          <w:p w14:paraId="2D21A2D1" w14:textId="77777777" w:rsidR="00745DF9" w:rsidRDefault="00000000">
            <w:pPr>
              <w:jc w:val="center"/>
              <w:rPr>
                <w:rFonts w:eastAsia="SimSun" w:cs="Times New Roman"/>
                <w:b/>
                <w:color w:val="000000"/>
                <w:szCs w:val="24"/>
                <w:lang w:eastAsia="zh-CN"/>
              </w:rPr>
            </w:pPr>
            <w:r>
              <w:rPr>
                <w:rFonts w:eastAsia="SimSun" w:cs="Times New Roman" w:hint="eastAsia"/>
                <w:b/>
                <w:color w:val="000000"/>
                <w:szCs w:val="24"/>
                <w:lang w:eastAsia="zh-CN"/>
              </w:rPr>
              <w:t>Result</w:t>
            </w:r>
          </w:p>
        </w:tc>
      </w:tr>
      <w:tr w:rsidR="00745DF9" w14:paraId="40BE6022" w14:textId="77777777">
        <w:trPr>
          <w:trHeight w:val="397"/>
        </w:trPr>
        <w:tc>
          <w:tcPr>
            <w:tcW w:w="3971" w:type="dxa"/>
            <w:tcBorders>
              <w:top w:val="single" w:sz="4" w:space="0" w:color="000000"/>
              <w:tl2br w:val="nil"/>
              <w:tr2bl w:val="nil"/>
            </w:tcBorders>
            <w:shd w:val="clear" w:color="auto" w:fill="FFFFFF"/>
          </w:tcPr>
          <w:p w14:paraId="2B073CF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Phenylalanine deaminase</w:t>
            </w:r>
          </w:p>
        </w:tc>
        <w:tc>
          <w:tcPr>
            <w:tcW w:w="2989" w:type="dxa"/>
            <w:tcBorders>
              <w:top w:val="single" w:sz="4" w:space="0" w:color="000000"/>
              <w:tl2br w:val="nil"/>
              <w:tr2bl w:val="nil"/>
            </w:tcBorders>
            <w:shd w:val="clear" w:color="auto" w:fill="FFFFFF"/>
          </w:tcPr>
          <w:p w14:paraId="4FBA7F9C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7D5B5E41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627AD7BC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Simmons' citrate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1DB329E8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774F9F2F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353BCD90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Tryptophan broth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5249E128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  <w:tr w:rsidR="00745DF9" w14:paraId="18CA48E4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449ABE3E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Gelatin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7F81273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4C8FFA20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235B197D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Ornithine decarboxylase broth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78ED8EE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5CCF6527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4A7B7F1B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Amino acid decarboxylase control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7EC814B5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2E4C0486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1B687DAF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Urease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12AA675D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6146208C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355642D3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Xylose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494E70B1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+</w:t>
            </w:r>
          </w:p>
        </w:tc>
      </w:tr>
      <w:tr w:rsidR="00745DF9" w14:paraId="491C48B5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5A5B8A6D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Maltose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04DA6333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  <w:tr w:rsidR="00745DF9" w14:paraId="763C3D96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5D1E35E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Lipase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6B0692D7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  <w:tr w:rsidR="00745DF9" w14:paraId="4480623E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00138A8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Mannitol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08B5E0DE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  <w:tr w:rsidR="00745DF9" w14:paraId="52C66A34" w14:textId="77777777">
        <w:trPr>
          <w:trHeight w:val="397"/>
        </w:trPr>
        <w:tc>
          <w:tcPr>
            <w:tcW w:w="3971" w:type="dxa"/>
            <w:tcBorders>
              <w:tl2br w:val="nil"/>
              <w:tr2bl w:val="nil"/>
            </w:tcBorders>
            <w:shd w:val="clear" w:color="auto" w:fill="FFFFFF"/>
          </w:tcPr>
          <w:p w14:paraId="0C45B17F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Salicin</w:t>
            </w:r>
          </w:p>
        </w:tc>
        <w:tc>
          <w:tcPr>
            <w:tcW w:w="2989" w:type="dxa"/>
            <w:tcBorders>
              <w:tl2br w:val="nil"/>
              <w:tr2bl w:val="nil"/>
            </w:tcBorders>
            <w:shd w:val="clear" w:color="auto" w:fill="FFFFFF"/>
          </w:tcPr>
          <w:p w14:paraId="68B715A6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  <w:tr w:rsidR="00745DF9" w14:paraId="5DABE414" w14:textId="77777777">
        <w:trPr>
          <w:trHeight w:val="397"/>
        </w:trPr>
        <w:tc>
          <w:tcPr>
            <w:tcW w:w="3971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FFFFFF"/>
          </w:tcPr>
          <w:p w14:paraId="20E5321F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 w:hint="eastAsia"/>
                <w:bCs/>
                <w:color w:val="000000"/>
                <w:szCs w:val="21"/>
              </w:rPr>
              <w:t>Esculin hydrolysis</w:t>
            </w:r>
          </w:p>
        </w:tc>
        <w:tc>
          <w:tcPr>
            <w:tcW w:w="2989" w:type="dxa"/>
            <w:tcBorders>
              <w:bottom w:val="single" w:sz="12" w:space="0" w:color="000000"/>
              <w:tl2br w:val="nil"/>
              <w:tr2bl w:val="nil"/>
            </w:tcBorders>
            <w:shd w:val="clear" w:color="auto" w:fill="FFFFFF"/>
          </w:tcPr>
          <w:p w14:paraId="13C091F3" w14:textId="77777777" w:rsidR="00745DF9" w:rsidRDefault="00000000">
            <w:pPr>
              <w:jc w:val="center"/>
              <w:rPr>
                <w:rFonts w:eastAsia="SimSun" w:cs="Times New Roman"/>
                <w:bCs/>
                <w:color w:val="000000"/>
                <w:szCs w:val="21"/>
              </w:rPr>
            </w:pPr>
            <w:r>
              <w:rPr>
                <w:rFonts w:eastAsia="SimSun" w:cs="Times New Roman"/>
                <w:bCs/>
                <w:color w:val="000000"/>
                <w:szCs w:val="21"/>
              </w:rPr>
              <w:t>-</w:t>
            </w:r>
          </w:p>
        </w:tc>
      </w:tr>
    </w:tbl>
    <w:p w14:paraId="2659B413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A5E0A74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4C3DDE7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924D7FC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57EBC0F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A01594E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0CBAE3E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0E88778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3A1E5AF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4F50AF1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7B1AB5F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6084409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626F618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FBBD50F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3E947DD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776B198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F87D28F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8A59695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38EBBC7" w14:textId="77777777" w:rsidR="00745DF9" w:rsidRDefault="00745DF9">
      <w:pPr>
        <w:pStyle w:val="Caption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5C69F7A" w14:textId="77777777" w:rsidR="00745DF9" w:rsidRDefault="00745DF9">
      <w:pPr>
        <w:rPr>
          <w:rFonts w:cs="Times New Roman"/>
          <w:b/>
          <w:szCs w:val="24"/>
        </w:rPr>
      </w:pPr>
    </w:p>
    <w:p w14:paraId="5FE0F185" w14:textId="77777777" w:rsidR="00745DF9" w:rsidRDefault="00745DF9">
      <w:pPr>
        <w:rPr>
          <w:rFonts w:cs="Times New Roman"/>
          <w:b/>
          <w:szCs w:val="24"/>
        </w:rPr>
      </w:pPr>
    </w:p>
    <w:p w14:paraId="539E723A" w14:textId="77777777" w:rsidR="00745DF9" w:rsidRDefault="00745DF9">
      <w:pPr>
        <w:rPr>
          <w:rFonts w:cs="Times New Roman"/>
          <w:b/>
          <w:szCs w:val="24"/>
        </w:rPr>
      </w:pPr>
    </w:p>
    <w:p w14:paraId="0090FF07" w14:textId="77777777" w:rsidR="00745DF9" w:rsidRDefault="00745DF9">
      <w:pPr>
        <w:rPr>
          <w:rFonts w:cs="Times New Roman"/>
          <w:b/>
          <w:szCs w:val="24"/>
        </w:rPr>
      </w:pPr>
    </w:p>
    <w:p w14:paraId="55946EDB" w14:textId="77777777" w:rsidR="00745DF9" w:rsidRDefault="00000000">
      <w:pPr>
        <w:pStyle w:val="Caption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Supplementary</w:t>
      </w:r>
      <w:r>
        <w:rPr>
          <w:rFonts w:ascii="Times New Roman" w:eastAsiaTheme="minorHAnsi" w:hAnsi="Times New Roman" w:cs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Theme="minorHAnsi" w:hAnsi="Times New Roman" w:cs="Times New Roman" w:hint="eastAsia"/>
          <w:b/>
          <w:sz w:val="24"/>
          <w:szCs w:val="24"/>
          <w:lang w:eastAsia="zh-CN"/>
        </w:rPr>
        <w:t>2.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The mortality of mice in pathogenicity test</w:t>
      </w:r>
    </w:p>
    <w:tbl>
      <w:tblPr>
        <w:tblStyle w:val="TableGrid"/>
        <w:tblW w:w="7107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3461"/>
        <w:gridCol w:w="2192"/>
      </w:tblGrid>
      <w:tr w:rsidR="00745DF9" w14:paraId="0CCA5E5B" w14:textId="77777777">
        <w:trPr>
          <w:jc w:val="center"/>
        </w:trPr>
        <w:tc>
          <w:tcPr>
            <w:tcW w:w="1454" w:type="dxa"/>
            <w:tcBorders>
              <w:top w:val="single" w:sz="12" w:space="0" w:color="000000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3A6DB40E" w14:textId="77777777" w:rsidR="00745DF9" w:rsidRDefault="00000000">
            <w:pPr>
              <w:jc w:val="center"/>
              <w:rPr>
                <w:rFonts w:eastAsia="SimSun" w:cs="Times New Roman"/>
                <w:b/>
                <w:bCs/>
                <w:color w:val="000000"/>
                <w:szCs w:val="24"/>
              </w:rPr>
            </w:pPr>
            <w:r>
              <w:rPr>
                <w:rFonts w:eastAsia="SimSun" w:cs="Times New Roman" w:hint="eastAsia"/>
                <w:b/>
                <w:bCs/>
                <w:color w:val="000000"/>
                <w:szCs w:val="24"/>
              </w:rPr>
              <w:t>Group</w:t>
            </w:r>
          </w:p>
        </w:tc>
        <w:tc>
          <w:tcPr>
            <w:tcW w:w="346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A162FE" w14:textId="77777777" w:rsidR="00745DF9" w:rsidRDefault="00000000">
            <w:pPr>
              <w:jc w:val="center"/>
              <w:rPr>
                <w:rFonts w:eastAsia="SimSun" w:cs="Times New Roman"/>
                <w:b/>
                <w:bCs/>
                <w:color w:val="000000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</w:rPr>
              <w:t xml:space="preserve">Suspension Concentration </w:t>
            </w:r>
            <w:r>
              <w:rPr>
                <w:rFonts w:eastAsia="SimSun" w:cs="Times New Roman" w:hint="eastAsia"/>
                <w:b/>
                <w:bCs/>
                <w:color w:val="000000"/>
                <w:szCs w:val="24"/>
              </w:rPr>
              <w:t>(</w:t>
            </w:r>
            <w:r>
              <w:rPr>
                <w:rFonts w:eastAsia="SimSun" w:cs="Times New Roman"/>
                <w:b/>
                <w:bCs/>
                <w:color w:val="000000"/>
                <w:szCs w:val="24"/>
              </w:rPr>
              <w:t>CFU/mL</w:t>
            </w:r>
            <w:r>
              <w:rPr>
                <w:rFonts w:eastAsia="SimSun" w:cs="Times New Roman" w:hint="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535F5EF2" w14:textId="77777777" w:rsidR="00745DF9" w:rsidRDefault="00000000">
            <w:pPr>
              <w:jc w:val="center"/>
              <w:rPr>
                <w:rFonts w:eastAsia="SimSun" w:cs="Times New Roman"/>
                <w:b/>
                <w:bCs/>
                <w:color w:val="000000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szCs w:val="24"/>
              </w:rPr>
              <w:t>Number of Dea</w:t>
            </w:r>
            <w:r>
              <w:rPr>
                <w:rFonts w:eastAsia="SimSun" w:cs="Times New Roman" w:hint="eastAsia"/>
                <w:b/>
                <w:bCs/>
                <w:color w:val="000000"/>
                <w:szCs w:val="24"/>
              </w:rPr>
              <w:t>th</w:t>
            </w:r>
          </w:p>
        </w:tc>
      </w:tr>
      <w:tr w:rsidR="00745DF9" w14:paraId="1462EE56" w14:textId="77777777">
        <w:trPr>
          <w:jc w:val="center"/>
        </w:trPr>
        <w:tc>
          <w:tcPr>
            <w:tcW w:w="1454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14:paraId="4A9286E0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24D1397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2.9×10</w:t>
            </w:r>
            <w:r>
              <w:rPr>
                <w:rFonts w:eastAsia="SimSun" w:cs="Times New Roman"/>
                <w:color w:val="000000"/>
                <w:szCs w:val="24"/>
                <w:vertAlign w:val="superscript"/>
              </w:rPr>
              <w:t>7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nil"/>
            </w:tcBorders>
            <w:shd w:val="clear" w:color="auto" w:fill="FFFFFF"/>
          </w:tcPr>
          <w:p w14:paraId="11F58E5B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0/10</w:t>
            </w:r>
          </w:p>
        </w:tc>
      </w:tr>
      <w:tr w:rsidR="00745DF9" w14:paraId="5EF6BA66" w14:textId="77777777">
        <w:trPr>
          <w:jc w:val="center"/>
        </w:trPr>
        <w:tc>
          <w:tcPr>
            <w:tcW w:w="145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25E1257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256D1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2.9×10</w:t>
            </w:r>
            <w:r>
              <w:rPr>
                <w:rFonts w:eastAsia="SimSun" w:cs="Times New Roman"/>
                <w:color w:val="000000"/>
                <w:szCs w:val="24"/>
                <w:vertAlign w:val="superscript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4F96725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0/10</w:t>
            </w:r>
          </w:p>
        </w:tc>
      </w:tr>
      <w:tr w:rsidR="00745DF9" w14:paraId="532BA9BB" w14:textId="77777777">
        <w:trPr>
          <w:jc w:val="center"/>
        </w:trPr>
        <w:tc>
          <w:tcPr>
            <w:tcW w:w="145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A59D198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A7555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2.9×10</w:t>
            </w:r>
            <w:r>
              <w:rPr>
                <w:rFonts w:eastAsia="SimSun" w:cs="Times New Roman"/>
                <w:color w:val="000000"/>
                <w:szCs w:val="24"/>
                <w:vertAlign w:val="superscript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C0411CC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8/10</w:t>
            </w:r>
          </w:p>
        </w:tc>
      </w:tr>
      <w:tr w:rsidR="00745DF9" w14:paraId="3E1264BD" w14:textId="77777777">
        <w:trPr>
          <w:jc w:val="center"/>
        </w:trPr>
        <w:tc>
          <w:tcPr>
            <w:tcW w:w="145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D1B56FB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4B22D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2.9×10</w:t>
            </w:r>
            <w:r>
              <w:rPr>
                <w:rFonts w:eastAsia="SimSun" w:cs="Times New Roman"/>
                <w:color w:val="000000"/>
                <w:szCs w:val="24"/>
                <w:vertAlign w:val="superscript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C943DC4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10/10</w:t>
            </w:r>
          </w:p>
        </w:tc>
      </w:tr>
      <w:tr w:rsidR="00745DF9" w14:paraId="70470FF6" w14:textId="77777777">
        <w:trPr>
          <w:trHeight w:val="90"/>
          <w:jc w:val="center"/>
        </w:trPr>
        <w:tc>
          <w:tcPr>
            <w:tcW w:w="145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2AF8D03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18A94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2.9×10</w:t>
            </w:r>
            <w:r>
              <w:rPr>
                <w:rFonts w:eastAsia="SimSun" w:cs="Times New Roman"/>
                <w:color w:val="000000"/>
                <w:szCs w:val="24"/>
                <w:vertAlign w:val="superscript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2EE051E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10/10</w:t>
            </w:r>
          </w:p>
        </w:tc>
      </w:tr>
      <w:tr w:rsidR="00745DF9" w14:paraId="2EC6B9B8" w14:textId="77777777">
        <w:trPr>
          <w:jc w:val="center"/>
        </w:trPr>
        <w:tc>
          <w:tcPr>
            <w:tcW w:w="1454" w:type="dxa"/>
            <w:tcBorders>
              <w:top w:val="nil"/>
              <w:bottom w:val="single" w:sz="12" w:space="0" w:color="000000"/>
              <w:right w:val="nil"/>
            </w:tcBorders>
            <w:shd w:val="clear" w:color="auto" w:fill="FFFFFF"/>
          </w:tcPr>
          <w:p w14:paraId="713C35D1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 w:hint="eastAsia"/>
                <w:color w:val="000000"/>
                <w:szCs w:val="24"/>
              </w:rPr>
              <w:t>Control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2DE99108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12" w:space="0" w:color="000000"/>
            </w:tcBorders>
            <w:shd w:val="clear" w:color="auto" w:fill="FFFFFF"/>
          </w:tcPr>
          <w:p w14:paraId="746DAE5A" w14:textId="77777777" w:rsidR="00745DF9" w:rsidRDefault="00000000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0/10</w:t>
            </w:r>
          </w:p>
        </w:tc>
      </w:tr>
    </w:tbl>
    <w:p w14:paraId="18CF879C" w14:textId="77777777" w:rsidR="00745DF9" w:rsidRDefault="00745DF9"/>
    <w:sectPr w:rsidR="0074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E418" w14:textId="77777777" w:rsidR="00187214" w:rsidRDefault="00187214">
      <w:r>
        <w:separator/>
      </w:r>
    </w:p>
  </w:endnote>
  <w:endnote w:type="continuationSeparator" w:id="0">
    <w:p w14:paraId="00323E95" w14:textId="77777777" w:rsidR="00187214" w:rsidRDefault="0018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31E6" w14:textId="77777777" w:rsidR="00187214" w:rsidRDefault="00187214">
      <w:pPr>
        <w:spacing w:before="0" w:after="0"/>
      </w:pPr>
      <w:r>
        <w:separator/>
      </w:r>
    </w:p>
  </w:footnote>
  <w:footnote w:type="continuationSeparator" w:id="0">
    <w:p w14:paraId="081E94EF" w14:textId="77777777" w:rsidR="00187214" w:rsidRDefault="001872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0690879">
    <w:abstractNumId w:val="0"/>
  </w:num>
  <w:num w:numId="2" w16cid:durableId="79430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B63AD9"/>
    <w:rsid w:val="00187214"/>
    <w:rsid w:val="00187752"/>
    <w:rsid w:val="00637E17"/>
    <w:rsid w:val="00745DF9"/>
    <w:rsid w:val="2E101E34"/>
    <w:rsid w:val="3B4756B8"/>
    <w:rsid w:val="411029F0"/>
    <w:rsid w:val="496E0687"/>
    <w:rsid w:val="4D164830"/>
    <w:rsid w:val="4D5805AE"/>
    <w:rsid w:val="5AB63AD9"/>
    <w:rsid w:val="6C7A4FD5"/>
    <w:rsid w:val="733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FD8F"/>
  <w15:docId w15:val="{D11747F5-C8BB-42C6-A19A-5380F76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uiPriority w:val="2"/>
    <w:qFormat/>
    <w:pPr>
      <w:numPr>
        <w:ilvl w:val="1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/>
      <w:sz w:val="20"/>
    </w:rPr>
  </w:style>
  <w:style w:type="paragraph" w:styleId="Title">
    <w:name w:val="Title"/>
    <w:basedOn w:val="Normal"/>
    <w:next w:val="Normal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陈子</dc:creator>
  <cp:lastModifiedBy>Giada Zaffin</cp:lastModifiedBy>
  <cp:revision>2</cp:revision>
  <dcterms:created xsi:type="dcterms:W3CDTF">2025-03-21T02:57:00Z</dcterms:created>
  <dcterms:modified xsi:type="dcterms:W3CDTF">2025-04-15T17:16:00Z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F8264EB94C724185828EB1C678A50EE2_13</vt:lpwstr>
  </property>
  <property fmtid="{D5CDD505-2E9C-101B-9397-08002B2CF9AE}" pid="4" name="KSOTemplateDocerSaveRecord">
    <vt:lpwstr>eyJoZGlkIjoiNzg0MmZkN2JkNmYxMzNmOGM5NTMzMjM1Y2I0N2Y2Y2MiLCJ1c2VySWQiOiIzMTAzNDE3NDcifQ==</vt:lpwstr>
  </property>
</Properties>
</file>