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54AB" w14:textId="19E92B53" w:rsidR="00654E8F" w:rsidRDefault="00654E8F" w:rsidP="0001436A">
      <w:pPr>
        <w:pStyle w:val="SupplementaryMaterial"/>
      </w:pPr>
      <w:r w:rsidRPr="001549D3">
        <w:t>Supplementary Material</w:t>
      </w:r>
    </w:p>
    <w:p w14:paraId="2660A274" w14:textId="77777777" w:rsidR="00DB486C" w:rsidRPr="00DB486C" w:rsidRDefault="00DB486C" w:rsidP="00DB486C"/>
    <w:p w14:paraId="5B9F45C9" w14:textId="6F4E9E9D" w:rsidR="00994A3D" w:rsidRPr="00CD6D3F" w:rsidRDefault="00474FD0" w:rsidP="00CD6D3F">
      <w:pPr>
        <w:pStyle w:val="Titre1"/>
        <w:numPr>
          <w:ilvl w:val="0"/>
          <w:numId w:val="0"/>
        </w:numPr>
        <w:spacing w:before="0"/>
        <w:ind w:left="567" w:hanging="567"/>
      </w:pPr>
      <w:r>
        <w:t>Table 1</w:t>
      </w:r>
      <w:r w:rsidR="001408EF">
        <w:t xml:space="preserve"> – </w:t>
      </w:r>
      <w:r w:rsidR="001408EF" w:rsidRPr="00CC6673">
        <w:t xml:space="preserve">Gender Disparities of CI across </w:t>
      </w:r>
      <w:proofErr w:type="spellStart"/>
      <w:r w:rsidR="001408EF" w:rsidRPr="00CC6673">
        <w:t>NADs_Summary</w:t>
      </w:r>
      <w:proofErr w:type="spellEnd"/>
      <w:r w:rsidR="001408EF" w:rsidRPr="00CC6673">
        <w:t xml:space="preserve"> of Findings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724"/>
        <w:gridCol w:w="1559"/>
        <w:gridCol w:w="1418"/>
        <w:gridCol w:w="1983"/>
        <w:gridCol w:w="3119"/>
        <w:gridCol w:w="2357"/>
      </w:tblGrid>
      <w:tr w:rsidR="00D82711" w:rsidRPr="00173B71" w14:paraId="7171B3C1" w14:textId="77777777" w:rsidTr="00D82711">
        <w:trPr>
          <w:trHeight w:val="315"/>
        </w:trPr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D005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Condition/ NAD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271A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Title &amp; DOI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E0288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Author(s), Year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3FB7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Study Design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2D8D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Population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4F344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Main Findings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53EAA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Quality/ Risk of Bias (Tool Used)</w:t>
            </w:r>
          </w:p>
        </w:tc>
      </w:tr>
      <w:tr w:rsidR="00D82711" w:rsidRPr="00FD6B49" w14:paraId="2DB32268" w14:textId="77777777" w:rsidTr="00D82711">
        <w:trPr>
          <w:trHeight w:val="315"/>
        </w:trPr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9F59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Hashimoto's Thyroiditis (HT)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784B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No studies found.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9AD1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11428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F181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C788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9DAF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</w:t>
            </w:r>
          </w:p>
        </w:tc>
      </w:tr>
      <w:tr w:rsidR="00D82711" w:rsidRPr="00FD6B49" w14:paraId="6F880554" w14:textId="77777777" w:rsidTr="00D82711">
        <w:trPr>
          <w:trHeight w:val="315"/>
        </w:trPr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CB58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Graves' Disease (GD)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4C776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Long-Term Outcome of Graves' Disease: A Gender Perspective. DOI: 10.1089/whr.2023.0073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4C13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Calissendorff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et al. 2023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4985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Prospective cohort study (Longitudinal Follow-Up; 6–10 years).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63BFE" w14:textId="77777777" w:rsidR="00CD6D3F" w:rsidRPr="00A71582" w:rsidRDefault="00CD6D3F" w:rsidP="00A71582">
            <w:pPr>
              <w:spacing w:after="0"/>
              <w:rPr>
                <w:rFonts w:eastAsia="Times New Roman"/>
                <w:lang w:eastAsia="fr-FR"/>
              </w:rPr>
            </w:pPr>
            <w:bookmarkStart w:id="0" w:name="_GoBack"/>
            <w:bookmarkEnd w:id="0"/>
            <w:r w:rsidRPr="00A71582">
              <w:rPr>
                <w:rFonts w:eastAsia="Times New Roman"/>
                <w:lang w:eastAsia="fr-FR"/>
              </w:rPr>
              <w:t>N: 1186 GD patients</w:t>
            </w:r>
            <w:r w:rsidRPr="00A71582">
              <w:rPr>
                <w:rFonts w:eastAsia="Times New Roman"/>
                <w:lang w:eastAsia="fr-FR"/>
              </w:rPr>
              <w:br/>
              <w:t>Gender: 973 women (82%), 213 men (18%)</w:t>
            </w:r>
            <w:r w:rsidRPr="00A71582">
              <w:rPr>
                <w:rFonts w:eastAsia="Times New Roman"/>
                <w:lang w:eastAsia="fr-FR"/>
              </w:rPr>
              <w:br/>
              <w:t>Age: Mean 47 (±14) years (women), 49 (±14) years (men)</w:t>
            </w:r>
            <w:r w:rsidRPr="00A71582">
              <w:rPr>
                <w:rFonts w:eastAsia="Times New Roman"/>
                <w:lang w:eastAsia="fr-FR"/>
              </w:rPr>
              <w:br/>
              <w:t>Ethnicity/Country: Sweden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86434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- Short-Form Health Status (SF-36): Women have worse bodily pain scores.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Thyroid-Related Patient-Reported Outcome (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ThyPRO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>): Women have higher depression (p&lt;0.05), impaired sex life (p&lt;0.05), and cosmetic complaints (p&lt;0.05).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Hypothyroidism: 2× higher prevalence in women (29.5% vs. 14.9% in men, p&lt;0.05) | accordingly Levothyroxine use: Women twice as likely to require it post-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antithyroid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drugs (ATD) (p&lt;0.05).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Feeling of recovery: No gender difference, but levothyroxine users (33.2%)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felt less recovered vs. non-users (13.9%).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8EC2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 xml:space="preserve">Tool: Newcastle-Ottawa Scale (NOS) for cohort studies.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Strengths: large cohort, long follow-up (6–10 years), validated assessment tools, adjustment for age/comorbidity.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Limitations: observational design; possible confounding (menopausal status, biochemical thresholds for levothyroxine, thyroid antibody levels), selection bias (60% response rate), self-report bias.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Risk of Bias: Moderate.</w:t>
            </w:r>
          </w:p>
        </w:tc>
      </w:tr>
      <w:tr w:rsidR="00D82711" w:rsidRPr="00FD6B49" w14:paraId="347E6045" w14:textId="77777777" w:rsidTr="00D82711">
        <w:trPr>
          <w:trHeight w:val="315"/>
        </w:trPr>
        <w:tc>
          <w:tcPr>
            <w:tcW w:w="5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1691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lastRenderedPageBreak/>
              <w:t>Fibromyalgia (FMS)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88D4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Sex-Related Differences in Symptoms and Psychosocial Outcomes in Patients With Fibromyalgia: A Prospective Questionnaire Study. DOI:10.1016/j.mayocpiqo.2020.06.009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0263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Jiang et al. 2020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80FBC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Prospective cohort questionnaire study.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078C4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N: 668 patients Gender: 606 women (90.7%), 62 men (9.3%)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Age: Mean 47.2±13.0 years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93.5% White men, 88.6% White women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;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USA (the Fibromyalgia and Chronic Fatigue Clinic).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5A60A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- Higher tender point count (TPC) in women (p&lt;0.001).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No sex differences in depression, anxiety, sleep problems, FMS symptom severity, cognitive dysfunction, or quality of life (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), after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Benjamini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>-Hochberg adjustment.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Lower symptom severity in women (p=0.03) pre-adjustment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;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(Revised Fibromyalgia Impact Questionnaire).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F6EE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ROBINS-I (Risk Of Bias In Non-randomized Studies).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relatively large cohort, validated questionnaires, adjusted for confounders (age, BMI, education).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selection bias (single-center; limited generalizability), self-report bias (subjective symptom reporting), non-balanced gender representation.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59F6949E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40146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C7FE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Gender Differences in Symptoms, Health-Related Quality of Life, Sleep Quality, Mental Health, Cognitive Performance, Pain-Cognition, and Positive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Health in Spanish Fibromyalgia Individuals: The Al-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Ándalus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Project. DOI:10.1155/2016/5135176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28BF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Segura-Jiménez et al. 2016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0698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Cross-sectional study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D685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N: 652 participants (405 FMS patients, 247 healthy controls) Gender: FMS patients (384 women, 21 men), healthy controls (195 women, 52 men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)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Age: Mean ~49 years (FMS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women), ~47 years (FMS men)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Spain (Andalusia).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894AB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FMS Group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: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Men had better working memory (PASAT; p&lt;0.01).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Women had shorter sleep latency (47.9 vs. 72.7 mins, p=0.013).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Healthy controls non-FMS Group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: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Men had higher pain thresholds (all tender points except epicondyles, p&lt;0.01),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and better working memory than women (p&lt;0,01).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Women had better verbal memory (RAVLT, P ≤ 0.01).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C2D66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Tool: ROBINS-I.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relatively large sample, comprehensive assessments using validated tools, adjusted for confounders.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Limitations: cross-sectional design (no causality), small male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subgroup, self-report bias.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28910FC1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B0672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3649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Gender influence on clinical manifestations, depressive symptoms and brain-derived neurotrophic factor (BDNF) serum levels in patients affected by fibromyalgia. DOI:10.1007/s10067-022-06133-y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F1FC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Iannuccelli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et al. 2022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E376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Cross-sectional study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11E9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N: 241 participants (201 FMS patients, 40 healthy controls) Gender: Patients (172 women, 29 men) matched by age/sex with the healthy controls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Age: Mean 49 years (FMS group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)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Italy (Sapienza University of Rome).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B0CB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- FMS Women: Higher pain, fatigue, memory issues, tenderness, balance problems and sensitivity to environmental stimuli compared to 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FMS Men: Higher depressive symptoms (72.4% vs. 51.9%, p=0.038).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BDNF: Lower in FMS patients compared to healthy controls (p&lt;0.0001); FMS men had lower BDNF than FMS women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and than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healthy control 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men,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FMS women had lower BDNF than healthy control women.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E341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ROBINS-I.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validated tools employed, BDNF measured via ELISA with sensitivity controls, adjusted for confounders (age, BMI).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small male subgroup, single-center recruitment (selection bias), cross-sectional design (no causality).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0C45956A" w14:textId="77777777" w:rsidTr="00D82711">
        <w:trPr>
          <w:trHeight w:val="315"/>
        </w:trPr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617D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Guillain-Barré</w:t>
            </w:r>
            <w:proofErr w:type="spellEnd"/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 xml:space="preserve"> Syndrome (GBS)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D337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Factors associated with long-term functional outcomes and psychological sequelae in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Guillain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–Barre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 xml:space="preserve">syndrome. DOI: 10.1007/s00415-010-5653-x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C94C8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Khan et al. 2010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47EB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Prospective observational cohort study with structured interviews and medical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record review.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F20C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N: 76 (from 157 initially identified; 62% recruitment rate)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Gender: 60% males, 40% females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Age: Mean 56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 xml:space="preserve">years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Ethnicity/Country: Australia (Royal Melbourne Hospital) 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A5A3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- Demographic: Females and older adults (57+ years) had worse functional (↓FIM scores) and psychological outcomes (↑DASS scores).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Clinical severity indicators: ICU admission, prolonged acute hospital length of stay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(LOS) &gt;11 days, and discharge destination (to a rehabilitation facility) linked to lower function and higher participation restrictions.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Time since diagnosis showed no association with outcomes of functional independence or psychological wellbeing.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Overall, a high percentage of participants reported moderate, severe or extreme levels of depression, anxiety and stress.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513C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Tool: Newcastle-Ottawa Scale (NOS).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Strengths: validated tools 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used,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comprehensive assessments.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Limitations: small sample, regional bias,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self-reporting bias, no adjustment for confounders.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5794CE54" w14:textId="77777777" w:rsidTr="00D82711">
        <w:trPr>
          <w:trHeight w:val="315"/>
        </w:trPr>
        <w:tc>
          <w:tcPr>
            <w:tcW w:w="5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1B33C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lastRenderedPageBreak/>
              <w:t>Myasthenia Gravis (MG)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5F9A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Gender differences in quality of life among patients with myasthenia gravis in China. DOI: 10.1186/s12955-020-01549-z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963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Dong et al. 2020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7046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Cross-sectional study (using online questionnaires).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0062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N: 1815 patients (from 2000 initially recruited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)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Gender: 1194 females (66%), 621 males (34%)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Age: Mean 43.4 years (males), 39.8 years (females)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Ethnicity/Country: China 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81AB8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 Gender Disparity: Females reported lower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HRQoL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across all domains (physical, social, and emotional; p &lt; 0.05).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Comorbidities: Interaction between gender and comorbidities worsened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HRQoL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more in females (p &lt; 0.05).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Key Factors: Unemployment (p &lt; 0.001), MG exacerbations (p &lt; 0.001), and active lifestyle (p &lt; 0.001) strongly influenced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HRQoL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>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Clinical: Females had worse MG activities of daily living scale (MG-ADL) scores and higher rates of autoimmune thyroid disease.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5F2EB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JBI Critical Appraisal Checklist for Analytical Cross-Sectional Studies.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validated tools used, comprehensive assessments, adjustment for confounders.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convenience sampling, self-reporting bias, no objective clinical severity measures, lack of causality due to study design.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35EF0DA4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BC45C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CE3C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Female sex and overweight are associated with a lower quality of life in patients with myasthenia gravis: a single center cohort study. DOI: 10.1186/s12883-023-03406-0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AAA3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Wilcke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et al. 2023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048C0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Mixed retrospective-prospective cohort study (monocentric).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3BD5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gramStart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>N:</w:t>
            </w:r>
            <w:proofErr w:type="gramEnd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 xml:space="preserve"> 165 patients.</w:t>
            </w:r>
            <w:r w:rsidRPr="00CD6D3F">
              <w:rPr>
                <w:rFonts w:eastAsia="Times New Roman" w:cs="Times New Roman"/>
                <w:szCs w:val="24"/>
                <w:lang w:val="fr-FR" w:eastAsia="fr-FR"/>
              </w:rPr>
              <w:br/>
            </w:r>
            <w:proofErr w:type="spellStart"/>
            <w:proofErr w:type="gramStart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>Gender</w:t>
            </w:r>
            <w:proofErr w:type="spellEnd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>:</w:t>
            </w:r>
            <w:proofErr w:type="gramEnd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 xml:space="preserve"> 85 males (51.5%) , 80 </w:t>
            </w:r>
            <w:proofErr w:type="spellStart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>females</w:t>
            </w:r>
            <w:proofErr w:type="spellEnd"/>
            <w:r w:rsidRPr="00CD6D3F">
              <w:rPr>
                <w:rFonts w:eastAsia="Times New Roman" w:cs="Times New Roman"/>
                <w:szCs w:val="24"/>
                <w:lang w:val="fr-FR" w:eastAsia="fr-FR"/>
              </w:rPr>
              <w:t xml:space="preserve"> (48.5%).</w:t>
            </w:r>
            <w:r w:rsidRPr="00CD6D3F">
              <w:rPr>
                <w:rFonts w:eastAsia="Times New Roman" w:cs="Times New Roman"/>
                <w:szCs w:val="24"/>
                <w:lang w:val="fr-FR" w:eastAsia="fr-FR"/>
              </w:rPr>
              <w:br/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t>Age: Mean 59.8 years at study entry; females younger at symptom onset (50.1 vs. 58.4 years).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Germany.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2EF40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 Gender: Females had lower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HRQoL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(MG-QoL15) and worse functional status (MG-ADL).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BMI: Higher BMI correlated with poorer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HRQoL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(β = +1.29 per BMI unit, p = 0.005) and MG-ADL (p = 0.017).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Clinical: Disease severity (QMG) strongly 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impacted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HRQoL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(β = +17.6, p &lt; 0.001). Females experienced longer diagnosis delays (2.15 vs. 0.87 years, p = 0.034).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Comorbidities: Females had higher rates of depression (28.7% vs. 15.3%, p = 0.04) and autoimmune diseases (27.5% vs. 9.4%, p = 0.004).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1127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JBI Critical Appraisal Checklist for Analytical Cross-Sectional Studies.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validated tools used, comprehensive assessments, adjustment for confounders (age, disease severity).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small sample for BMI analysis, retrospective design, convenience sampling.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5BCA3900" w14:textId="77777777" w:rsidTr="00D82711">
        <w:trPr>
          <w:trHeight w:val="315"/>
        </w:trPr>
        <w:tc>
          <w:tcPr>
            <w:tcW w:w="5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B2A5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Multiple Sclerosis (MS)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321D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Can we predict cognitive decline after initial diagnosis of multiple sclerosis? Results from the German National early MS cohort (KKNMS). DOI: 10.1007/s00415-018-9142-y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383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Johnen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et al. 2019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9DE3C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Prospective multicenter cohort study (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NationMS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>), longitudinal (baseline and 1-year follow-up). Bayesian multilevel regression models.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783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N: 1123 patients; newly diagnosed multiple sclerosis (MS) or clinically isolated syndrome (CIS).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Gender: 2.2:1 female-to-male ratio.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Age: Median of onset is 31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,71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years.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Germany.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4B13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- 22% of patients had CI at baseline (processing speed/executive function most affected).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Baseline CI predictors: Older age, male sex, lower education, higher physical disability (EDSS), and depression (BDI-II) linked to greater CI severity.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Demographic, clinical, and conventional MRI data insufficient for identifying short-term cognitive change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risks in newly diagnosed MS or CIS patients.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EC0E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Tool: Newcastle-Ottawa Scale (NOS).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large multicenter cohort, standardized protocols, controlled for age/gender/education.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short follow-up, unmeasured confounders (cognitive reserve), practice effects in cognitive testing.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Risk of Bias: Moderate.</w:t>
            </w:r>
          </w:p>
        </w:tc>
      </w:tr>
      <w:tr w:rsidR="00D82711" w:rsidRPr="00FD6B49" w14:paraId="36F0C7B9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F996DA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D31F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Sex Differences in Resting-State Functional Connectivity in Multiple Sclerosis. DOI: 10.3174/ajnr.A3630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1B10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Koenig et al. 2013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2635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Cross-sectional case-control study.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ADB9A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N: 64 participants; 32 MS patients matched with 32 healthy controls.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Gender: MS patients (16 males, 16 females), healthy controls (16 males, 16 females).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Age: Mean age of 41.85 years.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USA.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75D3E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 MS patients showed stronger connectivity from posterior cingulate to medial frontal gyri, anterior cingulate, right putamen, and left middle temporal gyrus compared to healthy controls (P &lt; .0005).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Male MS patients had weaker connectivity to the caudate compared to female MS patients (P = .004). While male controls have stronger connectivity between posterior cingulate and left prefrontal cortex than female controls.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Female MS patients had stronger connectivity between posterior cingulate and left prefrontal cortex compared to female controls.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0D324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Newcastle-Ottawa Scale (NOS).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Age/sex matching of controls, standardized MRI protocols and motion correction, blinded neuropsychological assessments.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Limitations: small sample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size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,cingle</w:t>
            </w:r>
            <w:proofErr w:type="spellEnd"/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-center design (potential selection bias), lack of longitudinal data to assess causality.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46FEE4B1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2ACE2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DF7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What Can We Learn from Sex Differences in MS? DOI: 10.3390/jpm11101006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00F7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Coyle et al. 2021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E86D9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Integrative Literature review.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8104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 (discusses global MS demographics).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4EDF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- MS is more common in females, with high variability.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Relapsing MS is the most common phenotype (RRMS).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PPMS has a later age of onset (decade later than RRMS).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MS disease activity decreases during pregnancy (3rd trimester), rebounds postpartum, and may worsen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after menopause.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Males more likely to develop primary progressive MS (PPMS), with worse prognosis, cognitive impairment, and disability.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Males with RRMS show more motor issues and fewer optic neuritis cases.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MS males have lower LH, FSH, and testosterone levels.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Sex hormones (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estriol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, testosterone) have immunomodulatory effects on MS.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Progressive MS males show more severe HPT axis abnormalities than RRMS 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Obesity and high BMI in adolescence increase MS risk in 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Neuroimaging: Greater gray matter atrophy in males; hormonal influences on CNS structure.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Comorbidities: Higher vascular comorbidities in males; mental health issues in females.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Treatment: Safety considerations for disease-modifying therapies (DMTs)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during pregnancy and breastfeeding.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956A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Tool: SANRA (Scale for the Assessment of Narrative Review Articles).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Strengths: comprehensive scope and up-to-date coverage of data, clinically relevant insights (pregnancy,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DMT use).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methodological limitations (literature review).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0EA3AB2F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983CD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28BB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Potential biological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contributers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to the sex difference in multiple sclerosis progression. DOI: 10.3389/fimmu.2023.1175874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0C76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Alvarez-Sanchez et al. 2023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2B7D4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Integrative Literature review.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F2E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 (synthesizing human and animal studies, with diverse demographics)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CFB7B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 Males exhibit faster progression, more cortical lesions, and cognitive decline (verbal and non-verbal memory, information processing speed, attention, and executive functioning deficits) than females.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Males exhibit lower functional connectivity and network efficiency.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Females show better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remyelination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, robust anti-viral responses, and hormonal neuroprotection.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These gender-related disparities related to numerous factors (including immune, hormonal, structural, environmental, metabolic, and gastrointestinal).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871D4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SANRA.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comprehensive coverage of existing studies; highlights understudied mechanisms.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methodological limitations (literature review).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24D98CFA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EAE36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71C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Quantitative effect of sex on disease activity and disability accumulation in multiple sclerosis. DOI: 10.1136/jnnp-2022-328994 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DD0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Magyari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et al. 2022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1272C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Observational cohort study (Nationwide population-based).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88897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N: 9647 patients; RRMS treated with DMTs (since 1996).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Gender: 3028 males, 6619 females.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Age: Mean age at onset is 34.3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(male), 33.5 (females).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Ethnicity/Country: Danish population (Denmark).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CFF3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- Women had 16% higher relapse rates than men, but this difference disappeared after age 50.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Men showed faster disability accumulation (annual EDSS increase: 0.07 vs. 0.05 in women, p = 0.017).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Men had higher hazards of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reaching EDSS 4 (HR: 1.34) and EDSS 6 (HR: 1.43) (p &lt; 0.001).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Gender-related differences in neurodegenerative symptoms 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became pronounced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after age 45.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8C70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Tool: ROBINS-I.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nationwide registry data minimizing selection bias, adjustment for confounders, large sample size.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Limitations: exclusion of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untreated/progressive MS patients, lack of MRI data, potential unmeasured confounders (lifestyle factors).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24E6E467" w14:textId="77777777" w:rsidTr="00D82711">
        <w:trPr>
          <w:trHeight w:val="315"/>
        </w:trPr>
        <w:tc>
          <w:tcPr>
            <w:tcW w:w="5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02167B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54758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Estriol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>-mediated neuroprotection in multiple sclerosis localized by voxel-based morphometry. DOI: 10.1002/brb3.1086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EF2E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MacKenzie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>-Graham et al. 2018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A66F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Randomized Controlled Trial (Phase 2) “A Combination Trial of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Copaxone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plus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Estriol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in RRMS”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9E5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N: 111 RRMS patients (62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estriol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-treated, 49 placebo-treated).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Gender: Female.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Age: 18–50 years (mean 37.3 ± 7.5).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Ethnicity/Country: 81.1% Caucasian, 9.9% Black, 8.1% Hispanic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;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USA-based.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2770D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-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Estriol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preserved gray matter (GM) in frontal and parietal cortices, correlating with improved PASAT scores.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Estriol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group had less whole GM atrophy (0.5% vs. 1.5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% annualized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loss).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- Early intervention 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with a neuroprotective agents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is better to prevent GM loss and cognitive impairment (CI).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No significant effects on motor outcomes.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DD73C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Tool: Cochrane Risk of Bias 2.0 (</w:t>
            </w: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RoB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2</w:t>
            </w:r>
            <w:proofErr w:type="gramStart"/>
            <w:r w:rsidRPr="00FD6B49">
              <w:rPr>
                <w:rFonts w:eastAsia="Times New Roman" w:cs="Times New Roman"/>
                <w:szCs w:val="24"/>
                <w:lang w:eastAsia="fr-FR"/>
              </w:rPr>
              <w:t>) .</w:t>
            </w:r>
            <w:proofErr w:type="gramEnd"/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randomized, blinded outcome assessment, controlled for multiple comparisons.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Limitations: small sample size, multi-site MRI variability, potential practice effects on PASAT.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Risk of Bias: Moderate.</w:t>
            </w:r>
          </w:p>
        </w:tc>
      </w:tr>
      <w:tr w:rsidR="00D82711" w:rsidRPr="00FD6B49" w14:paraId="02BB575A" w14:textId="77777777" w:rsidTr="00D82711">
        <w:trPr>
          <w:trHeight w:val="315"/>
        </w:trPr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0175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b/>
                <w:bCs/>
                <w:szCs w:val="24"/>
                <w:lang w:eastAsia="fr-FR"/>
              </w:rPr>
              <w:t>Narcolepsy Type 1 (NT1)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5CEA1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Gender medicine and sleep disorders: from basic science to clinical research. DOI: 10.3389/fneur.2024.1392489</w:t>
            </w:r>
          </w:p>
        </w:tc>
        <w:tc>
          <w:tcPr>
            <w:tcW w:w="5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4CA4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FD6B49">
              <w:rPr>
                <w:rFonts w:eastAsia="Times New Roman" w:cs="Times New Roman"/>
                <w:szCs w:val="24"/>
                <w:lang w:eastAsia="fr-FR"/>
              </w:rPr>
              <w:t>Perger</w:t>
            </w:r>
            <w:proofErr w:type="spellEnd"/>
            <w:r w:rsidRPr="00FD6B49">
              <w:rPr>
                <w:rFonts w:eastAsia="Times New Roman" w:cs="Times New Roman"/>
                <w:szCs w:val="24"/>
                <w:lang w:eastAsia="fr-FR"/>
              </w:rPr>
              <w:t xml:space="preserve"> et al. 2024</w:t>
            </w:r>
          </w:p>
        </w:tc>
        <w:tc>
          <w:tcPr>
            <w:tcW w:w="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022AA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Integrative literature review.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EA1AF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N/A (depends on each study included; some studies are not accessible).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D8CD2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t>Females exhibit an earlier onset of EDS and cataplexy, more severe EDS, and longer diagnostic delay compared to 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Males experienced fewer nocturnal awakenings compared to females.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Neurobiological differences suggest sex-specific variations in narcolepsy symptoms and 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sleep patterns. Findings underscore the need for more systematic studies to confirm sex-related disparities and their mechanisms.</w:t>
            </w:r>
          </w:p>
        </w:tc>
        <w:tc>
          <w:tcPr>
            <w:tcW w:w="8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00A63" w14:textId="77777777" w:rsidR="00CD6D3F" w:rsidRPr="00FD6B49" w:rsidRDefault="00CD6D3F" w:rsidP="00E85E33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Tool: SANRA.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>- Strengths: comprehensive Scope, multidisciplinary analysis, balanced synthesis (acknowledges conflicting data and methodological heterogeneity), clinical relevance.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lastRenderedPageBreak/>
              <w:t>- Limitations: narrative design limitations, geographic bias (European cohorts), confounding variables.</w:t>
            </w:r>
            <w:r w:rsidRPr="00FD6B49">
              <w:rPr>
                <w:rFonts w:eastAsia="Times New Roman" w:cs="Times New Roman"/>
                <w:szCs w:val="24"/>
                <w:lang w:eastAsia="fr-FR"/>
              </w:rPr>
              <w:br/>
              <w:t xml:space="preserve">Risk of Bias: Moderate. </w:t>
            </w:r>
          </w:p>
        </w:tc>
      </w:tr>
    </w:tbl>
    <w:p w14:paraId="52463FB5" w14:textId="77777777" w:rsidR="00474FD0" w:rsidRPr="00907ACF" w:rsidRDefault="00474FD0" w:rsidP="00907ACF">
      <w:pPr>
        <w:rPr>
          <w:rFonts w:cs="Times New Roman"/>
          <w:szCs w:val="24"/>
          <w:u w:val="single"/>
        </w:rPr>
      </w:pP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fr-FR" w:eastAsia="fr-FR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FEBD" w14:textId="77777777" w:rsidR="00A5697B" w:rsidRPr="00A5697B" w:rsidRDefault="00A5697B" w:rsidP="00A5697B"/>
    <w:p w14:paraId="2A94244F" w14:textId="77777777" w:rsidR="00A5697B" w:rsidRPr="00A5697B" w:rsidRDefault="00A5697B" w:rsidP="00A5697B"/>
    <w:p w14:paraId="6FE93965" w14:textId="77777777" w:rsidR="00A5697B" w:rsidRPr="00A5697B" w:rsidRDefault="00A5697B" w:rsidP="00A5697B"/>
    <w:p w14:paraId="34B72B85" w14:textId="77777777" w:rsidR="0039719F" w:rsidRPr="0039719F" w:rsidRDefault="0039719F" w:rsidP="0039719F"/>
    <w:p w14:paraId="43F35929" w14:textId="77777777" w:rsidR="0039719F" w:rsidRPr="0039719F" w:rsidRDefault="0039719F" w:rsidP="0039719F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D82711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B52F2" w14:textId="77777777" w:rsidR="002A6EF2" w:rsidRDefault="002A6EF2" w:rsidP="00117666">
      <w:pPr>
        <w:spacing w:after="0"/>
      </w:pPr>
      <w:r>
        <w:separator/>
      </w:r>
    </w:p>
  </w:endnote>
  <w:endnote w:type="continuationSeparator" w:id="0">
    <w:p w14:paraId="1C0A7B35" w14:textId="77777777" w:rsidR="002A6EF2" w:rsidRDefault="002A6E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7158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71582"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7158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71582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17F2A" w14:textId="77777777" w:rsidR="002A6EF2" w:rsidRDefault="002A6EF2" w:rsidP="00117666">
      <w:pPr>
        <w:spacing w:after="0"/>
      </w:pPr>
      <w:r>
        <w:separator/>
      </w:r>
    </w:p>
  </w:footnote>
  <w:footnote w:type="continuationSeparator" w:id="0">
    <w:p w14:paraId="7861F1A7" w14:textId="77777777" w:rsidR="002A6EF2" w:rsidRDefault="002A6E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04013C"/>
    <w:multiLevelType w:val="hybridMultilevel"/>
    <w:tmpl w:val="ECF64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08EF"/>
    <w:rsid w:val="001549D3"/>
    <w:rsid w:val="00160065"/>
    <w:rsid w:val="00177D84"/>
    <w:rsid w:val="002342CB"/>
    <w:rsid w:val="00267D18"/>
    <w:rsid w:val="002868E2"/>
    <w:rsid w:val="002869C3"/>
    <w:rsid w:val="002936E4"/>
    <w:rsid w:val="002A6EF2"/>
    <w:rsid w:val="002B4A57"/>
    <w:rsid w:val="002C74CA"/>
    <w:rsid w:val="002D4071"/>
    <w:rsid w:val="00305F78"/>
    <w:rsid w:val="003544FB"/>
    <w:rsid w:val="0039719F"/>
    <w:rsid w:val="003D2D47"/>
    <w:rsid w:val="003D2F2D"/>
    <w:rsid w:val="00401590"/>
    <w:rsid w:val="00447801"/>
    <w:rsid w:val="00452E9C"/>
    <w:rsid w:val="004735C8"/>
    <w:rsid w:val="00474FD0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4209"/>
    <w:rsid w:val="00725A7D"/>
    <w:rsid w:val="007501BE"/>
    <w:rsid w:val="00790BB3"/>
    <w:rsid w:val="007C206C"/>
    <w:rsid w:val="007D72FB"/>
    <w:rsid w:val="00803D24"/>
    <w:rsid w:val="00817DD6"/>
    <w:rsid w:val="008650D3"/>
    <w:rsid w:val="008751E9"/>
    <w:rsid w:val="00885156"/>
    <w:rsid w:val="008A0EB8"/>
    <w:rsid w:val="00907ACF"/>
    <w:rsid w:val="009151AA"/>
    <w:rsid w:val="0093429D"/>
    <w:rsid w:val="00943573"/>
    <w:rsid w:val="00970F7D"/>
    <w:rsid w:val="00994A3D"/>
    <w:rsid w:val="009C2B12"/>
    <w:rsid w:val="009C70F3"/>
    <w:rsid w:val="009D46EE"/>
    <w:rsid w:val="00A174D9"/>
    <w:rsid w:val="00A3180A"/>
    <w:rsid w:val="00A5697B"/>
    <w:rsid w:val="00A569CD"/>
    <w:rsid w:val="00A71582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4463"/>
    <w:rsid w:val="00CA7AC1"/>
    <w:rsid w:val="00CC0A3A"/>
    <w:rsid w:val="00CC6673"/>
    <w:rsid w:val="00CD066B"/>
    <w:rsid w:val="00CD20E7"/>
    <w:rsid w:val="00CD6D3F"/>
    <w:rsid w:val="00CE4FEE"/>
    <w:rsid w:val="00D13C0D"/>
    <w:rsid w:val="00D82711"/>
    <w:rsid w:val="00DB486C"/>
    <w:rsid w:val="00DB59C3"/>
    <w:rsid w:val="00DC259A"/>
    <w:rsid w:val="00DE23E8"/>
    <w:rsid w:val="00E52377"/>
    <w:rsid w:val="00E64E17"/>
    <w:rsid w:val="00E866C9"/>
    <w:rsid w:val="00EA3D3C"/>
    <w:rsid w:val="00F03FAC"/>
    <w:rsid w:val="00F07FC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F77C2F-627E-4A14-B90A-BEF680D5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109</TotalTime>
  <Pages>10</Pages>
  <Words>2554</Words>
  <Characters>14047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LENOVO</cp:lastModifiedBy>
  <cp:revision>24</cp:revision>
  <cp:lastPrinted>2013-10-03T12:51:00Z</cp:lastPrinted>
  <dcterms:created xsi:type="dcterms:W3CDTF">2022-11-17T16:58:00Z</dcterms:created>
  <dcterms:modified xsi:type="dcterms:W3CDTF">2025-03-13T10:38:00Z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