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5F5E3B" w:rsidRDefault="00654E8F" w:rsidP="0001436A">
      <w:pPr>
        <w:pStyle w:val="SupplementaryMaterial"/>
      </w:pPr>
      <w:r w:rsidRPr="005F5E3B">
        <w:t>Supplementary Material</w:t>
      </w:r>
    </w:p>
    <w:p w14:paraId="78AD5F6F" w14:textId="77777777" w:rsidR="0061082A" w:rsidRPr="005F5E3B" w:rsidRDefault="0061082A" w:rsidP="0061082A">
      <w:pPr>
        <w:pStyle w:val="Heading2"/>
        <w:numPr>
          <w:ilvl w:val="0"/>
          <w:numId w:val="0"/>
        </w:numPr>
        <w:ind w:left="567" w:hanging="567"/>
        <w:rPr>
          <w:lang w:val="en-GB"/>
        </w:rPr>
      </w:pPr>
      <w:r w:rsidRPr="005F5E3B">
        <w:rPr>
          <w:lang w:val="en-GB"/>
        </w:rPr>
        <w:t>Section 1: Transitional probabilities used in the model</w:t>
      </w:r>
    </w:p>
    <w:p w14:paraId="7C6CCF9D" w14:textId="77777777" w:rsidR="0061082A" w:rsidRPr="005F5E3B" w:rsidRDefault="0061082A" w:rsidP="0061082A">
      <w:pPr>
        <w:rPr>
          <w:rFonts w:cs="Times New Roman"/>
          <w:lang w:val="en-GB"/>
        </w:rPr>
      </w:pPr>
      <w:r w:rsidRPr="005F5E3B">
        <w:rPr>
          <w:rFonts w:cs="Times New Roman"/>
          <w:lang w:val="en-GB"/>
        </w:rPr>
        <w:t>Table S1: Transitional probabilities of NAC+RC for current treatment procedure (n=553)</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267"/>
        <w:gridCol w:w="2267"/>
        <w:gridCol w:w="2267"/>
      </w:tblGrid>
      <w:tr w:rsidR="005F5E3B" w:rsidRPr="005F5E3B" w14:paraId="482FDB4D" w14:textId="77777777" w:rsidTr="002F1753">
        <w:trPr>
          <w:trHeight w:val="320"/>
          <w:jc w:val="center"/>
        </w:trPr>
        <w:tc>
          <w:tcPr>
            <w:tcW w:w="2266" w:type="dxa"/>
            <w:shd w:val="clear" w:color="auto" w:fill="auto"/>
            <w:noWrap/>
            <w:vAlign w:val="bottom"/>
            <w:hideMark/>
          </w:tcPr>
          <w:p w14:paraId="5C419556" w14:textId="77777777" w:rsidR="0061082A" w:rsidRPr="005F5E3B" w:rsidRDefault="0061082A" w:rsidP="0061082A">
            <w:pPr>
              <w:pStyle w:val="NoSpacing"/>
              <w:rPr>
                <w:lang w:eastAsia="en-GB"/>
              </w:rPr>
            </w:pPr>
            <w:r w:rsidRPr="005F5E3B">
              <w:rPr>
                <w:lang w:eastAsia="en-GB"/>
              </w:rPr>
              <w:t>Year</w:t>
            </w:r>
          </w:p>
        </w:tc>
        <w:tc>
          <w:tcPr>
            <w:tcW w:w="2267" w:type="dxa"/>
            <w:shd w:val="clear" w:color="auto" w:fill="auto"/>
            <w:noWrap/>
            <w:vAlign w:val="bottom"/>
            <w:hideMark/>
          </w:tcPr>
          <w:p w14:paraId="5B0AF635" w14:textId="77777777" w:rsidR="0061082A" w:rsidRPr="005F5E3B" w:rsidRDefault="0061082A" w:rsidP="0061082A">
            <w:pPr>
              <w:pStyle w:val="NoSpacing"/>
              <w:rPr>
                <w:lang w:eastAsia="en-GB"/>
              </w:rPr>
            </w:pPr>
            <w:r w:rsidRPr="005F5E3B">
              <w:rPr>
                <w:lang w:eastAsia="en-GB"/>
              </w:rPr>
              <w:t>Survive</w:t>
            </w:r>
          </w:p>
        </w:tc>
        <w:tc>
          <w:tcPr>
            <w:tcW w:w="2267" w:type="dxa"/>
            <w:shd w:val="clear" w:color="auto" w:fill="auto"/>
            <w:noWrap/>
            <w:vAlign w:val="bottom"/>
            <w:hideMark/>
          </w:tcPr>
          <w:p w14:paraId="4E9433A8" w14:textId="77777777" w:rsidR="0061082A" w:rsidRPr="005F5E3B" w:rsidRDefault="0061082A" w:rsidP="0061082A">
            <w:pPr>
              <w:pStyle w:val="NoSpacing"/>
              <w:rPr>
                <w:lang w:eastAsia="en-GB"/>
              </w:rPr>
            </w:pPr>
            <w:r w:rsidRPr="005F5E3B">
              <w:rPr>
                <w:lang w:eastAsia="en-GB"/>
              </w:rPr>
              <w:t>Dead by BC</w:t>
            </w:r>
          </w:p>
        </w:tc>
        <w:tc>
          <w:tcPr>
            <w:tcW w:w="2267" w:type="dxa"/>
            <w:shd w:val="clear" w:color="auto" w:fill="auto"/>
            <w:noWrap/>
            <w:vAlign w:val="bottom"/>
            <w:hideMark/>
          </w:tcPr>
          <w:p w14:paraId="268E9D28" w14:textId="77777777" w:rsidR="0061082A" w:rsidRPr="005F5E3B" w:rsidRDefault="0061082A" w:rsidP="0061082A">
            <w:pPr>
              <w:pStyle w:val="NoSpacing"/>
              <w:rPr>
                <w:lang w:eastAsia="en-GB"/>
              </w:rPr>
            </w:pPr>
            <w:r w:rsidRPr="005F5E3B">
              <w:rPr>
                <w:lang w:eastAsia="en-GB"/>
              </w:rPr>
              <w:t>Not dead by BC</w:t>
            </w:r>
          </w:p>
        </w:tc>
      </w:tr>
      <w:tr w:rsidR="005F5E3B" w:rsidRPr="005F5E3B" w14:paraId="406B1267" w14:textId="77777777" w:rsidTr="002F1753">
        <w:trPr>
          <w:trHeight w:val="320"/>
          <w:jc w:val="center"/>
        </w:trPr>
        <w:tc>
          <w:tcPr>
            <w:tcW w:w="2266" w:type="dxa"/>
            <w:shd w:val="clear" w:color="auto" w:fill="auto"/>
            <w:noWrap/>
            <w:vAlign w:val="bottom"/>
            <w:hideMark/>
          </w:tcPr>
          <w:p w14:paraId="6EFCF5A8" w14:textId="77777777" w:rsidR="0061082A" w:rsidRPr="005F5E3B" w:rsidRDefault="0061082A" w:rsidP="0061082A">
            <w:pPr>
              <w:pStyle w:val="NoSpacing"/>
              <w:rPr>
                <w:lang w:eastAsia="en-GB"/>
              </w:rPr>
            </w:pPr>
            <w:r w:rsidRPr="005F5E3B">
              <w:rPr>
                <w:lang w:eastAsia="en-GB"/>
              </w:rPr>
              <w:t>1</w:t>
            </w:r>
          </w:p>
        </w:tc>
        <w:tc>
          <w:tcPr>
            <w:tcW w:w="2267" w:type="dxa"/>
            <w:shd w:val="clear" w:color="auto" w:fill="auto"/>
            <w:noWrap/>
            <w:vAlign w:val="bottom"/>
            <w:hideMark/>
          </w:tcPr>
          <w:p w14:paraId="79692251" w14:textId="77777777" w:rsidR="0061082A" w:rsidRPr="005F5E3B" w:rsidRDefault="0061082A" w:rsidP="0061082A">
            <w:pPr>
              <w:pStyle w:val="NoSpacing"/>
              <w:rPr>
                <w:lang w:eastAsia="en-GB"/>
              </w:rPr>
            </w:pPr>
            <w:r w:rsidRPr="005F5E3B">
              <w:rPr>
                <w:lang w:eastAsia="en-GB"/>
              </w:rPr>
              <w:t>0.8702</w:t>
            </w:r>
          </w:p>
        </w:tc>
        <w:tc>
          <w:tcPr>
            <w:tcW w:w="2267" w:type="dxa"/>
            <w:shd w:val="clear" w:color="auto" w:fill="auto"/>
            <w:noWrap/>
            <w:vAlign w:val="bottom"/>
            <w:hideMark/>
          </w:tcPr>
          <w:p w14:paraId="51567A08" w14:textId="77777777" w:rsidR="0061082A" w:rsidRPr="005F5E3B" w:rsidRDefault="0061082A" w:rsidP="0061082A">
            <w:pPr>
              <w:pStyle w:val="NoSpacing"/>
              <w:rPr>
                <w:lang w:eastAsia="en-GB"/>
              </w:rPr>
            </w:pPr>
            <w:r w:rsidRPr="005F5E3B">
              <w:rPr>
                <w:lang w:eastAsia="en-GB"/>
              </w:rPr>
              <w:t>0.1279</w:t>
            </w:r>
          </w:p>
        </w:tc>
        <w:tc>
          <w:tcPr>
            <w:tcW w:w="2267" w:type="dxa"/>
            <w:shd w:val="clear" w:color="auto" w:fill="auto"/>
            <w:noWrap/>
            <w:vAlign w:val="bottom"/>
            <w:hideMark/>
          </w:tcPr>
          <w:p w14:paraId="7D946170" w14:textId="77777777" w:rsidR="0061082A" w:rsidRPr="005F5E3B" w:rsidRDefault="0061082A" w:rsidP="0061082A">
            <w:pPr>
              <w:pStyle w:val="NoSpacing"/>
              <w:rPr>
                <w:lang w:eastAsia="en-GB"/>
              </w:rPr>
            </w:pPr>
            <w:r w:rsidRPr="005F5E3B">
              <w:rPr>
                <w:lang w:eastAsia="en-GB"/>
              </w:rPr>
              <w:t>0.0019</w:t>
            </w:r>
          </w:p>
        </w:tc>
      </w:tr>
      <w:tr w:rsidR="005F5E3B" w:rsidRPr="005F5E3B" w14:paraId="38717E76" w14:textId="77777777" w:rsidTr="002F1753">
        <w:trPr>
          <w:trHeight w:val="320"/>
          <w:jc w:val="center"/>
        </w:trPr>
        <w:tc>
          <w:tcPr>
            <w:tcW w:w="2266" w:type="dxa"/>
            <w:shd w:val="clear" w:color="auto" w:fill="auto"/>
            <w:noWrap/>
            <w:vAlign w:val="bottom"/>
            <w:hideMark/>
          </w:tcPr>
          <w:p w14:paraId="66ADD7E7" w14:textId="77777777" w:rsidR="0061082A" w:rsidRPr="005F5E3B" w:rsidRDefault="0061082A" w:rsidP="0061082A">
            <w:pPr>
              <w:pStyle w:val="NoSpacing"/>
              <w:rPr>
                <w:lang w:eastAsia="en-GB"/>
              </w:rPr>
            </w:pPr>
            <w:r w:rsidRPr="005F5E3B">
              <w:rPr>
                <w:lang w:eastAsia="en-GB"/>
              </w:rPr>
              <w:t>2</w:t>
            </w:r>
          </w:p>
        </w:tc>
        <w:tc>
          <w:tcPr>
            <w:tcW w:w="2267" w:type="dxa"/>
            <w:shd w:val="clear" w:color="auto" w:fill="auto"/>
            <w:noWrap/>
            <w:vAlign w:val="bottom"/>
            <w:hideMark/>
          </w:tcPr>
          <w:p w14:paraId="364094A2" w14:textId="77777777" w:rsidR="0061082A" w:rsidRPr="005F5E3B" w:rsidRDefault="0061082A" w:rsidP="0061082A">
            <w:pPr>
              <w:pStyle w:val="NoSpacing"/>
              <w:rPr>
                <w:lang w:eastAsia="en-GB"/>
              </w:rPr>
            </w:pPr>
            <w:r w:rsidRPr="005F5E3B">
              <w:rPr>
                <w:lang w:eastAsia="en-GB"/>
              </w:rPr>
              <w:t>0.7733</w:t>
            </w:r>
          </w:p>
        </w:tc>
        <w:tc>
          <w:tcPr>
            <w:tcW w:w="2267" w:type="dxa"/>
            <w:shd w:val="clear" w:color="auto" w:fill="auto"/>
            <w:noWrap/>
            <w:vAlign w:val="bottom"/>
            <w:hideMark/>
          </w:tcPr>
          <w:p w14:paraId="6692CAEA" w14:textId="77777777" w:rsidR="0061082A" w:rsidRPr="005F5E3B" w:rsidRDefault="0061082A" w:rsidP="0061082A">
            <w:pPr>
              <w:pStyle w:val="NoSpacing"/>
              <w:rPr>
                <w:lang w:eastAsia="en-GB"/>
              </w:rPr>
            </w:pPr>
            <w:r w:rsidRPr="005F5E3B">
              <w:rPr>
                <w:lang w:eastAsia="en-GB"/>
              </w:rPr>
              <w:t>0.2227</w:t>
            </w:r>
          </w:p>
        </w:tc>
        <w:tc>
          <w:tcPr>
            <w:tcW w:w="2267" w:type="dxa"/>
            <w:shd w:val="clear" w:color="auto" w:fill="auto"/>
            <w:noWrap/>
            <w:vAlign w:val="bottom"/>
            <w:hideMark/>
          </w:tcPr>
          <w:p w14:paraId="287F5876" w14:textId="77777777" w:rsidR="0061082A" w:rsidRPr="005F5E3B" w:rsidRDefault="0061082A" w:rsidP="0061082A">
            <w:pPr>
              <w:pStyle w:val="NoSpacing"/>
              <w:rPr>
                <w:lang w:eastAsia="en-GB"/>
              </w:rPr>
            </w:pPr>
            <w:r w:rsidRPr="005F5E3B">
              <w:rPr>
                <w:lang w:eastAsia="en-GB"/>
              </w:rPr>
              <w:t>0.004</w:t>
            </w:r>
          </w:p>
        </w:tc>
      </w:tr>
      <w:tr w:rsidR="005F5E3B" w:rsidRPr="005F5E3B" w14:paraId="5B459B44" w14:textId="77777777" w:rsidTr="002F1753">
        <w:trPr>
          <w:trHeight w:val="320"/>
          <w:jc w:val="center"/>
        </w:trPr>
        <w:tc>
          <w:tcPr>
            <w:tcW w:w="2266" w:type="dxa"/>
            <w:shd w:val="clear" w:color="auto" w:fill="auto"/>
            <w:noWrap/>
            <w:vAlign w:val="bottom"/>
            <w:hideMark/>
          </w:tcPr>
          <w:p w14:paraId="750D354D" w14:textId="77777777" w:rsidR="0061082A" w:rsidRPr="005F5E3B" w:rsidRDefault="0061082A" w:rsidP="0061082A">
            <w:pPr>
              <w:pStyle w:val="NoSpacing"/>
              <w:rPr>
                <w:lang w:eastAsia="en-GB"/>
              </w:rPr>
            </w:pPr>
            <w:r w:rsidRPr="005F5E3B">
              <w:rPr>
                <w:lang w:eastAsia="en-GB"/>
              </w:rPr>
              <w:t>3</w:t>
            </w:r>
          </w:p>
        </w:tc>
        <w:tc>
          <w:tcPr>
            <w:tcW w:w="2267" w:type="dxa"/>
            <w:shd w:val="clear" w:color="auto" w:fill="auto"/>
            <w:noWrap/>
            <w:vAlign w:val="bottom"/>
            <w:hideMark/>
          </w:tcPr>
          <w:p w14:paraId="16C2D345" w14:textId="77777777" w:rsidR="0061082A" w:rsidRPr="005F5E3B" w:rsidRDefault="0061082A" w:rsidP="0061082A">
            <w:pPr>
              <w:pStyle w:val="NoSpacing"/>
              <w:rPr>
                <w:lang w:eastAsia="en-GB"/>
              </w:rPr>
            </w:pPr>
            <w:r w:rsidRPr="005F5E3B">
              <w:rPr>
                <w:lang w:eastAsia="en-GB"/>
              </w:rPr>
              <w:t>0.7112</w:t>
            </w:r>
          </w:p>
        </w:tc>
        <w:tc>
          <w:tcPr>
            <w:tcW w:w="2267" w:type="dxa"/>
            <w:shd w:val="clear" w:color="auto" w:fill="auto"/>
            <w:noWrap/>
            <w:vAlign w:val="bottom"/>
            <w:hideMark/>
          </w:tcPr>
          <w:p w14:paraId="4B2FC120" w14:textId="77777777" w:rsidR="0061082A" w:rsidRPr="005F5E3B" w:rsidRDefault="0061082A" w:rsidP="0061082A">
            <w:pPr>
              <w:pStyle w:val="NoSpacing"/>
              <w:rPr>
                <w:lang w:eastAsia="en-GB"/>
              </w:rPr>
            </w:pPr>
            <w:r w:rsidRPr="005F5E3B">
              <w:rPr>
                <w:lang w:eastAsia="en-GB"/>
              </w:rPr>
              <w:t>0.2822</w:t>
            </w:r>
          </w:p>
        </w:tc>
        <w:tc>
          <w:tcPr>
            <w:tcW w:w="2267" w:type="dxa"/>
            <w:shd w:val="clear" w:color="auto" w:fill="auto"/>
            <w:noWrap/>
            <w:vAlign w:val="bottom"/>
            <w:hideMark/>
          </w:tcPr>
          <w:p w14:paraId="0210D846" w14:textId="77777777" w:rsidR="0061082A" w:rsidRPr="005F5E3B" w:rsidRDefault="0061082A" w:rsidP="0061082A">
            <w:pPr>
              <w:pStyle w:val="NoSpacing"/>
              <w:rPr>
                <w:lang w:eastAsia="en-GB"/>
              </w:rPr>
            </w:pPr>
            <w:r w:rsidRPr="005F5E3B">
              <w:rPr>
                <w:lang w:eastAsia="en-GB"/>
              </w:rPr>
              <w:t>0.0066</w:t>
            </w:r>
          </w:p>
        </w:tc>
      </w:tr>
      <w:tr w:rsidR="005F5E3B" w:rsidRPr="005F5E3B" w14:paraId="36645110" w14:textId="77777777" w:rsidTr="002F1753">
        <w:trPr>
          <w:trHeight w:val="320"/>
          <w:jc w:val="center"/>
        </w:trPr>
        <w:tc>
          <w:tcPr>
            <w:tcW w:w="2266" w:type="dxa"/>
            <w:shd w:val="clear" w:color="auto" w:fill="auto"/>
            <w:noWrap/>
            <w:vAlign w:val="bottom"/>
            <w:hideMark/>
          </w:tcPr>
          <w:p w14:paraId="1862757F" w14:textId="77777777" w:rsidR="0061082A" w:rsidRPr="005F5E3B" w:rsidRDefault="0061082A" w:rsidP="0061082A">
            <w:pPr>
              <w:pStyle w:val="NoSpacing"/>
              <w:rPr>
                <w:lang w:eastAsia="en-GB"/>
              </w:rPr>
            </w:pPr>
            <w:r w:rsidRPr="005F5E3B">
              <w:rPr>
                <w:lang w:eastAsia="en-GB"/>
              </w:rPr>
              <w:t>4</w:t>
            </w:r>
          </w:p>
        </w:tc>
        <w:tc>
          <w:tcPr>
            <w:tcW w:w="2267" w:type="dxa"/>
            <w:shd w:val="clear" w:color="auto" w:fill="auto"/>
            <w:noWrap/>
            <w:vAlign w:val="bottom"/>
            <w:hideMark/>
          </w:tcPr>
          <w:p w14:paraId="144241EF" w14:textId="77777777" w:rsidR="0061082A" w:rsidRPr="005F5E3B" w:rsidRDefault="0061082A" w:rsidP="0061082A">
            <w:pPr>
              <w:pStyle w:val="NoSpacing"/>
              <w:rPr>
                <w:lang w:eastAsia="en-GB"/>
              </w:rPr>
            </w:pPr>
            <w:r w:rsidRPr="005F5E3B">
              <w:rPr>
                <w:lang w:eastAsia="en-GB"/>
              </w:rPr>
              <w:t>0.6721</w:t>
            </w:r>
          </w:p>
        </w:tc>
        <w:tc>
          <w:tcPr>
            <w:tcW w:w="2267" w:type="dxa"/>
            <w:shd w:val="clear" w:color="auto" w:fill="auto"/>
            <w:noWrap/>
            <w:vAlign w:val="bottom"/>
            <w:hideMark/>
          </w:tcPr>
          <w:p w14:paraId="4CE83B86" w14:textId="77777777" w:rsidR="0061082A" w:rsidRPr="005F5E3B" w:rsidRDefault="0061082A" w:rsidP="0061082A">
            <w:pPr>
              <w:pStyle w:val="NoSpacing"/>
              <w:rPr>
                <w:lang w:eastAsia="en-GB"/>
              </w:rPr>
            </w:pPr>
            <w:r w:rsidRPr="005F5E3B">
              <w:rPr>
                <w:lang w:eastAsia="en-GB"/>
              </w:rPr>
              <w:t>0.3213</w:t>
            </w:r>
          </w:p>
        </w:tc>
        <w:tc>
          <w:tcPr>
            <w:tcW w:w="2267" w:type="dxa"/>
            <w:shd w:val="clear" w:color="auto" w:fill="auto"/>
            <w:noWrap/>
            <w:vAlign w:val="bottom"/>
            <w:hideMark/>
          </w:tcPr>
          <w:p w14:paraId="04406B62" w14:textId="77777777" w:rsidR="0061082A" w:rsidRPr="005F5E3B" w:rsidRDefault="0061082A" w:rsidP="0061082A">
            <w:pPr>
              <w:pStyle w:val="NoSpacing"/>
              <w:rPr>
                <w:lang w:eastAsia="en-GB"/>
              </w:rPr>
            </w:pPr>
            <w:r w:rsidRPr="005F5E3B">
              <w:rPr>
                <w:lang w:eastAsia="en-GB"/>
              </w:rPr>
              <w:t>0.0066</w:t>
            </w:r>
          </w:p>
        </w:tc>
      </w:tr>
      <w:tr w:rsidR="005F5E3B" w:rsidRPr="005F5E3B" w14:paraId="663016CE" w14:textId="77777777" w:rsidTr="002F1753">
        <w:trPr>
          <w:trHeight w:val="320"/>
          <w:jc w:val="center"/>
        </w:trPr>
        <w:tc>
          <w:tcPr>
            <w:tcW w:w="2266" w:type="dxa"/>
            <w:shd w:val="clear" w:color="auto" w:fill="auto"/>
            <w:noWrap/>
            <w:vAlign w:val="bottom"/>
            <w:hideMark/>
          </w:tcPr>
          <w:p w14:paraId="4186B113" w14:textId="77777777" w:rsidR="0061082A" w:rsidRPr="005F5E3B" w:rsidRDefault="0061082A" w:rsidP="0061082A">
            <w:pPr>
              <w:pStyle w:val="NoSpacing"/>
              <w:rPr>
                <w:lang w:eastAsia="en-GB"/>
              </w:rPr>
            </w:pPr>
            <w:r w:rsidRPr="005F5E3B">
              <w:rPr>
                <w:lang w:eastAsia="en-GB"/>
              </w:rPr>
              <w:t>5</w:t>
            </w:r>
          </w:p>
        </w:tc>
        <w:tc>
          <w:tcPr>
            <w:tcW w:w="2267" w:type="dxa"/>
            <w:shd w:val="clear" w:color="auto" w:fill="auto"/>
            <w:noWrap/>
            <w:vAlign w:val="bottom"/>
            <w:hideMark/>
          </w:tcPr>
          <w:p w14:paraId="6743ECB5" w14:textId="77777777" w:rsidR="0061082A" w:rsidRPr="005F5E3B" w:rsidRDefault="0061082A" w:rsidP="0061082A">
            <w:pPr>
              <w:pStyle w:val="NoSpacing"/>
              <w:rPr>
                <w:lang w:eastAsia="en-GB"/>
              </w:rPr>
            </w:pPr>
            <w:r w:rsidRPr="005F5E3B">
              <w:rPr>
                <w:lang w:eastAsia="en-GB"/>
              </w:rPr>
              <w:t>0.6325</w:t>
            </w:r>
          </w:p>
        </w:tc>
        <w:tc>
          <w:tcPr>
            <w:tcW w:w="2267" w:type="dxa"/>
            <w:shd w:val="clear" w:color="auto" w:fill="auto"/>
            <w:noWrap/>
            <w:vAlign w:val="bottom"/>
            <w:hideMark/>
          </w:tcPr>
          <w:p w14:paraId="33DCCE8C" w14:textId="77777777" w:rsidR="0061082A" w:rsidRPr="005F5E3B" w:rsidRDefault="0061082A" w:rsidP="0061082A">
            <w:pPr>
              <w:pStyle w:val="NoSpacing"/>
              <w:rPr>
                <w:lang w:eastAsia="en-GB"/>
              </w:rPr>
            </w:pPr>
            <w:r w:rsidRPr="005F5E3B">
              <w:rPr>
                <w:lang w:eastAsia="en-GB"/>
              </w:rPr>
              <w:t>0.3565</w:t>
            </w:r>
          </w:p>
        </w:tc>
        <w:tc>
          <w:tcPr>
            <w:tcW w:w="2267" w:type="dxa"/>
            <w:shd w:val="clear" w:color="auto" w:fill="auto"/>
            <w:noWrap/>
            <w:vAlign w:val="bottom"/>
            <w:hideMark/>
          </w:tcPr>
          <w:p w14:paraId="38EC8ED3" w14:textId="77777777" w:rsidR="0061082A" w:rsidRPr="005F5E3B" w:rsidRDefault="0061082A" w:rsidP="0061082A">
            <w:pPr>
              <w:pStyle w:val="NoSpacing"/>
              <w:rPr>
                <w:lang w:eastAsia="en-GB"/>
              </w:rPr>
            </w:pPr>
            <w:r w:rsidRPr="005F5E3B">
              <w:rPr>
                <w:lang w:eastAsia="en-GB"/>
              </w:rPr>
              <w:t>0.011</w:t>
            </w:r>
          </w:p>
        </w:tc>
      </w:tr>
    </w:tbl>
    <w:p w14:paraId="22CCDDAB" w14:textId="77777777" w:rsidR="0061082A" w:rsidRPr="005F5E3B" w:rsidRDefault="0061082A" w:rsidP="0061082A">
      <w:pPr>
        <w:rPr>
          <w:rFonts w:cs="Times New Roman"/>
          <w:lang w:val="en-GB"/>
        </w:rPr>
      </w:pPr>
      <w:r w:rsidRPr="005F5E3B">
        <w:rPr>
          <w:rFonts w:cs="Times New Roman"/>
          <w:lang w:val="en-GB"/>
        </w:rPr>
        <w:t>Table S2: Transitional probabilities of NAC+RC for Gu/Uro subtype (n=77)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267"/>
        <w:gridCol w:w="2267"/>
        <w:gridCol w:w="2267"/>
      </w:tblGrid>
      <w:tr w:rsidR="005F5E3B" w:rsidRPr="005F5E3B" w14:paraId="1A93D54E" w14:textId="77777777" w:rsidTr="002F1753">
        <w:trPr>
          <w:trHeight w:val="320"/>
          <w:jc w:val="center"/>
        </w:trPr>
        <w:tc>
          <w:tcPr>
            <w:tcW w:w="2266" w:type="dxa"/>
            <w:shd w:val="clear" w:color="auto" w:fill="auto"/>
            <w:noWrap/>
            <w:vAlign w:val="bottom"/>
            <w:hideMark/>
          </w:tcPr>
          <w:p w14:paraId="21E23787" w14:textId="77777777" w:rsidR="0061082A" w:rsidRPr="005F5E3B" w:rsidRDefault="0061082A" w:rsidP="0061082A">
            <w:pPr>
              <w:pStyle w:val="NoSpacing"/>
              <w:rPr>
                <w:lang w:eastAsia="en-GB"/>
              </w:rPr>
            </w:pPr>
            <w:r w:rsidRPr="005F5E3B">
              <w:rPr>
                <w:lang w:eastAsia="en-GB"/>
              </w:rPr>
              <w:t>Year</w:t>
            </w:r>
          </w:p>
        </w:tc>
        <w:tc>
          <w:tcPr>
            <w:tcW w:w="2267" w:type="dxa"/>
            <w:shd w:val="clear" w:color="auto" w:fill="auto"/>
            <w:noWrap/>
            <w:vAlign w:val="bottom"/>
            <w:hideMark/>
          </w:tcPr>
          <w:p w14:paraId="7E78EA44" w14:textId="77777777" w:rsidR="0061082A" w:rsidRPr="005F5E3B" w:rsidRDefault="0061082A" w:rsidP="0061082A">
            <w:pPr>
              <w:pStyle w:val="NoSpacing"/>
              <w:rPr>
                <w:lang w:eastAsia="en-GB"/>
              </w:rPr>
            </w:pPr>
            <w:r w:rsidRPr="005F5E3B">
              <w:rPr>
                <w:lang w:eastAsia="en-GB"/>
              </w:rPr>
              <w:t>Survive</w:t>
            </w:r>
          </w:p>
        </w:tc>
        <w:tc>
          <w:tcPr>
            <w:tcW w:w="2267" w:type="dxa"/>
            <w:shd w:val="clear" w:color="auto" w:fill="auto"/>
            <w:noWrap/>
            <w:vAlign w:val="bottom"/>
            <w:hideMark/>
          </w:tcPr>
          <w:p w14:paraId="7FC023B1" w14:textId="77777777" w:rsidR="0061082A" w:rsidRPr="005F5E3B" w:rsidRDefault="0061082A" w:rsidP="0061082A">
            <w:pPr>
              <w:pStyle w:val="NoSpacing"/>
              <w:rPr>
                <w:lang w:eastAsia="en-GB"/>
              </w:rPr>
            </w:pPr>
            <w:r w:rsidRPr="005F5E3B">
              <w:rPr>
                <w:lang w:eastAsia="en-GB"/>
              </w:rPr>
              <w:t>Dead by BC</w:t>
            </w:r>
          </w:p>
        </w:tc>
        <w:tc>
          <w:tcPr>
            <w:tcW w:w="2267" w:type="dxa"/>
            <w:shd w:val="clear" w:color="auto" w:fill="auto"/>
            <w:noWrap/>
            <w:vAlign w:val="bottom"/>
            <w:hideMark/>
          </w:tcPr>
          <w:p w14:paraId="09263A36" w14:textId="77777777" w:rsidR="0061082A" w:rsidRPr="005F5E3B" w:rsidRDefault="0061082A" w:rsidP="0061082A">
            <w:pPr>
              <w:pStyle w:val="NoSpacing"/>
              <w:rPr>
                <w:lang w:eastAsia="en-GB"/>
              </w:rPr>
            </w:pPr>
            <w:r w:rsidRPr="005F5E3B">
              <w:rPr>
                <w:lang w:eastAsia="en-GB"/>
              </w:rPr>
              <w:t>Not dead by BC</w:t>
            </w:r>
          </w:p>
        </w:tc>
      </w:tr>
      <w:tr w:rsidR="005F5E3B" w:rsidRPr="005F5E3B" w14:paraId="036215F5" w14:textId="77777777" w:rsidTr="002F1753">
        <w:trPr>
          <w:trHeight w:val="320"/>
          <w:jc w:val="center"/>
        </w:trPr>
        <w:tc>
          <w:tcPr>
            <w:tcW w:w="2266" w:type="dxa"/>
            <w:shd w:val="clear" w:color="auto" w:fill="auto"/>
            <w:noWrap/>
            <w:vAlign w:val="bottom"/>
            <w:hideMark/>
          </w:tcPr>
          <w:p w14:paraId="346AC0D7" w14:textId="77777777" w:rsidR="0061082A" w:rsidRPr="005F5E3B" w:rsidRDefault="0061082A" w:rsidP="0061082A">
            <w:pPr>
              <w:pStyle w:val="NoSpacing"/>
              <w:rPr>
                <w:lang w:eastAsia="en-GB"/>
              </w:rPr>
            </w:pPr>
            <w:r w:rsidRPr="005F5E3B">
              <w:rPr>
                <w:lang w:eastAsia="en-GB"/>
              </w:rPr>
              <w:t>1</w:t>
            </w:r>
          </w:p>
        </w:tc>
        <w:tc>
          <w:tcPr>
            <w:tcW w:w="2267" w:type="dxa"/>
            <w:shd w:val="clear" w:color="auto" w:fill="auto"/>
            <w:noWrap/>
            <w:vAlign w:val="bottom"/>
            <w:hideMark/>
          </w:tcPr>
          <w:p w14:paraId="7E74D816" w14:textId="77777777" w:rsidR="0061082A" w:rsidRPr="005F5E3B" w:rsidRDefault="0061082A" w:rsidP="0061082A">
            <w:pPr>
              <w:pStyle w:val="NoSpacing"/>
              <w:rPr>
                <w:lang w:eastAsia="en-GB"/>
              </w:rPr>
            </w:pPr>
            <w:r w:rsidRPr="005F5E3B">
              <w:t>0.921</w:t>
            </w:r>
          </w:p>
        </w:tc>
        <w:tc>
          <w:tcPr>
            <w:tcW w:w="2267" w:type="dxa"/>
            <w:shd w:val="clear" w:color="auto" w:fill="auto"/>
            <w:noWrap/>
            <w:vAlign w:val="bottom"/>
            <w:hideMark/>
          </w:tcPr>
          <w:p w14:paraId="6392B7FB" w14:textId="77777777" w:rsidR="0061082A" w:rsidRPr="005F5E3B" w:rsidRDefault="0061082A" w:rsidP="0061082A">
            <w:pPr>
              <w:pStyle w:val="NoSpacing"/>
              <w:rPr>
                <w:lang w:eastAsia="en-GB"/>
              </w:rPr>
            </w:pPr>
            <w:r w:rsidRPr="005F5E3B">
              <w:t>0.053</w:t>
            </w:r>
          </w:p>
        </w:tc>
        <w:tc>
          <w:tcPr>
            <w:tcW w:w="2267" w:type="dxa"/>
            <w:shd w:val="clear" w:color="auto" w:fill="auto"/>
            <w:noWrap/>
            <w:vAlign w:val="bottom"/>
            <w:hideMark/>
          </w:tcPr>
          <w:p w14:paraId="0EA8F8EB" w14:textId="77777777" w:rsidR="0061082A" w:rsidRPr="005F5E3B" w:rsidRDefault="0061082A" w:rsidP="0061082A">
            <w:pPr>
              <w:pStyle w:val="NoSpacing"/>
              <w:rPr>
                <w:lang w:eastAsia="en-GB"/>
              </w:rPr>
            </w:pPr>
            <w:r w:rsidRPr="005F5E3B">
              <w:t>0.0263</w:t>
            </w:r>
          </w:p>
        </w:tc>
      </w:tr>
      <w:tr w:rsidR="005F5E3B" w:rsidRPr="005F5E3B" w14:paraId="1F8A990B" w14:textId="77777777" w:rsidTr="002F1753">
        <w:trPr>
          <w:trHeight w:val="320"/>
          <w:jc w:val="center"/>
        </w:trPr>
        <w:tc>
          <w:tcPr>
            <w:tcW w:w="2266" w:type="dxa"/>
            <w:shd w:val="clear" w:color="auto" w:fill="auto"/>
            <w:noWrap/>
            <w:vAlign w:val="bottom"/>
            <w:hideMark/>
          </w:tcPr>
          <w:p w14:paraId="64F10F86" w14:textId="77777777" w:rsidR="0061082A" w:rsidRPr="005F5E3B" w:rsidRDefault="0061082A" w:rsidP="0061082A">
            <w:pPr>
              <w:pStyle w:val="NoSpacing"/>
              <w:rPr>
                <w:lang w:eastAsia="en-GB"/>
              </w:rPr>
            </w:pPr>
            <w:r w:rsidRPr="005F5E3B">
              <w:rPr>
                <w:lang w:eastAsia="en-GB"/>
              </w:rPr>
              <w:t>2</w:t>
            </w:r>
          </w:p>
        </w:tc>
        <w:tc>
          <w:tcPr>
            <w:tcW w:w="2267" w:type="dxa"/>
            <w:shd w:val="clear" w:color="auto" w:fill="auto"/>
            <w:noWrap/>
            <w:vAlign w:val="bottom"/>
            <w:hideMark/>
          </w:tcPr>
          <w:p w14:paraId="0EED7860" w14:textId="77777777" w:rsidR="0061082A" w:rsidRPr="005F5E3B" w:rsidRDefault="0061082A" w:rsidP="0061082A">
            <w:pPr>
              <w:pStyle w:val="NoSpacing"/>
              <w:rPr>
                <w:lang w:eastAsia="en-GB"/>
              </w:rPr>
            </w:pPr>
            <w:r w:rsidRPr="005F5E3B">
              <w:t>0.790</w:t>
            </w:r>
          </w:p>
        </w:tc>
        <w:tc>
          <w:tcPr>
            <w:tcW w:w="2267" w:type="dxa"/>
            <w:shd w:val="clear" w:color="auto" w:fill="auto"/>
            <w:noWrap/>
            <w:vAlign w:val="bottom"/>
            <w:hideMark/>
          </w:tcPr>
          <w:p w14:paraId="472FB58B" w14:textId="77777777" w:rsidR="0061082A" w:rsidRPr="005F5E3B" w:rsidRDefault="0061082A" w:rsidP="0061082A">
            <w:pPr>
              <w:pStyle w:val="NoSpacing"/>
              <w:rPr>
                <w:lang w:eastAsia="en-GB"/>
              </w:rPr>
            </w:pPr>
            <w:r w:rsidRPr="005F5E3B">
              <w:t>0.184</w:t>
            </w:r>
          </w:p>
        </w:tc>
        <w:tc>
          <w:tcPr>
            <w:tcW w:w="2267" w:type="dxa"/>
            <w:shd w:val="clear" w:color="auto" w:fill="auto"/>
            <w:noWrap/>
            <w:vAlign w:val="bottom"/>
            <w:hideMark/>
          </w:tcPr>
          <w:p w14:paraId="0C5477F5" w14:textId="77777777" w:rsidR="0061082A" w:rsidRPr="005F5E3B" w:rsidRDefault="0061082A" w:rsidP="0061082A">
            <w:pPr>
              <w:pStyle w:val="NoSpacing"/>
              <w:rPr>
                <w:lang w:eastAsia="en-GB"/>
              </w:rPr>
            </w:pPr>
            <w:r w:rsidRPr="005F5E3B">
              <w:t>0.0263</w:t>
            </w:r>
          </w:p>
        </w:tc>
      </w:tr>
      <w:tr w:rsidR="005F5E3B" w:rsidRPr="005F5E3B" w14:paraId="24881969" w14:textId="77777777" w:rsidTr="002F1753">
        <w:trPr>
          <w:trHeight w:val="320"/>
          <w:jc w:val="center"/>
        </w:trPr>
        <w:tc>
          <w:tcPr>
            <w:tcW w:w="2266" w:type="dxa"/>
            <w:shd w:val="clear" w:color="auto" w:fill="auto"/>
            <w:noWrap/>
            <w:vAlign w:val="bottom"/>
            <w:hideMark/>
          </w:tcPr>
          <w:p w14:paraId="231E06D3" w14:textId="77777777" w:rsidR="0061082A" w:rsidRPr="005F5E3B" w:rsidRDefault="0061082A" w:rsidP="0061082A">
            <w:pPr>
              <w:pStyle w:val="NoSpacing"/>
              <w:rPr>
                <w:lang w:eastAsia="en-GB"/>
              </w:rPr>
            </w:pPr>
            <w:r w:rsidRPr="005F5E3B">
              <w:rPr>
                <w:lang w:eastAsia="en-GB"/>
              </w:rPr>
              <w:t>3</w:t>
            </w:r>
          </w:p>
        </w:tc>
        <w:tc>
          <w:tcPr>
            <w:tcW w:w="2267" w:type="dxa"/>
            <w:shd w:val="clear" w:color="auto" w:fill="auto"/>
            <w:noWrap/>
            <w:vAlign w:val="bottom"/>
            <w:hideMark/>
          </w:tcPr>
          <w:p w14:paraId="51F89F99" w14:textId="77777777" w:rsidR="0061082A" w:rsidRPr="005F5E3B" w:rsidRDefault="0061082A" w:rsidP="0061082A">
            <w:pPr>
              <w:pStyle w:val="NoSpacing"/>
              <w:rPr>
                <w:lang w:eastAsia="en-GB"/>
              </w:rPr>
            </w:pPr>
            <w:r w:rsidRPr="005F5E3B">
              <w:t>0.697</w:t>
            </w:r>
          </w:p>
        </w:tc>
        <w:tc>
          <w:tcPr>
            <w:tcW w:w="2267" w:type="dxa"/>
            <w:shd w:val="clear" w:color="auto" w:fill="auto"/>
            <w:noWrap/>
            <w:vAlign w:val="bottom"/>
            <w:hideMark/>
          </w:tcPr>
          <w:p w14:paraId="4A0F8D58" w14:textId="77777777" w:rsidR="0061082A" w:rsidRPr="005F5E3B" w:rsidRDefault="0061082A" w:rsidP="0061082A">
            <w:pPr>
              <w:pStyle w:val="NoSpacing"/>
              <w:rPr>
                <w:lang w:eastAsia="en-GB"/>
              </w:rPr>
            </w:pPr>
            <w:r w:rsidRPr="005F5E3B">
              <w:t>0.237</w:t>
            </w:r>
          </w:p>
        </w:tc>
        <w:tc>
          <w:tcPr>
            <w:tcW w:w="2267" w:type="dxa"/>
            <w:shd w:val="clear" w:color="auto" w:fill="auto"/>
            <w:noWrap/>
            <w:vAlign w:val="bottom"/>
            <w:hideMark/>
          </w:tcPr>
          <w:p w14:paraId="51AE3DDD" w14:textId="77777777" w:rsidR="0061082A" w:rsidRPr="005F5E3B" w:rsidRDefault="0061082A" w:rsidP="0061082A">
            <w:pPr>
              <w:pStyle w:val="NoSpacing"/>
              <w:rPr>
                <w:lang w:eastAsia="en-GB"/>
              </w:rPr>
            </w:pPr>
            <w:r w:rsidRPr="005F5E3B">
              <w:t>0.0658</w:t>
            </w:r>
          </w:p>
        </w:tc>
      </w:tr>
      <w:tr w:rsidR="005F5E3B" w:rsidRPr="005F5E3B" w14:paraId="2A541423" w14:textId="77777777" w:rsidTr="002F1753">
        <w:trPr>
          <w:trHeight w:val="320"/>
          <w:jc w:val="center"/>
        </w:trPr>
        <w:tc>
          <w:tcPr>
            <w:tcW w:w="2266" w:type="dxa"/>
            <w:shd w:val="clear" w:color="auto" w:fill="auto"/>
            <w:noWrap/>
            <w:vAlign w:val="bottom"/>
            <w:hideMark/>
          </w:tcPr>
          <w:p w14:paraId="1443879F" w14:textId="77777777" w:rsidR="0061082A" w:rsidRPr="005F5E3B" w:rsidRDefault="0061082A" w:rsidP="0061082A">
            <w:pPr>
              <w:pStyle w:val="NoSpacing"/>
              <w:rPr>
                <w:lang w:eastAsia="en-GB"/>
              </w:rPr>
            </w:pPr>
            <w:r w:rsidRPr="005F5E3B">
              <w:rPr>
                <w:lang w:eastAsia="en-GB"/>
              </w:rPr>
              <w:t>4</w:t>
            </w:r>
          </w:p>
        </w:tc>
        <w:tc>
          <w:tcPr>
            <w:tcW w:w="2267" w:type="dxa"/>
            <w:shd w:val="clear" w:color="auto" w:fill="auto"/>
            <w:noWrap/>
            <w:vAlign w:val="bottom"/>
            <w:hideMark/>
          </w:tcPr>
          <w:p w14:paraId="7DB69442" w14:textId="77777777" w:rsidR="0061082A" w:rsidRPr="005F5E3B" w:rsidRDefault="0061082A" w:rsidP="0061082A">
            <w:pPr>
              <w:pStyle w:val="NoSpacing"/>
              <w:rPr>
                <w:lang w:eastAsia="en-GB"/>
              </w:rPr>
            </w:pPr>
            <w:r w:rsidRPr="005F5E3B">
              <w:t>0.658</w:t>
            </w:r>
          </w:p>
        </w:tc>
        <w:tc>
          <w:tcPr>
            <w:tcW w:w="2267" w:type="dxa"/>
            <w:shd w:val="clear" w:color="auto" w:fill="auto"/>
            <w:noWrap/>
            <w:vAlign w:val="bottom"/>
            <w:hideMark/>
          </w:tcPr>
          <w:p w14:paraId="60629C57" w14:textId="77777777" w:rsidR="0061082A" w:rsidRPr="005F5E3B" w:rsidRDefault="0061082A" w:rsidP="0061082A">
            <w:pPr>
              <w:pStyle w:val="NoSpacing"/>
              <w:rPr>
                <w:lang w:eastAsia="en-GB"/>
              </w:rPr>
            </w:pPr>
            <w:r w:rsidRPr="005F5E3B">
              <w:t>0.276</w:t>
            </w:r>
          </w:p>
        </w:tc>
        <w:tc>
          <w:tcPr>
            <w:tcW w:w="2267" w:type="dxa"/>
            <w:shd w:val="clear" w:color="auto" w:fill="auto"/>
            <w:noWrap/>
            <w:vAlign w:val="bottom"/>
            <w:hideMark/>
          </w:tcPr>
          <w:p w14:paraId="421492E4" w14:textId="77777777" w:rsidR="0061082A" w:rsidRPr="005F5E3B" w:rsidRDefault="0061082A" w:rsidP="0061082A">
            <w:pPr>
              <w:pStyle w:val="NoSpacing"/>
              <w:rPr>
                <w:lang w:eastAsia="en-GB"/>
              </w:rPr>
            </w:pPr>
            <w:r w:rsidRPr="005F5E3B">
              <w:t>0.0658</w:t>
            </w:r>
          </w:p>
        </w:tc>
      </w:tr>
      <w:tr w:rsidR="005F5E3B" w:rsidRPr="005F5E3B" w14:paraId="5056317C" w14:textId="77777777" w:rsidTr="002F1753">
        <w:trPr>
          <w:trHeight w:val="320"/>
          <w:jc w:val="center"/>
        </w:trPr>
        <w:tc>
          <w:tcPr>
            <w:tcW w:w="2266" w:type="dxa"/>
            <w:shd w:val="clear" w:color="auto" w:fill="auto"/>
            <w:noWrap/>
            <w:vAlign w:val="bottom"/>
            <w:hideMark/>
          </w:tcPr>
          <w:p w14:paraId="76955E59" w14:textId="77777777" w:rsidR="0061082A" w:rsidRPr="005F5E3B" w:rsidRDefault="0061082A" w:rsidP="0061082A">
            <w:pPr>
              <w:pStyle w:val="NoSpacing"/>
              <w:rPr>
                <w:lang w:eastAsia="en-GB"/>
              </w:rPr>
            </w:pPr>
            <w:r w:rsidRPr="005F5E3B">
              <w:rPr>
                <w:lang w:eastAsia="en-GB"/>
              </w:rPr>
              <w:t>5</w:t>
            </w:r>
          </w:p>
        </w:tc>
        <w:tc>
          <w:tcPr>
            <w:tcW w:w="2267" w:type="dxa"/>
            <w:shd w:val="clear" w:color="auto" w:fill="auto"/>
            <w:noWrap/>
            <w:vAlign w:val="bottom"/>
            <w:hideMark/>
          </w:tcPr>
          <w:p w14:paraId="5B518227" w14:textId="77777777" w:rsidR="0061082A" w:rsidRPr="005F5E3B" w:rsidRDefault="0061082A" w:rsidP="0061082A">
            <w:pPr>
              <w:pStyle w:val="NoSpacing"/>
              <w:rPr>
                <w:lang w:eastAsia="en-GB"/>
              </w:rPr>
            </w:pPr>
            <w:r w:rsidRPr="005F5E3B">
              <w:t>0.615</w:t>
            </w:r>
          </w:p>
        </w:tc>
        <w:tc>
          <w:tcPr>
            <w:tcW w:w="2267" w:type="dxa"/>
            <w:shd w:val="clear" w:color="auto" w:fill="auto"/>
            <w:noWrap/>
            <w:vAlign w:val="bottom"/>
            <w:hideMark/>
          </w:tcPr>
          <w:p w14:paraId="60FAFBBE" w14:textId="77777777" w:rsidR="0061082A" w:rsidRPr="005F5E3B" w:rsidRDefault="0061082A" w:rsidP="0061082A">
            <w:pPr>
              <w:pStyle w:val="NoSpacing"/>
              <w:rPr>
                <w:lang w:eastAsia="en-GB"/>
              </w:rPr>
            </w:pPr>
            <w:r w:rsidRPr="005F5E3B">
              <w:t>0.304</w:t>
            </w:r>
          </w:p>
        </w:tc>
        <w:tc>
          <w:tcPr>
            <w:tcW w:w="2267" w:type="dxa"/>
            <w:shd w:val="clear" w:color="auto" w:fill="auto"/>
            <w:noWrap/>
            <w:vAlign w:val="bottom"/>
            <w:hideMark/>
          </w:tcPr>
          <w:p w14:paraId="17987F3E" w14:textId="77777777" w:rsidR="0061082A" w:rsidRPr="005F5E3B" w:rsidRDefault="0061082A" w:rsidP="0061082A">
            <w:pPr>
              <w:pStyle w:val="NoSpacing"/>
              <w:rPr>
                <w:lang w:eastAsia="en-GB"/>
              </w:rPr>
            </w:pPr>
            <w:r w:rsidRPr="005F5E3B">
              <w:t>0.0804</w:t>
            </w:r>
          </w:p>
        </w:tc>
      </w:tr>
    </w:tbl>
    <w:p w14:paraId="635475D1" w14:textId="77777777" w:rsidR="0061082A" w:rsidRPr="005F5E3B" w:rsidRDefault="0061082A" w:rsidP="0061082A">
      <w:pPr>
        <w:rPr>
          <w:rFonts w:cs="Times New Roman"/>
          <w:lang w:val="en-GB"/>
        </w:rPr>
      </w:pPr>
      <w:r w:rsidRPr="005F5E3B">
        <w:rPr>
          <w:rFonts w:cs="Times New Roman"/>
          <w:lang w:val="en-GB"/>
        </w:rPr>
        <w:t>Table S3: Transitional probabilities for RC only (current scenarios and for Ba/</w:t>
      </w:r>
      <w:proofErr w:type="spellStart"/>
      <w:r w:rsidRPr="005F5E3B">
        <w:rPr>
          <w:rFonts w:cs="Times New Roman"/>
          <w:lang w:val="en-GB"/>
        </w:rPr>
        <w:t>Sq</w:t>
      </w:r>
      <w:proofErr w:type="spellEnd"/>
      <w:r w:rsidRPr="005F5E3B">
        <w:rPr>
          <w:rFonts w:cs="Times New Roman"/>
          <w:lang w:val="en-GB"/>
        </w:rPr>
        <w:t xml:space="preserve"> subtype good prognosis) (n=1297)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442"/>
        <w:gridCol w:w="2442"/>
      </w:tblGrid>
      <w:tr w:rsidR="005F5E3B" w:rsidRPr="005F5E3B" w14:paraId="08E300F3" w14:textId="77777777" w:rsidTr="002F1753">
        <w:trPr>
          <w:trHeight w:val="320"/>
          <w:jc w:val="center"/>
        </w:trPr>
        <w:tc>
          <w:tcPr>
            <w:tcW w:w="1250" w:type="pct"/>
            <w:shd w:val="clear" w:color="auto" w:fill="auto"/>
            <w:noWrap/>
            <w:vAlign w:val="bottom"/>
            <w:hideMark/>
          </w:tcPr>
          <w:p w14:paraId="302554E1" w14:textId="77777777" w:rsidR="0061082A" w:rsidRPr="005F5E3B" w:rsidRDefault="0061082A" w:rsidP="0061082A">
            <w:pPr>
              <w:pStyle w:val="NoSpacing"/>
              <w:rPr>
                <w:lang w:eastAsia="en-GB"/>
              </w:rPr>
            </w:pPr>
            <w:r w:rsidRPr="005F5E3B">
              <w:rPr>
                <w:lang w:eastAsia="en-GB"/>
              </w:rPr>
              <w:t>Year</w:t>
            </w:r>
          </w:p>
        </w:tc>
        <w:tc>
          <w:tcPr>
            <w:tcW w:w="1250" w:type="pct"/>
            <w:shd w:val="clear" w:color="auto" w:fill="auto"/>
            <w:noWrap/>
            <w:vAlign w:val="bottom"/>
            <w:hideMark/>
          </w:tcPr>
          <w:p w14:paraId="2336016C" w14:textId="77777777" w:rsidR="0061082A" w:rsidRPr="005F5E3B" w:rsidRDefault="0061082A" w:rsidP="0061082A">
            <w:pPr>
              <w:pStyle w:val="NoSpacing"/>
              <w:rPr>
                <w:lang w:eastAsia="en-GB"/>
              </w:rPr>
            </w:pPr>
            <w:r w:rsidRPr="005F5E3B">
              <w:rPr>
                <w:lang w:eastAsia="en-GB"/>
              </w:rPr>
              <w:t>Survive</w:t>
            </w:r>
          </w:p>
        </w:tc>
        <w:tc>
          <w:tcPr>
            <w:tcW w:w="1250" w:type="pct"/>
            <w:shd w:val="clear" w:color="auto" w:fill="auto"/>
            <w:noWrap/>
            <w:vAlign w:val="bottom"/>
            <w:hideMark/>
          </w:tcPr>
          <w:p w14:paraId="69E16339" w14:textId="77777777" w:rsidR="0061082A" w:rsidRPr="005F5E3B" w:rsidRDefault="0061082A" w:rsidP="0061082A">
            <w:pPr>
              <w:pStyle w:val="NoSpacing"/>
              <w:rPr>
                <w:lang w:eastAsia="en-GB"/>
              </w:rPr>
            </w:pPr>
            <w:r w:rsidRPr="005F5E3B">
              <w:rPr>
                <w:lang w:eastAsia="en-GB"/>
              </w:rPr>
              <w:t>Dead by BC</w:t>
            </w:r>
          </w:p>
        </w:tc>
        <w:tc>
          <w:tcPr>
            <w:tcW w:w="1250" w:type="pct"/>
            <w:shd w:val="clear" w:color="auto" w:fill="auto"/>
            <w:noWrap/>
            <w:vAlign w:val="bottom"/>
            <w:hideMark/>
          </w:tcPr>
          <w:p w14:paraId="06A87D7E" w14:textId="77777777" w:rsidR="0061082A" w:rsidRPr="005F5E3B" w:rsidRDefault="0061082A" w:rsidP="0061082A">
            <w:pPr>
              <w:pStyle w:val="NoSpacing"/>
              <w:rPr>
                <w:lang w:eastAsia="en-GB"/>
              </w:rPr>
            </w:pPr>
            <w:r w:rsidRPr="005F5E3B">
              <w:rPr>
                <w:lang w:eastAsia="en-GB"/>
              </w:rPr>
              <w:t>Not dead by BC</w:t>
            </w:r>
          </w:p>
        </w:tc>
      </w:tr>
      <w:tr w:rsidR="005F5E3B" w:rsidRPr="005F5E3B" w14:paraId="0819BEE4" w14:textId="77777777" w:rsidTr="002F1753">
        <w:trPr>
          <w:trHeight w:val="320"/>
          <w:jc w:val="center"/>
        </w:trPr>
        <w:tc>
          <w:tcPr>
            <w:tcW w:w="1250" w:type="pct"/>
            <w:shd w:val="clear" w:color="auto" w:fill="auto"/>
            <w:noWrap/>
            <w:vAlign w:val="bottom"/>
            <w:hideMark/>
          </w:tcPr>
          <w:p w14:paraId="07A82A45" w14:textId="77777777" w:rsidR="0061082A" w:rsidRPr="005F5E3B" w:rsidRDefault="0061082A" w:rsidP="0061082A">
            <w:pPr>
              <w:pStyle w:val="NoSpacing"/>
              <w:rPr>
                <w:lang w:eastAsia="en-GB"/>
              </w:rPr>
            </w:pPr>
            <w:r w:rsidRPr="005F5E3B">
              <w:rPr>
                <w:lang w:eastAsia="en-GB"/>
              </w:rPr>
              <w:t>1</w:t>
            </w:r>
          </w:p>
        </w:tc>
        <w:tc>
          <w:tcPr>
            <w:tcW w:w="1250" w:type="pct"/>
            <w:shd w:val="clear" w:color="auto" w:fill="auto"/>
            <w:noWrap/>
            <w:vAlign w:val="bottom"/>
            <w:hideMark/>
          </w:tcPr>
          <w:p w14:paraId="596A5130" w14:textId="77777777" w:rsidR="0061082A" w:rsidRPr="005F5E3B" w:rsidRDefault="0061082A" w:rsidP="0061082A">
            <w:pPr>
              <w:pStyle w:val="NoSpacing"/>
              <w:rPr>
                <w:lang w:eastAsia="en-GB"/>
              </w:rPr>
            </w:pPr>
            <w:r w:rsidRPr="005F5E3B">
              <w:t>0.7788</w:t>
            </w:r>
          </w:p>
        </w:tc>
        <w:tc>
          <w:tcPr>
            <w:tcW w:w="1250" w:type="pct"/>
            <w:shd w:val="clear" w:color="auto" w:fill="auto"/>
            <w:noWrap/>
            <w:vAlign w:val="bottom"/>
            <w:hideMark/>
          </w:tcPr>
          <w:p w14:paraId="5EB97A26" w14:textId="77777777" w:rsidR="0061082A" w:rsidRPr="005F5E3B" w:rsidRDefault="0061082A" w:rsidP="0061082A">
            <w:pPr>
              <w:pStyle w:val="NoSpacing"/>
              <w:rPr>
                <w:lang w:eastAsia="en-GB"/>
              </w:rPr>
            </w:pPr>
            <w:r w:rsidRPr="005F5E3B">
              <w:t>0.2163</w:t>
            </w:r>
          </w:p>
        </w:tc>
        <w:tc>
          <w:tcPr>
            <w:tcW w:w="1250" w:type="pct"/>
            <w:shd w:val="clear" w:color="auto" w:fill="auto"/>
            <w:noWrap/>
            <w:vAlign w:val="bottom"/>
            <w:hideMark/>
          </w:tcPr>
          <w:p w14:paraId="0C8FEA3C" w14:textId="77777777" w:rsidR="0061082A" w:rsidRPr="005F5E3B" w:rsidRDefault="0061082A" w:rsidP="0061082A">
            <w:pPr>
              <w:pStyle w:val="NoSpacing"/>
              <w:rPr>
                <w:lang w:eastAsia="en-GB"/>
              </w:rPr>
            </w:pPr>
            <w:r w:rsidRPr="005F5E3B">
              <w:t>0.0049</w:t>
            </w:r>
          </w:p>
        </w:tc>
      </w:tr>
      <w:tr w:rsidR="005F5E3B" w:rsidRPr="005F5E3B" w14:paraId="324CD74F" w14:textId="77777777" w:rsidTr="002F1753">
        <w:trPr>
          <w:trHeight w:val="320"/>
          <w:jc w:val="center"/>
        </w:trPr>
        <w:tc>
          <w:tcPr>
            <w:tcW w:w="1250" w:type="pct"/>
            <w:shd w:val="clear" w:color="auto" w:fill="auto"/>
            <w:noWrap/>
            <w:vAlign w:val="bottom"/>
            <w:hideMark/>
          </w:tcPr>
          <w:p w14:paraId="5EBCE20E" w14:textId="77777777" w:rsidR="0061082A" w:rsidRPr="005F5E3B" w:rsidRDefault="0061082A" w:rsidP="0061082A">
            <w:pPr>
              <w:pStyle w:val="NoSpacing"/>
              <w:rPr>
                <w:lang w:eastAsia="en-GB"/>
              </w:rPr>
            </w:pPr>
            <w:r w:rsidRPr="005F5E3B">
              <w:rPr>
                <w:lang w:eastAsia="en-GB"/>
              </w:rPr>
              <w:t>2</w:t>
            </w:r>
          </w:p>
        </w:tc>
        <w:tc>
          <w:tcPr>
            <w:tcW w:w="1250" w:type="pct"/>
            <w:shd w:val="clear" w:color="auto" w:fill="auto"/>
            <w:noWrap/>
            <w:vAlign w:val="bottom"/>
            <w:hideMark/>
          </w:tcPr>
          <w:p w14:paraId="0F3919E4" w14:textId="77777777" w:rsidR="0061082A" w:rsidRPr="005F5E3B" w:rsidRDefault="0061082A" w:rsidP="0061082A">
            <w:pPr>
              <w:pStyle w:val="NoSpacing"/>
              <w:rPr>
                <w:lang w:eastAsia="en-GB"/>
              </w:rPr>
            </w:pPr>
            <w:r w:rsidRPr="005F5E3B">
              <w:t>0.6542</w:t>
            </w:r>
          </w:p>
        </w:tc>
        <w:tc>
          <w:tcPr>
            <w:tcW w:w="1250" w:type="pct"/>
            <w:shd w:val="clear" w:color="auto" w:fill="auto"/>
            <w:noWrap/>
            <w:vAlign w:val="bottom"/>
            <w:hideMark/>
          </w:tcPr>
          <w:p w14:paraId="1CA2FB66" w14:textId="77777777" w:rsidR="0061082A" w:rsidRPr="005F5E3B" w:rsidRDefault="0061082A" w:rsidP="0061082A">
            <w:pPr>
              <w:pStyle w:val="NoSpacing"/>
              <w:rPr>
                <w:lang w:eastAsia="en-GB"/>
              </w:rPr>
            </w:pPr>
            <w:r w:rsidRPr="005F5E3B">
              <w:t>0.3361</w:t>
            </w:r>
          </w:p>
        </w:tc>
        <w:tc>
          <w:tcPr>
            <w:tcW w:w="1250" w:type="pct"/>
            <w:shd w:val="clear" w:color="auto" w:fill="auto"/>
            <w:noWrap/>
            <w:vAlign w:val="bottom"/>
            <w:hideMark/>
          </w:tcPr>
          <w:p w14:paraId="33933B0B" w14:textId="77777777" w:rsidR="0061082A" w:rsidRPr="005F5E3B" w:rsidRDefault="0061082A" w:rsidP="0061082A">
            <w:pPr>
              <w:pStyle w:val="NoSpacing"/>
              <w:rPr>
                <w:lang w:eastAsia="en-GB"/>
              </w:rPr>
            </w:pPr>
            <w:r w:rsidRPr="005F5E3B">
              <w:t>0.0097</w:t>
            </w:r>
          </w:p>
        </w:tc>
      </w:tr>
      <w:tr w:rsidR="005F5E3B" w:rsidRPr="005F5E3B" w14:paraId="4C002880" w14:textId="77777777" w:rsidTr="002F1753">
        <w:trPr>
          <w:trHeight w:val="320"/>
          <w:jc w:val="center"/>
        </w:trPr>
        <w:tc>
          <w:tcPr>
            <w:tcW w:w="1250" w:type="pct"/>
            <w:shd w:val="clear" w:color="auto" w:fill="auto"/>
            <w:noWrap/>
            <w:vAlign w:val="bottom"/>
            <w:hideMark/>
          </w:tcPr>
          <w:p w14:paraId="48ECC206" w14:textId="77777777" w:rsidR="0061082A" w:rsidRPr="005F5E3B" w:rsidRDefault="0061082A" w:rsidP="0061082A">
            <w:pPr>
              <w:pStyle w:val="NoSpacing"/>
              <w:rPr>
                <w:lang w:eastAsia="en-GB"/>
              </w:rPr>
            </w:pPr>
            <w:r w:rsidRPr="005F5E3B">
              <w:rPr>
                <w:lang w:eastAsia="en-GB"/>
              </w:rPr>
              <w:t>3</w:t>
            </w:r>
          </w:p>
        </w:tc>
        <w:tc>
          <w:tcPr>
            <w:tcW w:w="1250" w:type="pct"/>
            <w:shd w:val="clear" w:color="auto" w:fill="auto"/>
            <w:noWrap/>
            <w:vAlign w:val="bottom"/>
            <w:hideMark/>
          </w:tcPr>
          <w:p w14:paraId="3DDC2F3B" w14:textId="77777777" w:rsidR="0061082A" w:rsidRPr="005F5E3B" w:rsidRDefault="0061082A" w:rsidP="0061082A">
            <w:pPr>
              <w:pStyle w:val="NoSpacing"/>
              <w:rPr>
                <w:lang w:eastAsia="en-GB"/>
              </w:rPr>
            </w:pPr>
            <w:r w:rsidRPr="005F5E3B">
              <w:t>0.5726</w:t>
            </w:r>
          </w:p>
        </w:tc>
        <w:tc>
          <w:tcPr>
            <w:tcW w:w="1250" w:type="pct"/>
            <w:shd w:val="clear" w:color="auto" w:fill="auto"/>
            <w:noWrap/>
            <w:vAlign w:val="bottom"/>
            <w:hideMark/>
          </w:tcPr>
          <w:p w14:paraId="430CB61C" w14:textId="77777777" w:rsidR="0061082A" w:rsidRPr="005F5E3B" w:rsidRDefault="0061082A" w:rsidP="0061082A">
            <w:pPr>
              <w:pStyle w:val="NoSpacing"/>
              <w:rPr>
                <w:lang w:eastAsia="en-GB"/>
              </w:rPr>
            </w:pPr>
            <w:r w:rsidRPr="005F5E3B">
              <w:t>0.4139</w:t>
            </w:r>
          </w:p>
        </w:tc>
        <w:tc>
          <w:tcPr>
            <w:tcW w:w="1250" w:type="pct"/>
            <w:shd w:val="clear" w:color="auto" w:fill="auto"/>
            <w:noWrap/>
            <w:vAlign w:val="bottom"/>
            <w:hideMark/>
          </w:tcPr>
          <w:p w14:paraId="59B33B8B" w14:textId="77777777" w:rsidR="0061082A" w:rsidRPr="005F5E3B" w:rsidRDefault="0061082A" w:rsidP="0061082A">
            <w:pPr>
              <w:pStyle w:val="NoSpacing"/>
              <w:rPr>
                <w:lang w:eastAsia="en-GB"/>
              </w:rPr>
            </w:pPr>
            <w:r w:rsidRPr="005F5E3B">
              <w:t>0.0135</w:t>
            </w:r>
          </w:p>
        </w:tc>
      </w:tr>
      <w:tr w:rsidR="005F5E3B" w:rsidRPr="005F5E3B" w14:paraId="38FB36AF" w14:textId="77777777" w:rsidTr="002F1753">
        <w:trPr>
          <w:trHeight w:val="320"/>
          <w:jc w:val="center"/>
        </w:trPr>
        <w:tc>
          <w:tcPr>
            <w:tcW w:w="1250" w:type="pct"/>
            <w:shd w:val="clear" w:color="auto" w:fill="auto"/>
            <w:noWrap/>
            <w:vAlign w:val="bottom"/>
            <w:hideMark/>
          </w:tcPr>
          <w:p w14:paraId="3D1E8AA5" w14:textId="77777777" w:rsidR="0061082A" w:rsidRPr="005F5E3B" w:rsidRDefault="0061082A" w:rsidP="0061082A">
            <w:pPr>
              <w:pStyle w:val="NoSpacing"/>
              <w:rPr>
                <w:lang w:eastAsia="en-GB"/>
              </w:rPr>
            </w:pPr>
            <w:r w:rsidRPr="005F5E3B">
              <w:rPr>
                <w:lang w:eastAsia="en-GB"/>
              </w:rPr>
              <w:t>4</w:t>
            </w:r>
          </w:p>
        </w:tc>
        <w:tc>
          <w:tcPr>
            <w:tcW w:w="1250" w:type="pct"/>
            <w:shd w:val="clear" w:color="auto" w:fill="auto"/>
            <w:noWrap/>
            <w:vAlign w:val="bottom"/>
            <w:hideMark/>
          </w:tcPr>
          <w:p w14:paraId="57B9B51B" w14:textId="77777777" w:rsidR="0061082A" w:rsidRPr="005F5E3B" w:rsidRDefault="0061082A" w:rsidP="0061082A">
            <w:pPr>
              <w:pStyle w:val="NoSpacing"/>
              <w:rPr>
                <w:lang w:eastAsia="en-GB"/>
              </w:rPr>
            </w:pPr>
            <w:r w:rsidRPr="005F5E3B">
              <w:t>0.5273</w:t>
            </w:r>
          </w:p>
        </w:tc>
        <w:tc>
          <w:tcPr>
            <w:tcW w:w="1250" w:type="pct"/>
            <w:shd w:val="clear" w:color="auto" w:fill="auto"/>
            <w:noWrap/>
            <w:vAlign w:val="bottom"/>
            <w:hideMark/>
          </w:tcPr>
          <w:p w14:paraId="0A65AC7F" w14:textId="77777777" w:rsidR="0061082A" w:rsidRPr="005F5E3B" w:rsidRDefault="0061082A" w:rsidP="0061082A">
            <w:pPr>
              <w:pStyle w:val="NoSpacing"/>
              <w:rPr>
                <w:lang w:eastAsia="en-GB"/>
              </w:rPr>
            </w:pPr>
            <w:r w:rsidRPr="005F5E3B">
              <w:t>0.4585</w:t>
            </w:r>
          </w:p>
        </w:tc>
        <w:tc>
          <w:tcPr>
            <w:tcW w:w="1250" w:type="pct"/>
            <w:shd w:val="clear" w:color="auto" w:fill="auto"/>
            <w:noWrap/>
            <w:vAlign w:val="bottom"/>
            <w:hideMark/>
          </w:tcPr>
          <w:p w14:paraId="799735E3" w14:textId="77777777" w:rsidR="0061082A" w:rsidRPr="005F5E3B" w:rsidRDefault="0061082A" w:rsidP="0061082A">
            <w:pPr>
              <w:pStyle w:val="NoSpacing"/>
              <w:rPr>
                <w:lang w:eastAsia="en-GB"/>
              </w:rPr>
            </w:pPr>
            <w:r w:rsidRPr="005F5E3B">
              <w:t>0.0142</w:t>
            </w:r>
          </w:p>
        </w:tc>
      </w:tr>
      <w:tr w:rsidR="005F5E3B" w:rsidRPr="005F5E3B" w14:paraId="611B9A64" w14:textId="77777777" w:rsidTr="002F1753">
        <w:trPr>
          <w:trHeight w:val="320"/>
          <w:jc w:val="center"/>
        </w:trPr>
        <w:tc>
          <w:tcPr>
            <w:tcW w:w="1250" w:type="pct"/>
            <w:shd w:val="clear" w:color="auto" w:fill="auto"/>
            <w:noWrap/>
            <w:vAlign w:val="bottom"/>
            <w:hideMark/>
          </w:tcPr>
          <w:p w14:paraId="186D9CBC" w14:textId="77777777" w:rsidR="0061082A" w:rsidRPr="005F5E3B" w:rsidRDefault="0061082A" w:rsidP="0061082A">
            <w:pPr>
              <w:pStyle w:val="NoSpacing"/>
              <w:rPr>
                <w:lang w:eastAsia="en-GB"/>
              </w:rPr>
            </w:pPr>
            <w:r w:rsidRPr="005F5E3B">
              <w:rPr>
                <w:lang w:eastAsia="en-GB"/>
              </w:rPr>
              <w:t>5</w:t>
            </w:r>
          </w:p>
        </w:tc>
        <w:tc>
          <w:tcPr>
            <w:tcW w:w="1250" w:type="pct"/>
            <w:shd w:val="clear" w:color="auto" w:fill="auto"/>
            <w:noWrap/>
            <w:vAlign w:val="bottom"/>
            <w:hideMark/>
          </w:tcPr>
          <w:p w14:paraId="4022A4E0" w14:textId="77777777" w:rsidR="0061082A" w:rsidRPr="005F5E3B" w:rsidRDefault="0061082A" w:rsidP="0061082A">
            <w:pPr>
              <w:pStyle w:val="NoSpacing"/>
              <w:rPr>
                <w:lang w:eastAsia="en-GB"/>
              </w:rPr>
            </w:pPr>
            <w:r w:rsidRPr="005F5E3B">
              <w:t>0.4863</w:t>
            </w:r>
          </w:p>
        </w:tc>
        <w:tc>
          <w:tcPr>
            <w:tcW w:w="1250" w:type="pct"/>
            <w:shd w:val="clear" w:color="auto" w:fill="auto"/>
            <w:noWrap/>
            <w:vAlign w:val="bottom"/>
            <w:hideMark/>
          </w:tcPr>
          <w:p w14:paraId="0C1BF148" w14:textId="77777777" w:rsidR="0061082A" w:rsidRPr="005F5E3B" w:rsidRDefault="0061082A" w:rsidP="0061082A">
            <w:pPr>
              <w:pStyle w:val="NoSpacing"/>
              <w:rPr>
                <w:lang w:eastAsia="en-GB"/>
              </w:rPr>
            </w:pPr>
            <w:r w:rsidRPr="005F5E3B">
              <w:t>0.4952</w:t>
            </w:r>
          </w:p>
        </w:tc>
        <w:tc>
          <w:tcPr>
            <w:tcW w:w="1250" w:type="pct"/>
            <w:shd w:val="clear" w:color="auto" w:fill="auto"/>
            <w:noWrap/>
            <w:vAlign w:val="bottom"/>
            <w:hideMark/>
          </w:tcPr>
          <w:p w14:paraId="27040AB5" w14:textId="77777777" w:rsidR="0061082A" w:rsidRPr="005F5E3B" w:rsidRDefault="0061082A" w:rsidP="0061082A">
            <w:pPr>
              <w:pStyle w:val="NoSpacing"/>
              <w:rPr>
                <w:lang w:eastAsia="en-GB"/>
              </w:rPr>
            </w:pPr>
            <w:r w:rsidRPr="005F5E3B">
              <w:t>0.0185</w:t>
            </w:r>
          </w:p>
        </w:tc>
      </w:tr>
    </w:tbl>
    <w:p w14:paraId="206250F8" w14:textId="77777777" w:rsidR="0061082A" w:rsidRPr="005F5E3B" w:rsidRDefault="0061082A" w:rsidP="0061082A">
      <w:pPr>
        <w:rPr>
          <w:rFonts w:cs="Times New Roman"/>
          <w:lang w:val="en-GB"/>
        </w:rPr>
      </w:pPr>
      <w:r w:rsidRPr="005F5E3B">
        <w:rPr>
          <w:rFonts w:cs="Times New Roman"/>
          <w:lang w:val="en-GB"/>
        </w:rPr>
        <w:t>Table S4: Transitional probabilities RC+AC current scenarios and Ba/</w:t>
      </w:r>
      <w:proofErr w:type="spellStart"/>
      <w:r w:rsidRPr="005F5E3B">
        <w:rPr>
          <w:rFonts w:cs="Times New Roman"/>
          <w:lang w:val="en-GB"/>
        </w:rPr>
        <w:t>Sq</w:t>
      </w:r>
      <w:proofErr w:type="spellEnd"/>
      <w:r w:rsidRPr="005F5E3B">
        <w:rPr>
          <w:rFonts w:cs="Times New Roman"/>
          <w:lang w:val="en-GB"/>
        </w:rPr>
        <w:t xml:space="preserve"> subtypes with poor prognosis (n=73)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442"/>
        <w:gridCol w:w="2442"/>
      </w:tblGrid>
      <w:tr w:rsidR="005F5E3B" w:rsidRPr="005F5E3B" w14:paraId="0E1FC52A" w14:textId="77777777" w:rsidTr="002F1753">
        <w:trPr>
          <w:trHeight w:val="320"/>
          <w:jc w:val="center"/>
        </w:trPr>
        <w:tc>
          <w:tcPr>
            <w:tcW w:w="1250" w:type="pct"/>
            <w:shd w:val="clear" w:color="auto" w:fill="auto"/>
            <w:noWrap/>
            <w:vAlign w:val="bottom"/>
            <w:hideMark/>
          </w:tcPr>
          <w:p w14:paraId="186DE7C3" w14:textId="77777777" w:rsidR="0061082A" w:rsidRPr="005F5E3B" w:rsidRDefault="0061082A" w:rsidP="0061082A">
            <w:pPr>
              <w:pStyle w:val="NoSpacing"/>
              <w:rPr>
                <w:lang w:eastAsia="en-GB"/>
              </w:rPr>
            </w:pPr>
            <w:r w:rsidRPr="005F5E3B">
              <w:rPr>
                <w:lang w:eastAsia="en-GB"/>
              </w:rPr>
              <w:t>Year</w:t>
            </w:r>
          </w:p>
        </w:tc>
        <w:tc>
          <w:tcPr>
            <w:tcW w:w="1250" w:type="pct"/>
            <w:shd w:val="clear" w:color="auto" w:fill="auto"/>
            <w:noWrap/>
            <w:vAlign w:val="bottom"/>
            <w:hideMark/>
          </w:tcPr>
          <w:p w14:paraId="4B60DC1C" w14:textId="77777777" w:rsidR="0061082A" w:rsidRPr="005F5E3B" w:rsidRDefault="0061082A" w:rsidP="0061082A">
            <w:pPr>
              <w:pStyle w:val="NoSpacing"/>
              <w:rPr>
                <w:lang w:eastAsia="en-GB"/>
              </w:rPr>
            </w:pPr>
            <w:r w:rsidRPr="005F5E3B">
              <w:rPr>
                <w:lang w:eastAsia="en-GB"/>
              </w:rPr>
              <w:t>Survive</w:t>
            </w:r>
          </w:p>
        </w:tc>
        <w:tc>
          <w:tcPr>
            <w:tcW w:w="1250" w:type="pct"/>
            <w:shd w:val="clear" w:color="auto" w:fill="auto"/>
            <w:noWrap/>
            <w:vAlign w:val="bottom"/>
            <w:hideMark/>
          </w:tcPr>
          <w:p w14:paraId="5DE907D2" w14:textId="77777777" w:rsidR="0061082A" w:rsidRPr="005F5E3B" w:rsidRDefault="0061082A" w:rsidP="0061082A">
            <w:pPr>
              <w:pStyle w:val="NoSpacing"/>
              <w:rPr>
                <w:lang w:eastAsia="en-GB"/>
              </w:rPr>
            </w:pPr>
            <w:r w:rsidRPr="005F5E3B">
              <w:rPr>
                <w:lang w:eastAsia="en-GB"/>
              </w:rPr>
              <w:t>Dead by BC</w:t>
            </w:r>
          </w:p>
        </w:tc>
        <w:tc>
          <w:tcPr>
            <w:tcW w:w="1250" w:type="pct"/>
            <w:shd w:val="clear" w:color="auto" w:fill="auto"/>
            <w:noWrap/>
            <w:vAlign w:val="bottom"/>
            <w:hideMark/>
          </w:tcPr>
          <w:p w14:paraId="4FDDE179" w14:textId="77777777" w:rsidR="0061082A" w:rsidRPr="005F5E3B" w:rsidRDefault="0061082A" w:rsidP="0061082A">
            <w:pPr>
              <w:pStyle w:val="NoSpacing"/>
              <w:rPr>
                <w:lang w:eastAsia="en-GB"/>
              </w:rPr>
            </w:pPr>
            <w:r w:rsidRPr="005F5E3B">
              <w:rPr>
                <w:lang w:eastAsia="en-GB"/>
              </w:rPr>
              <w:t>Not dead by BC</w:t>
            </w:r>
          </w:p>
        </w:tc>
      </w:tr>
      <w:tr w:rsidR="005F5E3B" w:rsidRPr="005F5E3B" w14:paraId="4D00F96D" w14:textId="77777777" w:rsidTr="002F1753">
        <w:trPr>
          <w:trHeight w:val="320"/>
          <w:jc w:val="center"/>
        </w:trPr>
        <w:tc>
          <w:tcPr>
            <w:tcW w:w="1250" w:type="pct"/>
            <w:shd w:val="clear" w:color="auto" w:fill="auto"/>
            <w:noWrap/>
            <w:vAlign w:val="bottom"/>
            <w:hideMark/>
          </w:tcPr>
          <w:p w14:paraId="73DB8671" w14:textId="77777777" w:rsidR="0061082A" w:rsidRPr="005F5E3B" w:rsidRDefault="0061082A" w:rsidP="0061082A">
            <w:pPr>
              <w:pStyle w:val="NoSpacing"/>
              <w:rPr>
                <w:lang w:eastAsia="en-GB"/>
              </w:rPr>
            </w:pPr>
            <w:r w:rsidRPr="005F5E3B">
              <w:rPr>
                <w:lang w:eastAsia="en-GB"/>
              </w:rPr>
              <w:t>1</w:t>
            </w:r>
          </w:p>
        </w:tc>
        <w:tc>
          <w:tcPr>
            <w:tcW w:w="1250" w:type="pct"/>
            <w:shd w:val="clear" w:color="auto" w:fill="auto"/>
            <w:noWrap/>
            <w:vAlign w:val="bottom"/>
          </w:tcPr>
          <w:p w14:paraId="47C18101" w14:textId="77777777" w:rsidR="0061082A" w:rsidRPr="005F5E3B" w:rsidRDefault="0061082A" w:rsidP="0061082A">
            <w:pPr>
              <w:pStyle w:val="NoSpacing"/>
              <w:rPr>
                <w:lang w:eastAsia="en-GB"/>
              </w:rPr>
            </w:pPr>
            <w:r w:rsidRPr="005F5E3B">
              <w:t>0.792</w:t>
            </w:r>
          </w:p>
        </w:tc>
        <w:tc>
          <w:tcPr>
            <w:tcW w:w="1250" w:type="pct"/>
            <w:shd w:val="clear" w:color="auto" w:fill="auto"/>
            <w:noWrap/>
            <w:vAlign w:val="bottom"/>
          </w:tcPr>
          <w:p w14:paraId="657EE90A" w14:textId="77777777" w:rsidR="0061082A" w:rsidRPr="005F5E3B" w:rsidRDefault="0061082A" w:rsidP="0061082A">
            <w:pPr>
              <w:pStyle w:val="NoSpacing"/>
              <w:rPr>
                <w:lang w:eastAsia="en-GB"/>
              </w:rPr>
            </w:pPr>
            <w:r w:rsidRPr="005F5E3B">
              <w:t>0.208</w:t>
            </w:r>
          </w:p>
        </w:tc>
        <w:tc>
          <w:tcPr>
            <w:tcW w:w="1250" w:type="pct"/>
            <w:shd w:val="clear" w:color="auto" w:fill="auto"/>
            <w:noWrap/>
            <w:vAlign w:val="bottom"/>
          </w:tcPr>
          <w:p w14:paraId="50BF1121" w14:textId="77777777" w:rsidR="0061082A" w:rsidRPr="005F5E3B" w:rsidRDefault="0061082A" w:rsidP="0061082A">
            <w:pPr>
              <w:pStyle w:val="NoSpacing"/>
              <w:rPr>
                <w:lang w:eastAsia="en-GB"/>
              </w:rPr>
            </w:pPr>
            <w:r w:rsidRPr="005F5E3B">
              <w:t>0</w:t>
            </w:r>
          </w:p>
        </w:tc>
      </w:tr>
      <w:tr w:rsidR="005F5E3B" w:rsidRPr="005F5E3B" w14:paraId="15481886" w14:textId="77777777" w:rsidTr="002F1753">
        <w:trPr>
          <w:trHeight w:val="320"/>
          <w:jc w:val="center"/>
        </w:trPr>
        <w:tc>
          <w:tcPr>
            <w:tcW w:w="1250" w:type="pct"/>
            <w:shd w:val="clear" w:color="auto" w:fill="auto"/>
            <w:noWrap/>
            <w:vAlign w:val="bottom"/>
            <w:hideMark/>
          </w:tcPr>
          <w:p w14:paraId="396DADA7" w14:textId="77777777" w:rsidR="0061082A" w:rsidRPr="005F5E3B" w:rsidRDefault="0061082A" w:rsidP="0061082A">
            <w:pPr>
              <w:pStyle w:val="NoSpacing"/>
              <w:rPr>
                <w:lang w:eastAsia="en-GB"/>
              </w:rPr>
            </w:pPr>
            <w:r w:rsidRPr="005F5E3B">
              <w:rPr>
                <w:lang w:eastAsia="en-GB"/>
              </w:rPr>
              <w:t>2</w:t>
            </w:r>
          </w:p>
        </w:tc>
        <w:tc>
          <w:tcPr>
            <w:tcW w:w="1250" w:type="pct"/>
            <w:shd w:val="clear" w:color="auto" w:fill="auto"/>
            <w:noWrap/>
            <w:vAlign w:val="bottom"/>
          </w:tcPr>
          <w:p w14:paraId="3FABBE74" w14:textId="77777777" w:rsidR="0061082A" w:rsidRPr="005F5E3B" w:rsidRDefault="0061082A" w:rsidP="0061082A">
            <w:pPr>
              <w:pStyle w:val="NoSpacing"/>
              <w:rPr>
                <w:lang w:eastAsia="en-GB"/>
              </w:rPr>
            </w:pPr>
            <w:r w:rsidRPr="005F5E3B">
              <w:t>0.484</w:t>
            </w:r>
          </w:p>
        </w:tc>
        <w:tc>
          <w:tcPr>
            <w:tcW w:w="1250" w:type="pct"/>
            <w:shd w:val="clear" w:color="auto" w:fill="auto"/>
            <w:noWrap/>
            <w:vAlign w:val="bottom"/>
          </w:tcPr>
          <w:p w14:paraId="3AB6395D" w14:textId="77777777" w:rsidR="0061082A" w:rsidRPr="005F5E3B" w:rsidRDefault="0061082A" w:rsidP="0061082A">
            <w:pPr>
              <w:pStyle w:val="NoSpacing"/>
              <w:rPr>
                <w:lang w:eastAsia="en-GB"/>
              </w:rPr>
            </w:pPr>
            <w:r w:rsidRPr="005F5E3B">
              <w:t>0.517</w:t>
            </w:r>
          </w:p>
        </w:tc>
        <w:tc>
          <w:tcPr>
            <w:tcW w:w="1250" w:type="pct"/>
            <w:shd w:val="clear" w:color="auto" w:fill="auto"/>
            <w:noWrap/>
            <w:vAlign w:val="bottom"/>
          </w:tcPr>
          <w:p w14:paraId="7BC37AB9" w14:textId="77777777" w:rsidR="0061082A" w:rsidRPr="005F5E3B" w:rsidRDefault="0061082A" w:rsidP="0061082A">
            <w:pPr>
              <w:pStyle w:val="NoSpacing"/>
              <w:rPr>
                <w:lang w:eastAsia="en-GB"/>
              </w:rPr>
            </w:pPr>
            <w:r w:rsidRPr="005F5E3B">
              <w:t>0</w:t>
            </w:r>
          </w:p>
        </w:tc>
      </w:tr>
      <w:tr w:rsidR="005F5E3B" w:rsidRPr="005F5E3B" w14:paraId="61B55DD6" w14:textId="77777777" w:rsidTr="002F1753">
        <w:trPr>
          <w:trHeight w:val="320"/>
          <w:jc w:val="center"/>
        </w:trPr>
        <w:tc>
          <w:tcPr>
            <w:tcW w:w="1250" w:type="pct"/>
            <w:shd w:val="clear" w:color="auto" w:fill="auto"/>
            <w:noWrap/>
            <w:vAlign w:val="bottom"/>
            <w:hideMark/>
          </w:tcPr>
          <w:p w14:paraId="09E19630" w14:textId="77777777" w:rsidR="0061082A" w:rsidRPr="005F5E3B" w:rsidRDefault="0061082A" w:rsidP="0061082A">
            <w:pPr>
              <w:pStyle w:val="NoSpacing"/>
              <w:rPr>
                <w:lang w:eastAsia="en-GB"/>
              </w:rPr>
            </w:pPr>
            <w:r w:rsidRPr="005F5E3B">
              <w:rPr>
                <w:lang w:eastAsia="en-GB"/>
              </w:rPr>
              <w:t>3</w:t>
            </w:r>
          </w:p>
        </w:tc>
        <w:tc>
          <w:tcPr>
            <w:tcW w:w="1250" w:type="pct"/>
            <w:shd w:val="clear" w:color="auto" w:fill="auto"/>
            <w:noWrap/>
            <w:vAlign w:val="bottom"/>
          </w:tcPr>
          <w:p w14:paraId="2E4B6A2F" w14:textId="77777777" w:rsidR="0061082A" w:rsidRPr="005F5E3B" w:rsidRDefault="0061082A" w:rsidP="0061082A">
            <w:pPr>
              <w:pStyle w:val="NoSpacing"/>
              <w:rPr>
                <w:lang w:eastAsia="en-GB"/>
              </w:rPr>
            </w:pPr>
            <w:r w:rsidRPr="005F5E3B">
              <w:t>0.412</w:t>
            </w:r>
          </w:p>
        </w:tc>
        <w:tc>
          <w:tcPr>
            <w:tcW w:w="1250" w:type="pct"/>
            <w:shd w:val="clear" w:color="auto" w:fill="auto"/>
            <w:noWrap/>
            <w:vAlign w:val="bottom"/>
          </w:tcPr>
          <w:p w14:paraId="1E355023" w14:textId="77777777" w:rsidR="0061082A" w:rsidRPr="005F5E3B" w:rsidRDefault="0061082A" w:rsidP="0061082A">
            <w:pPr>
              <w:pStyle w:val="NoSpacing"/>
              <w:rPr>
                <w:lang w:eastAsia="en-GB"/>
              </w:rPr>
            </w:pPr>
            <w:r w:rsidRPr="005F5E3B">
              <w:t>0.588</w:t>
            </w:r>
          </w:p>
        </w:tc>
        <w:tc>
          <w:tcPr>
            <w:tcW w:w="1250" w:type="pct"/>
            <w:shd w:val="clear" w:color="auto" w:fill="auto"/>
            <w:noWrap/>
            <w:vAlign w:val="bottom"/>
          </w:tcPr>
          <w:p w14:paraId="7E5017FE" w14:textId="77777777" w:rsidR="0061082A" w:rsidRPr="005F5E3B" w:rsidRDefault="0061082A" w:rsidP="0061082A">
            <w:pPr>
              <w:pStyle w:val="NoSpacing"/>
              <w:rPr>
                <w:lang w:eastAsia="en-GB"/>
              </w:rPr>
            </w:pPr>
            <w:r w:rsidRPr="005F5E3B">
              <w:t>0</w:t>
            </w:r>
          </w:p>
        </w:tc>
      </w:tr>
      <w:tr w:rsidR="005F5E3B" w:rsidRPr="005F5E3B" w14:paraId="22175359" w14:textId="77777777" w:rsidTr="002F1753">
        <w:trPr>
          <w:trHeight w:val="320"/>
          <w:jc w:val="center"/>
        </w:trPr>
        <w:tc>
          <w:tcPr>
            <w:tcW w:w="1250" w:type="pct"/>
            <w:shd w:val="clear" w:color="auto" w:fill="auto"/>
            <w:noWrap/>
            <w:vAlign w:val="bottom"/>
            <w:hideMark/>
          </w:tcPr>
          <w:p w14:paraId="05DDD09C" w14:textId="77777777" w:rsidR="0061082A" w:rsidRPr="005F5E3B" w:rsidRDefault="0061082A" w:rsidP="0061082A">
            <w:pPr>
              <w:pStyle w:val="NoSpacing"/>
              <w:rPr>
                <w:lang w:eastAsia="en-GB"/>
              </w:rPr>
            </w:pPr>
            <w:r w:rsidRPr="005F5E3B">
              <w:rPr>
                <w:lang w:eastAsia="en-GB"/>
              </w:rPr>
              <w:t>4</w:t>
            </w:r>
          </w:p>
        </w:tc>
        <w:tc>
          <w:tcPr>
            <w:tcW w:w="1250" w:type="pct"/>
            <w:shd w:val="clear" w:color="auto" w:fill="auto"/>
            <w:noWrap/>
            <w:vAlign w:val="bottom"/>
          </w:tcPr>
          <w:p w14:paraId="2998996F" w14:textId="77777777" w:rsidR="0061082A" w:rsidRPr="005F5E3B" w:rsidRDefault="0061082A" w:rsidP="0061082A">
            <w:pPr>
              <w:pStyle w:val="NoSpacing"/>
              <w:rPr>
                <w:lang w:eastAsia="en-GB"/>
              </w:rPr>
            </w:pPr>
            <w:r w:rsidRPr="005F5E3B">
              <w:t>0.356</w:t>
            </w:r>
          </w:p>
        </w:tc>
        <w:tc>
          <w:tcPr>
            <w:tcW w:w="1250" w:type="pct"/>
            <w:shd w:val="clear" w:color="auto" w:fill="auto"/>
            <w:noWrap/>
            <w:vAlign w:val="bottom"/>
          </w:tcPr>
          <w:p w14:paraId="5E4309F8" w14:textId="77777777" w:rsidR="0061082A" w:rsidRPr="005F5E3B" w:rsidRDefault="0061082A" w:rsidP="0061082A">
            <w:pPr>
              <w:pStyle w:val="NoSpacing"/>
              <w:rPr>
                <w:lang w:eastAsia="en-GB"/>
              </w:rPr>
            </w:pPr>
            <w:r w:rsidRPr="005F5E3B">
              <w:t>0.645</w:t>
            </w:r>
          </w:p>
        </w:tc>
        <w:tc>
          <w:tcPr>
            <w:tcW w:w="1250" w:type="pct"/>
            <w:shd w:val="clear" w:color="auto" w:fill="auto"/>
            <w:noWrap/>
            <w:vAlign w:val="bottom"/>
          </w:tcPr>
          <w:p w14:paraId="4CE25658" w14:textId="77777777" w:rsidR="0061082A" w:rsidRPr="005F5E3B" w:rsidRDefault="0061082A" w:rsidP="0061082A">
            <w:pPr>
              <w:pStyle w:val="NoSpacing"/>
              <w:rPr>
                <w:lang w:eastAsia="en-GB"/>
              </w:rPr>
            </w:pPr>
            <w:r w:rsidRPr="005F5E3B">
              <w:t>0</w:t>
            </w:r>
          </w:p>
        </w:tc>
      </w:tr>
      <w:tr w:rsidR="0061082A" w:rsidRPr="005F5E3B" w14:paraId="5F221D1F" w14:textId="77777777" w:rsidTr="002F1753">
        <w:trPr>
          <w:trHeight w:val="320"/>
          <w:jc w:val="center"/>
        </w:trPr>
        <w:tc>
          <w:tcPr>
            <w:tcW w:w="1250" w:type="pct"/>
            <w:shd w:val="clear" w:color="auto" w:fill="auto"/>
            <w:noWrap/>
            <w:vAlign w:val="bottom"/>
            <w:hideMark/>
          </w:tcPr>
          <w:p w14:paraId="73E54DF4" w14:textId="77777777" w:rsidR="0061082A" w:rsidRPr="005F5E3B" w:rsidRDefault="0061082A" w:rsidP="0061082A">
            <w:pPr>
              <w:pStyle w:val="NoSpacing"/>
              <w:rPr>
                <w:lang w:eastAsia="en-GB"/>
              </w:rPr>
            </w:pPr>
            <w:r w:rsidRPr="005F5E3B">
              <w:rPr>
                <w:lang w:eastAsia="en-GB"/>
              </w:rPr>
              <w:t>5</w:t>
            </w:r>
          </w:p>
        </w:tc>
        <w:tc>
          <w:tcPr>
            <w:tcW w:w="1250" w:type="pct"/>
            <w:shd w:val="clear" w:color="auto" w:fill="auto"/>
            <w:noWrap/>
            <w:vAlign w:val="bottom"/>
          </w:tcPr>
          <w:p w14:paraId="3EEC7490" w14:textId="77777777" w:rsidR="0061082A" w:rsidRPr="005F5E3B" w:rsidRDefault="0061082A" w:rsidP="0061082A">
            <w:pPr>
              <w:pStyle w:val="NoSpacing"/>
              <w:rPr>
                <w:lang w:eastAsia="en-GB"/>
              </w:rPr>
            </w:pPr>
            <w:r w:rsidRPr="005F5E3B">
              <w:t>0.356</w:t>
            </w:r>
          </w:p>
        </w:tc>
        <w:tc>
          <w:tcPr>
            <w:tcW w:w="1250" w:type="pct"/>
            <w:shd w:val="clear" w:color="auto" w:fill="auto"/>
            <w:noWrap/>
            <w:vAlign w:val="bottom"/>
          </w:tcPr>
          <w:p w14:paraId="104099F3" w14:textId="77777777" w:rsidR="0061082A" w:rsidRPr="005F5E3B" w:rsidRDefault="0061082A" w:rsidP="0061082A">
            <w:pPr>
              <w:pStyle w:val="NoSpacing"/>
              <w:rPr>
                <w:lang w:eastAsia="en-GB"/>
              </w:rPr>
            </w:pPr>
            <w:r w:rsidRPr="005F5E3B">
              <w:t>0.645</w:t>
            </w:r>
          </w:p>
        </w:tc>
        <w:tc>
          <w:tcPr>
            <w:tcW w:w="1250" w:type="pct"/>
            <w:shd w:val="clear" w:color="auto" w:fill="auto"/>
            <w:noWrap/>
            <w:vAlign w:val="bottom"/>
          </w:tcPr>
          <w:p w14:paraId="195EA665" w14:textId="77777777" w:rsidR="0061082A" w:rsidRPr="005F5E3B" w:rsidRDefault="0061082A" w:rsidP="0061082A">
            <w:pPr>
              <w:pStyle w:val="NoSpacing"/>
              <w:rPr>
                <w:lang w:eastAsia="en-GB"/>
              </w:rPr>
            </w:pPr>
            <w:r w:rsidRPr="005F5E3B">
              <w:t>0</w:t>
            </w:r>
          </w:p>
        </w:tc>
      </w:tr>
    </w:tbl>
    <w:p w14:paraId="3AC42373" w14:textId="77777777" w:rsidR="0061082A" w:rsidRPr="005F5E3B" w:rsidRDefault="0061082A" w:rsidP="0061082A">
      <w:pPr>
        <w:rPr>
          <w:rFonts w:cs="Times New Roman"/>
          <w:lang w:val="en-GB"/>
        </w:rPr>
      </w:pPr>
    </w:p>
    <w:p w14:paraId="7B851560" w14:textId="77777777" w:rsidR="0061082A" w:rsidRPr="005F5E3B" w:rsidRDefault="0061082A" w:rsidP="0061082A">
      <w:pPr>
        <w:rPr>
          <w:rFonts w:cs="Times New Roman"/>
          <w:lang w:val="en-GB"/>
        </w:rPr>
      </w:pPr>
      <w:r w:rsidRPr="005F5E3B">
        <w:rPr>
          <w:rFonts w:cs="Times New Roman"/>
          <w:lang w:val="en-GB"/>
        </w:rPr>
        <w:lastRenderedPageBreak/>
        <w:t>Table S5: Transitional probabilities Ba/</w:t>
      </w:r>
      <w:proofErr w:type="spellStart"/>
      <w:r w:rsidRPr="005F5E3B">
        <w:rPr>
          <w:rFonts w:cs="Times New Roman"/>
          <w:lang w:val="en-GB"/>
        </w:rPr>
        <w:t>Sq</w:t>
      </w:r>
      <w:proofErr w:type="spellEnd"/>
      <w:r w:rsidRPr="005F5E3B">
        <w:rPr>
          <w:rFonts w:cs="Times New Roman"/>
          <w:lang w:val="en-GB"/>
        </w:rPr>
        <w:t xml:space="preserve"> subtypes with good prognosis (Propensity score matched) (n=92)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442"/>
        <w:gridCol w:w="2442"/>
      </w:tblGrid>
      <w:tr w:rsidR="005F5E3B" w:rsidRPr="005F5E3B" w14:paraId="0448485B" w14:textId="77777777" w:rsidTr="002F1753">
        <w:trPr>
          <w:trHeight w:val="320"/>
          <w:jc w:val="center"/>
        </w:trPr>
        <w:tc>
          <w:tcPr>
            <w:tcW w:w="1250" w:type="pct"/>
            <w:shd w:val="clear" w:color="auto" w:fill="auto"/>
            <w:noWrap/>
            <w:vAlign w:val="bottom"/>
            <w:hideMark/>
          </w:tcPr>
          <w:p w14:paraId="6D3473AE" w14:textId="77777777" w:rsidR="0061082A" w:rsidRPr="005F5E3B" w:rsidRDefault="0061082A" w:rsidP="0061082A">
            <w:pPr>
              <w:pStyle w:val="NoSpacing"/>
              <w:rPr>
                <w:lang w:eastAsia="en-GB"/>
              </w:rPr>
            </w:pPr>
            <w:r w:rsidRPr="005F5E3B">
              <w:rPr>
                <w:lang w:eastAsia="en-GB"/>
              </w:rPr>
              <w:t>Year</w:t>
            </w:r>
          </w:p>
        </w:tc>
        <w:tc>
          <w:tcPr>
            <w:tcW w:w="1250" w:type="pct"/>
            <w:shd w:val="clear" w:color="auto" w:fill="auto"/>
            <w:noWrap/>
            <w:vAlign w:val="bottom"/>
            <w:hideMark/>
          </w:tcPr>
          <w:p w14:paraId="1046D1CD" w14:textId="77777777" w:rsidR="0061082A" w:rsidRPr="005F5E3B" w:rsidRDefault="0061082A" w:rsidP="0061082A">
            <w:pPr>
              <w:pStyle w:val="NoSpacing"/>
              <w:rPr>
                <w:lang w:eastAsia="en-GB"/>
              </w:rPr>
            </w:pPr>
            <w:r w:rsidRPr="005F5E3B">
              <w:rPr>
                <w:lang w:eastAsia="en-GB"/>
              </w:rPr>
              <w:t>Survive</w:t>
            </w:r>
          </w:p>
        </w:tc>
        <w:tc>
          <w:tcPr>
            <w:tcW w:w="1250" w:type="pct"/>
            <w:shd w:val="clear" w:color="auto" w:fill="auto"/>
            <w:noWrap/>
            <w:vAlign w:val="bottom"/>
            <w:hideMark/>
          </w:tcPr>
          <w:p w14:paraId="07EB550E" w14:textId="77777777" w:rsidR="0061082A" w:rsidRPr="005F5E3B" w:rsidRDefault="0061082A" w:rsidP="0061082A">
            <w:pPr>
              <w:pStyle w:val="NoSpacing"/>
              <w:rPr>
                <w:lang w:eastAsia="en-GB"/>
              </w:rPr>
            </w:pPr>
            <w:r w:rsidRPr="005F5E3B">
              <w:rPr>
                <w:lang w:eastAsia="en-GB"/>
              </w:rPr>
              <w:t>Dead by BC</w:t>
            </w:r>
          </w:p>
        </w:tc>
        <w:tc>
          <w:tcPr>
            <w:tcW w:w="1250" w:type="pct"/>
            <w:shd w:val="clear" w:color="auto" w:fill="auto"/>
            <w:noWrap/>
            <w:vAlign w:val="bottom"/>
            <w:hideMark/>
          </w:tcPr>
          <w:p w14:paraId="6A2ABAAC" w14:textId="77777777" w:rsidR="0061082A" w:rsidRPr="005F5E3B" w:rsidRDefault="0061082A" w:rsidP="0061082A">
            <w:pPr>
              <w:pStyle w:val="NoSpacing"/>
              <w:rPr>
                <w:lang w:eastAsia="en-GB"/>
              </w:rPr>
            </w:pPr>
            <w:r w:rsidRPr="005F5E3B">
              <w:rPr>
                <w:lang w:eastAsia="en-GB"/>
              </w:rPr>
              <w:t>Not dead by BC</w:t>
            </w:r>
          </w:p>
        </w:tc>
      </w:tr>
      <w:tr w:rsidR="005F5E3B" w:rsidRPr="005F5E3B" w14:paraId="4602566A" w14:textId="77777777" w:rsidTr="002F1753">
        <w:trPr>
          <w:trHeight w:val="320"/>
          <w:jc w:val="center"/>
        </w:trPr>
        <w:tc>
          <w:tcPr>
            <w:tcW w:w="1250" w:type="pct"/>
            <w:shd w:val="clear" w:color="auto" w:fill="auto"/>
            <w:noWrap/>
            <w:vAlign w:val="bottom"/>
            <w:hideMark/>
          </w:tcPr>
          <w:p w14:paraId="640C85CD" w14:textId="77777777" w:rsidR="0061082A" w:rsidRPr="005F5E3B" w:rsidRDefault="0061082A" w:rsidP="0061082A">
            <w:pPr>
              <w:pStyle w:val="NoSpacing"/>
              <w:rPr>
                <w:lang w:eastAsia="en-GB"/>
              </w:rPr>
            </w:pPr>
            <w:r w:rsidRPr="005F5E3B">
              <w:rPr>
                <w:lang w:eastAsia="en-GB"/>
              </w:rPr>
              <w:t>1</w:t>
            </w:r>
          </w:p>
        </w:tc>
        <w:tc>
          <w:tcPr>
            <w:tcW w:w="1250" w:type="pct"/>
            <w:shd w:val="clear" w:color="auto" w:fill="auto"/>
            <w:noWrap/>
            <w:vAlign w:val="bottom"/>
            <w:hideMark/>
          </w:tcPr>
          <w:p w14:paraId="4F75F2E5" w14:textId="77777777" w:rsidR="0061082A" w:rsidRPr="005F5E3B" w:rsidRDefault="0061082A" w:rsidP="0061082A">
            <w:pPr>
              <w:pStyle w:val="NoSpacing"/>
              <w:rPr>
                <w:lang w:eastAsia="en-GB"/>
              </w:rPr>
            </w:pPr>
            <w:r w:rsidRPr="005F5E3B">
              <w:t>0.7788</w:t>
            </w:r>
          </w:p>
        </w:tc>
        <w:tc>
          <w:tcPr>
            <w:tcW w:w="1250" w:type="pct"/>
            <w:shd w:val="clear" w:color="auto" w:fill="auto"/>
            <w:noWrap/>
            <w:vAlign w:val="bottom"/>
            <w:hideMark/>
          </w:tcPr>
          <w:p w14:paraId="7AF42AD5" w14:textId="77777777" w:rsidR="0061082A" w:rsidRPr="005F5E3B" w:rsidRDefault="0061082A" w:rsidP="0061082A">
            <w:pPr>
              <w:pStyle w:val="NoSpacing"/>
              <w:rPr>
                <w:lang w:eastAsia="en-GB"/>
              </w:rPr>
            </w:pPr>
            <w:r w:rsidRPr="005F5E3B">
              <w:t>0.2163</w:t>
            </w:r>
          </w:p>
        </w:tc>
        <w:tc>
          <w:tcPr>
            <w:tcW w:w="1250" w:type="pct"/>
            <w:shd w:val="clear" w:color="auto" w:fill="auto"/>
            <w:noWrap/>
            <w:vAlign w:val="bottom"/>
            <w:hideMark/>
          </w:tcPr>
          <w:p w14:paraId="041C1FF3" w14:textId="77777777" w:rsidR="0061082A" w:rsidRPr="005F5E3B" w:rsidRDefault="0061082A" w:rsidP="0061082A">
            <w:pPr>
              <w:pStyle w:val="NoSpacing"/>
              <w:rPr>
                <w:lang w:eastAsia="en-GB"/>
              </w:rPr>
            </w:pPr>
            <w:r w:rsidRPr="005F5E3B">
              <w:t>0.0049</w:t>
            </w:r>
          </w:p>
        </w:tc>
      </w:tr>
      <w:tr w:rsidR="005F5E3B" w:rsidRPr="005F5E3B" w14:paraId="29AB3298" w14:textId="77777777" w:rsidTr="002F1753">
        <w:trPr>
          <w:trHeight w:val="320"/>
          <w:jc w:val="center"/>
        </w:trPr>
        <w:tc>
          <w:tcPr>
            <w:tcW w:w="1250" w:type="pct"/>
            <w:shd w:val="clear" w:color="auto" w:fill="auto"/>
            <w:noWrap/>
            <w:vAlign w:val="bottom"/>
            <w:hideMark/>
          </w:tcPr>
          <w:p w14:paraId="62B9EFA1" w14:textId="77777777" w:rsidR="0061082A" w:rsidRPr="005F5E3B" w:rsidRDefault="0061082A" w:rsidP="0061082A">
            <w:pPr>
              <w:pStyle w:val="NoSpacing"/>
              <w:rPr>
                <w:lang w:eastAsia="en-GB"/>
              </w:rPr>
            </w:pPr>
            <w:r w:rsidRPr="005F5E3B">
              <w:rPr>
                <w:lang w:eastAsia="en-GB"/>
              </w:rPr>
              <w:t>2</w:t>
            </w:r>
          </w:p>
        </w:tc>
        <w:tc>
          <w:tcPr>
            <w:tcW w:w="1250" w:type="pct"/>
            <w:shd w:val="clear" w:color="auto" w:fill="auto"/>
            <w:noWrap/>
            <w:vAlign w:val="bottom"/>
            <w:hideMark/>
          </w:tcPr>
          <w:p w14:paraId="122AEC80" w14:textId="77777777" w:rsidR="0061082A" w:rsidRPr="005F5E3B" w:rsidRDefault="0061082A" w:rsidP="0061082A">
            <w:pPr>
              <w:pStyle w:val="NoSpacing"/>
              <w:rPr>
                <w:lang w:eastAsia="en-GB"/>
              </w:rPr>
            </w:pPr>
            <w:r w:rsidRPr="005F5E3B">
              <w:t>0.6542</w:t>
            </w:r>
          </w:p>
        </w:tc>
        <w:tc>
          <w:tcPr>
            <w:tcW w:w="1250" w:type="pct"/>
            <w:shd w:val="clear" w:color="auto" w:fill="auto"/>
            <w:noWrap/>
            <w:vAlign w:val="bottom"/>
            <w:hideMark/>
          </w:tcPr>
          <w:p w14:paraId="13BFAB64" w14:textId="77777777" w:rsidR="0061082A" w:rsidRPr="005F5E3B" w:rsidRDefault="0061082A" w:rsidP="0061082A">
            <w:pPr>
              <w:pStyle w:val="NoSpacing"/>
              <w:rPr>
                <w:lang w:eastAsia="en-GB"/>
              </w:rPr>
            </w:pPr>
            <w:r w:rsidRPr="005F5E3B">
              <w:t>0.3361</w:t>
            </w:r>
          </w:p>
        </w:tc>
        <w:tc>
          <w:tcPr>
            <w:tcW w:w="1250" w:type="pct"/>
            <w:shd w:val="clear" w:color="auto" w:fill="auto"/>
            <w:noWrap/>
            <w:vAlign w:val="bottom"/>
            <w:hideMark/>
          </w:tcPr>
          <w:p w14:paraId="3B1EDA58" w14:textId="77777777" w:rsidR="0061082A" w:rsidRPr="005F5E3B" w:rsidRDefault="0061082A" w:rsidP="0061082A">
            <w:pPr>
              <w:pStyle w:val="NoSpacing"/>
              <w:rPr>
                <w:lang w:eastAsia="en-GB"/>
              </w:rPr>
            </w:pPr>
            <w:r w:rsidRPr="005F5E3B">
              <w:t>0.0097</w:t>
            </w:r>
          </w:p>
        </w:tc>
      </w:tr>
      <w:tr w:rsidR="005F5E3B" w:rsidRPr="005F5E3B" w14:paraId="1D5E3227" w14:textId="77777777" w:rsidTr="002F1753">
        <w:trPr>
          <w:trHeight w:val="320"/>
          <w:jc w:val="center"/>
        </w:trPr>
        <w:tc>
          <w:tcPr>
            <w:tcW w:w="1250" w:type="pct"/>
            <w:shd w:val="clear" w:color="auto" w:fill="auto"/>
            <w:noWrap/>
            <w:vAlign w:val="bottom"/>
            <w:hideMark/>
          </w:tcPr>
          <w:p w14:paraId="27C0B5C8" w14:textId="77777777" w:rsidR="0061082A" w:rsidRPr="005F5E3B" w:rsidRDefault="0061082A" w:rsidP="0061082A">
            <w:pPr>
              <w:pStyle w:val="NoSpacing"/>
              <w:rPr>
                <w:lang w:eastAsia="en-GB"/>
              </w:rPr>
            </w:pPr>
            <w:r w:rsidRPr="005F5E3B">
              <w:rPr>
                <w:lang w:eastAsia="en-GB"/>
              </w:rPr>
              <w:t>3</w:t>
            </w:r>
          </w:p>
        </w:tc>
        <w:tc>
          <w:tcPr>
            <w:tcW w:w="1250" w:type="pct"/>
            <w:shd w:val="clear" w:color="auto" w:fill="auto"/>
            <w:noWrap/>
            <w:vAlign w:val="bottom"/>
            <w:hideMark/>
          </w:tcPr>
          <w:p w14:paraId="270A74DA" w14:textId="77777777" w:rsidR="0061082A" w:rsidRPr="005F5E3B" w:rsidRDefault="0061082A" w:rsidP="0061082A">
            <w:pPr>
              <w:pStyle w:val="NoSpacing"/>
              <w:rPr>
                <w:lang w:eastAsia="en-GB"/>
              </w:rPr>
            </w:pPr>
            <w:r w:rsidRPr="005F5E3B">
              <w:t>0.5726</w:t>
            </w:r>
          </w:p>
        </w:tc>
        <w:tc>
          <w:tcPr>
            <w:tcW w:w="1250" w:type="pct"/>
            <w:shd w:val="clear" w:color="auto" w:fill="auto"/>
            <w:noWrap/>
            <w:vAlign w:val="bottom"/>
            <w:hideMark/>
          </w:tcPr>
          <w:p w14:paraId="573195B4" w14:textId="77777777" w:rsidR="0061082A" w:rsidRPr="005F5E3B" w:rsidRDefault="0061082A" w:rsidP="0061082A">
            <w:pPr>
              <w:pStyle w:val="NoSpacing"/>
              <w:rPr>
                <w:lang w:eastAsia="en-GB"/>
              </w:rPr>
            </w:pPr>
            <w:r w:rsidRPr="005F5E3B">
              <w:t>0.4139</w:t>
            </w:r>
          </w:p>
        </w:tc>
        <w:tc>
          <w:tcPr>
            <w:tcW w:w="1250" w:type="pct"/>
            <w:shd w:val="clear" w:color="auto" w:fill="auto"/>
            <w:noWrap/>
            <w:vAlign w:val="bottom"/>
            <w:hideMark/>
          </w:tcPr>
          <w:p w14:paraId="2448F14F" w14:textId="77777777" w:rsidR="0061082A" w:rsidRPr="005F5E3B" w:rsidRDefault="0061082A" w:rsidP="0061082A">
            <w:pPr>
              <w:pStyle w:val="NoSpacing"/>
              <w:rPr>
                <w:lang w:eastAsia="en-GB"/>
              </w:rPr>
            </w:pPr>
            <w:r w:rsidRPr="005F5E3B">
              <w:t>0.0135</w:t>
            </w:r>
          </w:p>
        </w:tc>
      </w:tr>
      <w:tr w:rsidR="005F5E3B" w:rsidRPr="005F5E3B" w14:paraId="23E08BFC" w14:textId="77777777" w:rsidTr="002F1753">
        <w:trPr>
          <w:trHeight w:val="320"/>
          <w:jc w:val="center"/>
        </w:trPr>
        <w:tc>
          <w:tcPr>
            <w:tcW w:w="1250" w:type="pct"/>
            <w:shd w:val="clear" w:color="auto" w:fill="auto"/>
            <w:noWrap/>
            <w:vAlign w:val="bottom"/>
            <w:hideMark/>
          </w:tcPr>
          <w:p w14:paraId="41B6BC76" w14:textId="77777777" w:rsidR="0061082A" w:rsidRPr="005F5E3B" w:rsidRDefault="0061082A" w:rsidP="0061082A">
            <w:pPr>
              <w:pStyle w:val="NoSpacing"/>
              <w:rPr>
                <w:lang w:eastAsia="en-GB"/>
              </w:rPr>
            </w:pPr>
            <w:r w:rsidRPr="005F5E3B">
              <w:rPr>
                <w:lang w:eastAsia="en-GB"/>
              </w:rPr>
              <w:t>4</w:t>
            </w:r>
          </w:p>
        </w:tc>
        <w:tc>
          <w:tcPr>
            <w:tcW w:w="1250" w:type="pct"/>
            <w:shd w:val="clear" w:color="auto" w:fill="auto"/>
            <w:noWrap/>
            <w:vAlign w:val="bottom"/>
            <w:hideMark/>
          </w:tcPr>
          <w:p w14:paraId="1A68E0D9" w14:textId="77777777" w:rsidR="0061082A" w:rsidRPr="005F5E3B" w:rsidRDefault="0061082A" w:rsidP="0061082A">
            <w:pPr>
              <w:pStyle w:val="NoSpacing"/>
              <w:rPr>
                <w:lang w:eastAsia="en-GB"/>
              </w:rPr>
            </w:pPr>
            <w:r w:rsidRPr="005F5E3B">
              <w:t>0.5273</w:t>
            </w:r>
          </w:p>
        </w:tc>
        <w:tc>
          <w:tcPr>
            <w:tcW w:w="1250" w:type="pct"/>
            <w:shd w:val="clear" w:color="auto" w:fill="auto"/>
            <w:noWrap/>
            <w:vAlign w:val="bottom"/>
            <w:hideMark/>
          </w:tcPr>
          <w:p w14:paraId="4486A07A" w14:textId="77777777" w:rsidR="0061082A" w:rsidRPr="005F5E3B" w:rsidRDefault="0061082A" w:rsidP="0061082A">
            <w:pPr>
              <w:pStyle w:val="NoSpacing"/>
              <w:rPr>
                <w:lang w:eastAsia="en-GB"/>
              </w:rPr>
            </w:pPr>
            <w:r w:rsidRPr="005F5E3B">
              <w:t>0.4585</w:t>
            </w:r>
          </w:p>
        </w:tc>
        <w:tc>
          <w:tcPr>
            <w:tcW w:w="1250" w:type="pct"/>
            <w:shd w:val="clear" w:color="auto" w:fill="auto"/>
            <w:noWrap/>
            <w:vAlign w:val="bottom"/>
            <w:hideMark/>
          </w:tcPr>
          <w:p w14:paraId="7BC73245" w14:textId="77777777" w:rsidR="0061082A" w:rsidRPr="005F5E3B" w:rsidRDefault="0061082A" w:rsidP="0061082A">
            <w:pPr>
              <w:pStyle w:val="NoSpacing"/>
              <w:rPr>
                <w:lang w:eastAsia="en-GB"/>
              </w:rPr>
            </w:pPr>
            <w:r w:rsidRPr="005F5E3B">
              <w:t>0.0142</w:t>
            </w:r>
          </w:p>
        </w:tc>
      </w:tr>
      <w:tr w:rsidR="0061082A" w:rsidRPr="005F5E3B" w14:paraId="4627AD81" w14:textId="77777777" w:rsidTr="002F1753">
        <w:trPr>
          <w:trHeight w:val="320"/>
          <w:jc w:val="center"/>
        </w:trPr>
        <w:tc>
          <w:tcPr>
            <w:tcW w:w="1250" w:type="pct"/>
            <w:shd w:val="clear" w:color="auto" w:fill="auto"/>
            <w:noWrap/>
            <w:vAlign w:val="bottom"/>
            <w:hideMark/>
          </w:tcPr>
          <w:p w14:paraId="7867133E" w14:textId="77777777" w:rsidR="0061082A" w:rsidRPr="005F5E3B" w:rsidRDefault="0061082A" w:rsidP="0061082A">
            <w:pPr>
              <w:pStyle w:val="NoSpacing"/>
              <w:rPr>
                <w:lang w:eastAsia="en-GB"/>
              </w:rPr>
            </w:pPr>
            <w:r w:rsidRPr="005F5E3B">
              <w:rPr>
                <w:lang w:eastAsia="en-GB"/>
              </w:rPr>
              <w:t>5</w:t>
            </w:r>
          </w:p>
        </w:tc>
        <w:tc>
          <w:tcPr>
            <w:tcW w:w="1250" w:type="pct"/>
            <w:shd w:val="clear" w:color="auto" w:fill="auto"/>
            <w:noWrap/>
            <w:vAlign w:val="bottom"/>
            <w:hideMark/>
          </w:tcPr>
          <w:p w14:paraId="255A236B" w14:textId="77777777" w:rsidR="0061082A" w:rsidRPr="005F5E3B" w:rsidRDefault="0061082A" w:rsidP="0061082A">
            <w:pPr>
              <w:pStyle w:val="NoSpacing"/>
              <w:rPr>
                <w:lang w:eastAsia="en-GB"/>
              </w:rPr>
            </w:pPr>
            <w:r w:rsidRPr="005F5E3B">
              <w:t>0.4863</w:t>
            </w:r>
          </w:p>
        </w:tc>
        <w:tc>
          <w:tcPr>
            <w:tcW w:w="1250" w:type="pct"/>
            <w:shd w:val="clear" w:color="auto" w:fill="auto"/>
            <w:noWrap/>
            <w:vAlign w:val="bottom"/>
            <w:hideMark/>
          </w:tcPr>
          <w:p w14:paraId="0E0D76F2" w14:textId="77777777" w:rsidR="0061082A" w:rsidRPr="005F5E3B" w:rsidRDefault="0061082A" w:rsidP="0061082A">
            <w:pPr>
              <w:pStyle w:val="NoSpacing"/>
              <w:rPr>
                <w:lang w:eastAsia="en-GB"/>
              </w:rPr>
            </w:pPr>
            <w:r w:rsidRPr="005F5E3B">
              <w:t>0.4952</w:t>
            </w:r>
          </w:p>
        </w:tc>
        <w:tc>
          <w:tcPr>
            <w:tcW w:w="1250" w:type="pct"/>
            <w:shd w:val="clear" w:color="auto" w:fill="auto"/>
            <w:noWrap/>
            <w:vAlign w:val="bottom"/>
            <w:hideMark/>
          </w:tcPr>
          <w:p w14:paraId="3598E8CC" w14:textId="77777777" w:rsidR="0061082A" w:rsidRPr="005F5E3B" w:rsidRDefault="0061082A" w:rsidP="0061082A">
            <w:pPr>
              <w:pStyle w:val="NoSpacing"/>
              <w:rPr>
                <w:lang w:eastAsia="en-GB"/>
              </w:rPr>
            </w:pPr>
            <w:r w:rsidRPr="005F5E3B">
              <w:t>0.0185</w:t>
            </w:r>
          </w:p>
        </w:tc>
      </w:tr>
    </w:tbl>
    <w:p w14:paraId="7B380E11" w14:textId="77777777" w:rsidR="0061082A" w:rsidRPr="005F5E3B" w:rsidRDefault="0061082A" w:rsidP="0061082A">
      <w:pPr>
        <w:rPr>
          <w:lang w:val="en-GB"/>
        </w:rPr>
      </w:pPr>
    </w:p>
    <w:p w14:paraId="3080AB12" w14:textId="77777777" w:rsidR="0061082A" w:rsidRPr="005F5E3B" w:rsidRDefault="0061082A" w:rsidP="0061082A">
      <w:pPr>
        <w:spacing w:line="360" w:lineRule="auto"/>
        <w:jc w:val="both"/>
        <w:rPr>
          <w:rFonts w:cs="Times New Roman"/>
          <w:b/>
          <w:bCs/>
        </w:rPr>
      </w:pPr>
    </w:p>
    <w:p w14:paraId="65FF8338" w14:textId="09D0467C" w:rsidR="0061082A" w:rsidRPr="005F5E3B" w:rsidRDefault="0061082A" w:rsidP="0061082A">
      <w:pPr>
        <w:pStyle w:val="Heading2"/>
        <w:numPr>
          <w:ilvl w:val="0"/>
          <w:numId w:val="0"/>
        </w:numPr>
      </w:pPr>
      <w:r w:rsidRPr="005F5E3B">
        <w:t>Section 2: Estimation of Quality Adjusted Life Years (QALYs) for the model</w:t>
      </w:r>
    </w:p>
    <w:p w14:paraId="1659F0E9" w14:textId="58BA450D" w:rsidR="0061082A" w:rsidRPr="005F5E3B" w:rsidRDefault="0061082A" w:rsidP="0061082A">
      <w:pPr>
        <w:pStyle w:val="Heading3"/>
        <w:numPr>
          <w:ilvl w:val="1"/>
          <w:numId w:val="26"/>
        </w:numPr>
      </w:pPr>
      <w:r w:rsidRPr="005F5E3B">
        <w:rPr>
          <w:rStyle w:val="Emphasis"/>
        </w:rPr>
        <w:t>The concept of QALY</w:t>
      </w:r>
    </w:p>
    <w:p w14:paraId="137BCDE6" w14:textId="428BA562" w:rsidR="0061082A" w:rsidRPr="005F5E3B" w:rsidRDefault="0061082A" w:rsidP="0061082A">
      <w:pPr>
        <w:pStyle w:val="NormalWeb"/>
        <w:spacing w:before="0" w:beforeAutospacing="0" w:after="0" w:afterAutospacing="0" w:line="360" w:lineRule="auto"/>
        <w:jc w:val="both"/>
      </w:pPr>
      <w:r w:rsidRPr="005F5E3B">
        <w:t xml:space="preserve">The quality-adjusted life-year (QALY) serves as a measure of the value of health outcomes. Given that health is influenced by both the length of life and the quality of life, the QALY was developed to combine the value of these attributes into a single index number. The QALY calculation involves multiplying the change in utility value induced by the treatment by the duration of the treatment effect to determine the number of QALYs gained or lost </w:t>
      </w:r>
      <w:r w:rsidRPr="005F5E3B">
        <w:fldChar w:fldCharType="begin"/>
      </w:r>
      <w:r w:rsidR="00D25C9A" w:rsidRPr="005F5E3B">
        <w:instrText xml:space="preserve"> ADDIN EN.CITE &lt;EndNote&gt;&lt;Cite&gt;&lt;Author&gt;Prieto&lt;/Author&gt;&lt;Year&gt;2003&lt;/Year&gt;&lt;RecNum&gt;22918&lt;/RecNum&gt;&lt;DisplayText&gt;(Prieto and Sacristán 2003)&lt;/DisplayText&gt;&lt;record&gt;&lt;rec-number&gt;22918&lt;/rec-number&gt;&lt;foreign-keys&gt;&lt;key app="EN" db-id="e5atwdstq9d59wezwsa5aww40v02s9zxs90f" timestamp="1697057879"&gt;22918&lt;/key&gt;&lt;/foreign-keys&gt;&lt;ref-type name="Journal Article"&gt;17&lt;/ref-type&gt;&lt;contributors&gt;&lt;authors&gt;&lt;author&gt;Prieto, L.&lt;/author&gt;&lt;author&gt;Sacristán, J. A.&lt;/author&gt;&lt;/authors&gt;&lt;/contributors&gt;&lt;auth-address&gt;Health Outcomes Research Unit, Eli Lilly &amp;amp; Co, Spain, Av, de Industria 30, 28108 Alcobendas, Spain. prieto_luis@lilly.com&lt;/auth-address&gt;&lt;titles&gt;&lt;title&gt;Problems and solutions in calculating quality-adjusted life years (QALYs)&lt;/title&gt;&lt;secondary-title&gt;Health Qual Life Outcomes&lt;/secondary-title&gt;&lt;/titles&gt;&lt;periodical&gt;&lt;full-title&gt;Health Qual Life Outcomes&lt;/full-title&gt;&lt;/periodical&gt;&lt;pages&gt;80&lt;/pages&gt;&lt;volume&gt;1&lt;/volume&gt;&lt;edition&gt;20031219&lt;/edition&gt;&lt;keywords&gt;&lt;keyword&gt;Cost-Benefit Analysis&lt;/keyword&gt;&lt;keyword&gt;Health Status&lt;/keyword&gt;&lt;keyword&gt;Humans&lt;/keyword&gt;&lt;keyword&gt;*Models, Theoretical&lt;/keyword&gt;&lt;keyword&gt;*Quality-Adjusted Life Years&lt;/keyword&gt;&lt;/keywords&gt;&lt;dates&gt;&lt;year&gt;2003&lt;/year&gt;&lt;pub-dates&gt;&lt;date&gt;Dec 19&lt;/date&gt;&lt;/pub-dates&gt;&lt;/dates&gt;&lt;isbn&gt;1477-7525&lt;/isbn&gt;&lt;accession-num&gt;14687421&lt;/accession-num&gt;&lt;urls&gt;&lt;/urls&gt;&lt;custom2&gt;PMC317370&lt;/custom2&gt;&lt;electronic-resource-num&gt;10.1186/1477-7525-1-80&lt;/electronic-resource-num&gt;&lt;remote-database-provider&gt;NLM&lt;/remote-database-provider&gt;&lt;language&gt;eng&lt;/language&gt;&lt;/record&gt;&lt;/Cite&gt;&lt;/EndNote&gt;</w:instrText>
      </w:r>
      <w:r w:rsidRPr="005F5E3B">
        <w:fldChar w:fldCharType="separate"/>
      </w:r>
      <w:r w:rsidR="00D25C9A" w:rsidRPr="005F5E3B">
        <w:rPr>
          <w:noProof/>
        </w:rPr>
        <w:t>(Prieto and Sacristán 2003)</w:t>
      </w:r>
      <w:r w:rsidRPr="005F5E3B">
        <w:fldChar w:fldCharType="end"/>
      </w:r>
      <w:r w:rsidRPr="005F5E3B">
        <w:t>.</w:t>
      </w:r>
    </w:p>
    <w:p w14:paraId="0F96AD53" w14:textId="4F023B68" w:rsidR="0061082A" w:rsidRPr="005F5E3B" w:rsidRDefault="0061082A" w:rsidP="0061082A">
      <w:pPr>
        <w:pStyle w:val="NormalWeb"/>
        <w:spacing w:before="0" w:beforeAutospacing="0" w:after="0" w:afterAutospacing="0" w:line="360" w:lineRule="auto"/>
        <w:jc w:val="both"/>
      </w:pPr>
      <w:r w:rsidRPr="005F5E3B">
        <w:t xml:space="preserve">One widely used instruments for measuring QALY is the EQ-5D-5L questionnaire, a generic preferences-based measure that includes five attributes: mobility, self-care, usual activities, pain/discomfort, and anxiety/depression </w:t>
      </w:r>
      <w:r w:rsidRPr="005F5E3B">
        <w:fldChar w:fldCharType="begin"/>
      </w:r>
      <w:r w:rsidR="00D25C9A" w:rsidRPr="005F5E3B">
        <w:instrText xml:space="preserve"> ADDIN EN.CITE &lt;EndNote&gt;&lt;Cite&gt;&lt;Author&gt;Balestroni&lt;/Author&gt;&lt;Year&gt;2012&lt;/Year&gt;&lt;RecNum&gt;20451&lt;/RecNum&gt;&lt;DisplayText&gt;(Balestroni and Bertolotti 2012)&lt;/DisplayText&gt;&lt;record&gt;&lt;rec-number&gt;20451&lt;/rec-number&gt;&lt;foreign-keys&gt;&lt;key app="EN" db-id="e5atwdstq9d59wezwsa5aww40v02s9zxs90f" timestamp="1638364878"&gt;20451&lt;/key&gt;&lt;/foreign-keys&gt;&lt;ref-type name="Journal Article"&gt;17&lt;/ref-type&gt;&lt;contributors&gt;&lt;authors&gt;&lt;author&gt;Balestroni, Gianluigi&lt;/author&gt;&lt;author&gt;Bertolotti, Giorgio&lt;/author&gt;&lt;/authors&gt;&lt;/contributors&gt;&lt;titles&gt;&lt;title&gt;EuroQol-5D (EQ-5D): an instrument for measuring quality of life&lt;/title&gt;&lt;secondary-title&gt;Monaldi Archives for Chest Disease&lt;/secondary-title&gt;&lt;/titles&gt;&lt;periodical&gt;&lt;full-title&gt;Monaldi Archives for Chest Disease&lt;/full-title&gt;&lt;/periodical&gt;&lt;volume&gt;78&lt;/volume&gt;&lt;number&gt;3&lt;/number&gt;&lt;dates&gt;&lt;year&gt;2012&lt;/year&gt;&lt;/dates&gt;&lt;isbn&gt;2532-5264&lt;/isbn&gt;&lt;urls&gt;&lt;/urls&gt;&lt;/record&gt;&lt;/Cite&gt;&lt;/EndNote&gt;</w:instrText>
      </w:r>
      <w:r w:rsidRPr="005F5E3B">
        <w:fldChar w:fldCharType="separate"/>
      </w:r>
      <w:r w:rsidR="00D25C9A" w:rsidRPr="005F5E3B">
        <w:rPr>
          <w:noProof/>
        </w:rPr>
        <w:t>(Balestroni and Bertolotti 2012)</w:t>
      </w:r>
      <w:r w:rsidRPr="005F5E3B">
        <w:fldChar w:fldCharType="end"/>
      </w:r>
      <w:r w:rsidRPr="005F5E3B">
        <w:t>. Each attribute has five levels: no problems, slight problems, moderate problems, severe problems and extreme problems. These health states are translated into a score ranging from 0 (equivalent of dead) and 1 (perfect health) using a population preference value set known as a tariff. As population preferences vary from country to country, QALY estimation tariffs are country specific. The time spent in a health state is important for QALY estimation, and QALY is typically calculated for one year (365 days).</w:t>
      </w:r>
    </w:p>
    <w:p w14:paraId="2284088B" w14:textId="77777777" w:rsidR="0061082A" w:rsidRPr="005F5E3B" w:rsidRDefault="0061082A" w:rsidP="0061082A">
      <w:pPr>
        <w:pStyle w:val="NormalWeb"/>
        <w:spacing w:before="0" w:beforeAutospacing="0" w:after="0" w:afterAutospacing="0" w:line="360" w:lineRule="auto"/>
        <w:jc w:val="both"/>
      </w:pPr>
    </w:p>
    <w:p w14:paraId="3E488999" w14:textId="5F774EE0" w:rsidR="0061082A" w:rsidRPr="005F5E3B" w:rsidRDefault="0061082A" w:rsidP="0061082A">
      <w:pPr>
        <w:pStyle w:val="Heading3"/>
        <w:numPr>
          <w:ilvl w:val="1"/>
          <w:numId w:val="26"/>
        </w:numPr>
      </w:pPr>
      <w:r w:rsidRPr="005F5E3B">
        <w:rPr>
          <w:rStyle w:val="Emphasis"/>
        </w:rPr>
        <w:t>Baseline line QALY estimation</w:t>
      </w:r>
    </w:p>
    <w:p w14:paraId="4D078020" w14:textId="411DE975" w:rsidR="0061082A" w:rsidRPr="005F5E3B" w:rsidRDefault="0061082A" w:rsidP="0061082A">
      <w:pPr>
        <w:pStyle w:val="NormalWeb"/>
        <w:spacing w:before="0" w:beforeAutospacing="0" w:after="0" w:afterAutospacing="0" w:line="360" w:lineRule="auto"/>
        <w:jc w:val="both"/>
      </w:pPr>
      <w:r w:rsidRPr="005F5E3B">
        <w:t xml:space="preserve">The baseline QALY was derived from the </w:t>
      </w:r>
      <w:proofErr w:type="spellStart"/>
      <w:r w:rsidRPr="005F5E3B">
        <w:t>iROC</w:t>
      </w:r>
      <w:proofErr w:type="spellEnd"/>
      <w:r w:rsidRPr="005F5E3B">
        <w:t xml:space="preserve"> trial for participants who had not received NAC (Catto, </w:t>
      </w:r>
      <w:proofErr w:type="spellStart"/>
      <w:r w:rsidRPr="005F5E3B">
        <w:t>Khetrapal</w:t>
      </w:r>
      <w:proofErr w:type="spellEnd"/>
      <w:r w:rsidRPr="005F5E3B">
        <w:t xml:space="preserve">, et al. 2022). All the patients provided responses to the five attributes of the EQ-5D-5L questionnaire, and the baseline QALY was subsequently estimated using the Swedish tariff (value set) </w:t>
      </w:r>
      <w:r w:rsidRPr="005F5E3B">
        <w:fldChar w:fldCharType="begin"/>
      </w:r>
      <w:r w:rsidR="00D25C9A" w:rsidRPr="005F5E3B">
        <w:instrText xml:space="preserve"> ADDIN EN.CITE &lt;EndNote&gt;&lt;Cite&gt;&lt;Author&gt;Burström&lt;/Author&gt;&lt;Year&gt;2020&lt;/Year&gt;&lt;RecNum&gt;20272&lt;/RecNum&gt;&lt;DisplayText&gt;(Burström et al. 2020)&lt;/DisplayText&gt;&lt;record&gt;&lt;rec-number&gt;20272&lt;/rec-number&gt;&lt;foreign-keys&gt;&lt;key app="EN" db-id="e5atwdstq9d59wezwsa5aww40v02s9zxs90f" timestamp="1628412408"&gt;20272&lt;/key&gt;&lt;/foreign-keys&gt;&lt;ref-type name="Journal Article"&gt;17&lt;/ref-type&gt;&lt;contributors&gt;&lt;authors&gt;&lt;author&gt;Burström, Kristina&lt;/author&gt;&lt;author&gt;Teni, Fitsum Sebsibe&lt;/author&gt;&lt;author&gt;Gerdtham, Ulf- G.&lt;/author&gt;&lt;author&gt;Leidl, Reiner&lt;/author&gt;&lt;author&gt;Helgesson, Gert&lt;/author&gt;&lt;author&gt;Rolfson, Ola&lt;/author&gt;&lt;author&gt;Henriksson, Martin&lt;/author&gt;&lt;/authors&gt;&lt;/contributors&gt;&lt;titles&gt;&lt;title&gt;Experience-Based Swedish TTO and VAS Value Sets for EQ-5D-5L Health States&lt;/title&gt;&lt;secondary-title&gt;PharmacoEconomics&lt;/secondary-title&gt;&lt;/titles&gt;&lt;periodical&gt;&lt;full-title&gt;Pharmacoeconomics&lt;/full-title&gt;&lt;/periodical&gt;&lt;pages&gt;839-856&lt;/pages&gt;&lt;volume&gt;38&lt;/volume&gt;&lt;number&gt;8&lt;/number&gt;&lt;dates&gt;&lt;year&gt;2020&lt;/year&gt;&lt;pub-dates&gt;&lt;date&gt;2020/08/01&lt;/date&gt;&lt;/pub-dates&gt;&lt;/dates&gt;&lt;isbn&gt;1179-2027&lt;/isbn&gt;&lt;urls&gt;&lt;related-urls&gt;&lt;url&gt;https://doi.org/10.1007/s40273-020-00905-7&lt;/url&gt;&lt;/related-urls&gt;&lt;/urls&gt;&lt;electronic-resource-num&gt;10.1007/s40273-020-00905-7&lt;/electronic-resource-num&gt;&lt;/record&gt;&lt;/Cite&gt;&lt;/EndNote&gt;</w:instrText>
      </w:r>
      <w:r w:rsidRPr="005F5E3B">
        <w:fldChar w:fldCharType="separate"/>
      </w:r>
      <w:r w:rsidR="00D25C9A" w:rsidRPr="005F5E3B">
        <w:rPr>
          <w:noProof/>
        </w:rPr>
        <w:t>(Burström et al. 2020)</w:t>
      </w:r>
      <w:r w:rsidRPr="005F5E3B">
        <w:fldChar w:fldCharType="end"/>
      </w:r>
      <w:r w:rsidRPr="005F5E3B">
        <w:t xml:space="preserve">. Despite the patients being from the UK, the decision to use the Swedish </w:t>
      </w:r>
      <w:r w:rsidRPr="005F5E3B">
        <w:lastRenderedPageBreak/>
        <w:t>value set was based on the appropriateness for the Swedish population. The descriptive statistics are presented in Table 1.</w:t>
      </w:r>
    </w:p>
    <w:p w14:paraId="33CB264B" w14:textId="77777777" w:rsidR="0061082A" w:rsidRPr="005F5E3B" w:rsidRDefault="0061082A" w:rsidP="0061082A">
      <w:pPr>
        <w:spacing w:line="360" w:lineRule="auto"/>
        <w:jc w:val="both"/>
        <w:rPr>
          <w:rFonts w:cs="Times New Roman"/>
        </w:rPr>
      </w:pPr>
      <w:r w:rsidRPr="005F5E3B">
        <w:rPr>
          <w:rFonts w:cs="Times New Roman"/>
        </w:rPr>
        <w:t xml:space="preserve">Table S6: Descriptive statistics for the participants of the </w:t>
      </w:r>
      <w:proofErr w:type="spellStart"/>
      <w:r w:rsidRPr="005F5E3B">
        <w:rPr>
          <w:rFonts w:cs="Times New Roman"/>
        </w:rPr>
        <w:t>iROC</w:t>
      </w:r>
      <w:proofErr w:type="spellEnd"/>
      <w:r w:rsidRPr="005F5E3B">
        <w:rPr>
          <w:rFonts w:cs="Times New Roman"/>
        </w:rPr>
        <w:t xml:space="preserve"> trial (n=204)</w:t>
      </w:r>
    </w:p>
    <w:tbl>
      <w:tblPr>
        <w:tblStyle w:val="TableGrid"/>
        <w:tblW w:w="0" w:type="auto"/>
        <w:tblLook w:val="04A0" w:firstRow="1" w:lastRow="0" w:firstColumn="1" w:lastColumn="0" w:noHBand="0" w:noVBand="1"/>
      </w:tblPr>
      <w:tblGrid>
        <w:gridCol w:w="4508"/>
        <w:gridCol w:w="4508"/>
      </w:tblGrid>
      <w:tr w:rsidR="005F5E3B" w:rsidRPr="005F5E3B" w14:paraId="66375D96" w14:textId="77777777" w:rsidTr="002F1753">
        <w:tc>
          <w:tcPr>
            <w:tcW w:w="4508" w:type="dxa"/>
          </w:tcPr>
          <w:p w14:paraId="1388CD7C" w14:textId="77777777" w:rsidR="0061082A" w:rsidRPr="005F5E3B" w:rsidRDefault="0061082A" w:rsidP="002F1753">
            <w:pPr>
              <w:pStyle w:val="NoSpacing"/>
              <w:jc w:val="center"/>
              <w:rPr>
                <w:rFonts w:cs="Times New Roman"/>
                <w:b/>
                <w:bCs/>
              </w:rPr>
            </w:pPr>
            <w:r w:rsidRPr="005F5E3B">
              <w:rPr>
                <w:rFonts w:cs="Times New Roman"/>
              </w:rPr>
              <w:t>Measures</w:t>
            </w:r>
          </w:p>
        </w:tc>
        <w:tc>
          <w:tcPr>
            <w:tcW w:w="4508" w:type="dxa"/>
          </w:tcPr>
          <w:p w14:paraId="023FD768" w14:textId="77777777" w:rsidR="0061082A" w:rsidRPr="005F5E3B" w:rsidRDefault="0061082A" w:rsidP="002F1753">
            <w:pPr>
              <w:pStyle w:val="NoSpacing"/>
              <w:jc w:val="center"/>
              <w:rPr>
                <w:rFonts w:cs="Times New Roman"/>
                <w:b/>
                <w:bCs/>
              </w:rPr>
            </w:pPr>
            <w:r w:rsidRPr="005F5E3B">
              <w:rPr>
                <w:rFonts w:cs="Times New Roman"/>
              </w:rPr>
              <w:t>Values</w:t>
            </w:r>
          </w:p>
        </w:tc>
      </w:tr>
      <w:tr w:rsidR="005F5E3B" w:rsidRPr="005F5E3B" w14:paraId="33E65737" w14:textId="77777777" w:rsidTr="002F1753">
        <w:tc>
          <w:tcPr>
            <w:tcW w:w="4508" w:type="dxa"/>
          </w:tcPr>
          <w:p w14:paraId="750E3528" w14:textId="77777777" w:rsidR="0061082A" w:rsidRPr="005F5E3B" w:rsidRDefault="0061082A" w:rsidP="002F1753">
            <w:pPr>
              <w:pStyle w:val="NoSpacing"/>
              <w:jc w:val="center"/>
              <w:rPr>
                <w:rFonts w:cs="Times New Roman"/>
                <w:b/>
                <w:bCs/>
              </w:rPr>
            </w:pPr>
            <w:r w:rsidRPr="005F5E3B">
              <w:rPr>
                <w:rFonts w:cs="Times New Roman"/>
              </w:rPr>
              <w:t>Mean</w:t>
            </w:r>
          </w:p>
        </w:tc>
        <w:tc>
          <w:tcPr>
            <w:tcW w:w="4508" w:type="dxa"/>
          </w:tcPr>
          <w:p w14:paraId="3D1A456E" w14:textId="77777777" w:rsidR="0061082A" w:rsidRPr="005F5E3B" w:rsidRDefault="0061082A" w:rsidP="002F1753">
            <w:pPr>
              <w:pStyle w:val="NoSpacing"/>
              <w:jc w:val="center"/>
              <w:rPr>
                <w:rFonts w:cs="Times New Roman"/>
              </w:rPr>
            </w:pPr>
            <w:r w:rsidRPr="005F5E3B">
              <w:rPr>
                <w:rFonts w:cs="Times New Roman"/>
              </w:rPr>
              <w:t>0.914</w:t>
            </w:r>
          </w:p>
        </w:tc>
      </w:tr>
      <w:tr w:rsidR="005F5E3B" w:rsidRPr="005F5E3B" w14:paraId="02F33B6F" w14:textId="77777777" w:rsidTr="002F1753">
        <w:tc>
          <w:tcPr>
            <w:tcW w:w="4508" w:type="dxa"/>
          </w:tcPr>
          <w:p w14:paraId="26ACB30C" w14:textId="77777777" w:rsidR="0061082A" w:rsidRPr="005F5E3B" w:rsidRDefault="0061082A" w:rsidP="002F1753">
            <w:pPr>
              <w:pStyle w:val="NoSpacing"/>
              <w:jc w:val="center"/>
              <w:rPr>
                <w:rFonts w:cs="Times New Roman"/>
                <w:b/>
                <w:bCs/>
              </w:rPr>
            </w:pPr>
            <w:r w:rsidRPr="005F5E3B">
              <w:rPr>
                <w:rFonts w:cs="Times New Roman"/>
              </w:rPr>
              <w:t>Median</w:t>
            </w:r>
          </w:p>
        </w:tc>
        <w:tc>
          <w:tcPr>
            <w:tcW w:w="4508" w:type="dxa"/>
          </w:tcPr>
          <w:p w14:paraId="4A5D9393" w14:textId="77777777" w:rsidR="0061082A" w:rsidRPr="005F5E3B" w:rsidRDefault="0061082A" w:rsidP="002F1753">
            <w:pPr>
              <w:pStyle w:val="NoSpacing"/>
              <w:jc w:val="center"/>
              <w:rPr>
                <w:rFonts w:cs="Times New Roman"/>
              </w:rPr>
            </w:pPr>
            <w:r w:rsidRPr="005F5E3B">
              <w:rPr>
                <w:rFonts w:cs="Times New Roman"/>
              </w:rPr>
              <w:t>0.943</w:t>
            </w:r>
          </w:p>
        </w:tc>
      </w:tr>
      <w:tr w:rsidR="005F5E3B" w:rsidRPr="005F5E3B" w14:paraId="347E9924" w14:textId="77777777" w:rsidTr="002F1753">
        <w:tc>
          <w:tcPr>
            <w:tcW w:w="4508" w:type="dxa"/>
          </w:tcPr>
          <w:p w14:paraId="483BBA4F" w14:textId="77777777" w:rsidR="0061082A" w:rsidRPr="005F5E3B" w:rsidRDefault="0061082A" w:rsidP="002F1753">
            <w:pPr>
              <w:pStyle w:val="NoSpacing"/>
              <w:jc w:val="center"/>
              <w:rPr>
                <w:rFonts w:cs="Times New Roman"/>
                <w:b/>
                <w:bCs/>
              </w:rPr>
            </w:pPr>
            <w:r w:rsidRPr="005F5E3B">
              <w:rPr>
                <w:rFonts w:cs="Times New Roman"/>
              </w:rPr>
              <w:t>Standard deviation</w:t>
            </w:r>
          </w:p>
        </w:tc>
        <w:tc>
          <w:tcPr>
            <w:tcW w:w="4508" w:type="dxa"/>
          </w:tcPr>
          <w:p w14:paraId="36675041" w14:textId="77777777" w:rsidR="0061082A" w:rsidRPr="005F5E3B" w:rsidRDefault="0061082A" w:rsidP="002F1753">
            <w:pPr>
              <w:pStyle w:val="NoSpacing"/>
              <w:jc w:val="center"/>
              <w:rPr>
                <w:rFonts w:cs="Times New Roman"/>
              </w:rPr>
            </w:pPr>
            <w:r w:rsidRPr="005F5E3B">
              <w:rPr>
                <w:rFonts w:cs="Times New Roman"/>
              </w:rPr>
              <w:t>0.093</w:t>
            </w:r>
          </w:p>
        </w:tc>
      </w:tr>
      <w:tr w:rsidR="005F5E3B" w:rsidRPr="005F5E3B" w14:paraId="4E254A23" w14:textId="77777777" w:rsidTr="002F1753">
        <w:tc>
          <w:tcPr>
            <w:tcW w:w="4508" w:type="dxa"/>
          </w:tcPr>
          <w:p w14:paraId="77C5D783" w14:textId="77777777" w:rsidR="0061082A" w:rsidRPr="005F5E3B" w:rsidRDefault="0061082A" w:rsidP="002F1753">
            <w:pPr>
              <w:pStyle w:val="NoSpacing"/>
              <w:jc w:val="center"/>
              <w:rPr>
                <w:rFonts w:cs="Times New Roman"/>
                <w:b/>
                <w:bCs/>
              </w:rPr>
            </w:pPr>
            <w:r w:rsidRPr="005F5E3B">
              <w:rPr>
                <w:rFonts w:cs="Times New Roman"/>
              </w:rPr>
              <w:t>Minimum</w:t>
            </w:r>
          </w:p>
        </w:tc>
        <w:tc>
          <w:tcPr>
            <w:tcW w:w="4508" w:type="dxa"/>
          </w:tcPr>
          <w:p w14:paraId="7BE9A9D5" w14:textId="77777777" w:rsidR="0061082A" w:rsidRPr="005F5E3B" w:rsidRDefault="0061082A" w:rsidP="002F1753">
            <w:pPr>
              <w:pStyle w:val="NoSpacing"/>
              <w:jc w:val="center"/>
              <w:rPr>
                <w:rFonts w:cs="Times New Roman"/>
              </w:rPr>
            </w:pPr>
            <w:r w:rsidRPr="005F5E3B">
              <w:rPr>
                <w:rFonts w:cs="Times New Roman"/>
              </w:rPr>
              <w:t>0.372</w:t>
            </w:r>
          </w:p>
        </w:tc>
      </w:tr>
      <w:tr w:rsidR="005F5E3B" w:rsidRPr="005F5E3B" w14:paraId="3D4EAEF7" w14:textId="77777777" w:rsidTr="002F1753">
        <w:tc>
          <w:tcPr>
            <w:tcW w:w="4508" w:type="dxa"/>
          </w:tcPr>
          <w:p w14:paraId="079A0100" w14:textId="77777777" w:rsidR="0061082A" w:rsidRPr="005F5E3B" w:rsidRDefault="0061082A" w:rsidP="002F1753">
            <w:pPr>
              <w:pStyle w:val="NoSpacing"/>
              <w:jc w:val="center"/>
              <w:rPr>
                <w:rFonts w:cs="Times New Roman"/>
                <w:b/>
                <w:bCs/>
              </w:rPr>
            </w:pPr>
            <w:r w:rsidRPr="005F5E3B">
              <w:rPr>
                <w:rFonts w:cs="Times New Roman"/>
              </w:rPr>
              <w:t>5% percentile</w:t>
            </w:r>
          </w:p>
        </w:tc>
        <w:tc>
          <w:tcPr>
            <w:tcW w:w="4508" w:type="dxa"/>
          </w:tcPr>
          <w:p w14:paraId="3A252023" w14:textId="77777777" w:rsidR="0061082A" w:rsidRPr="005F5E3B" w:rsidRDefault="0061082A" w:rsidP="002F1753">
            <w:pPr>
              <w:pStyle w:val="NoSpacing"/>
              <w:jc w:val="center"/>
              <w:rPr>
                <w:rFonts w:cs="Times New Roman"/>
              </w:rPr>
            </w:pPr>
            <w:r w:rsidRPr="005F5E3B">
              <w:rPr>
                <w:rFonts w:cs="Times New Roman"/>
              </w:rPr>
              <w:t>0.705</w:t>
            </w:r>
          </w:p>
        </w:tc>
      </w:tr>
      <w:tr w:rsidR="005F5E3B" w:rsidRPr="005F5E3B" w14:paraId="27C7AC6C" w14:textId="77777777" w:rsidTr="002F1753">
        <w:tc>
          <w:tcPr>
            <w:tcW w:w="4508" w:type="dxa"/>
          </w:tcPr>
          <w:p w14:paraId="0E9B01D1" w14:textId="77777777" w:rsidR="0061082A" w:rsidRPr="005F5E3B" w:rsidRDefault="0061082A" w:rsidP="002F1753">
            <w:pPr>
              <w:pStyle w:val="NoSpacing"/>
              <w:jc w:val="center"/>
              <w:rPr>
                <w:rFonts w:cs="Times New Roman"/>
                <w:b/>
                <w:bCs/>
              </w:rPr>
            </w:pPr>
            <w:r w:rsidRPr="005F5E3B">
              <w:rPr>
                <w:rFonts w:cs="Times New Roman"/>
              </w:rPr>
              <w:t>95% percentile</w:t>
            </w:r>
          </w:p>
        </w:tc>
        <w:tc>
          <w:tcPr>
            <w:tcW w:w="4508" w:type="dxa"/>
          </w:tcPr>
          <w:p w14:paraId="6BA1585C" w14:textId="77777777" w:rsidR="0061082A" w:rsidRPr="005F5E3B" w:rsidRDefault="0061082A" w:rsidP="002F1753">
            <w:pPr>
              <w:pStyle w:val="NoSpacing"/>
              <w:jc w:val="center"/>
              <w:rPr>
                <w:rFonts w:cs="Times New Roman"/>
              </w:rPr>
            </w:pPr>
            <w:r w:rsidRPr="005F5E3B">
              <w:rPr>
                <w:rFonts w:cs="Times New Roman"/>
              </w:rPr>
              <w:t>0.9755</w:t>
            </w:r>
          </w:p>
        </w:tc>
      </w:tr>
      <w:tr w:rsidR="0061082A" w:rsidRPr="005F5E3B" w14:paraId="1DDC5A58" w14:textId="77777777" w:rsidTr="002F1753">
        <w:tc>
          <w:tcPr>
            <w:tcW w:w="4508" w:type="dxa"/>
          </w:tcPr>
          <w:p w14:paraId="322E6D66" w14:textId="77777777" w:rsidR="0061082A" w:rsidRPr="005F5E3B" w:rsidRDefault="0061082A" w:rsidP="002F1753">
            <w:pPr>
              <w:pStyle w:val="NoSpacing"/>
              <w:jc w:val="center"/>
              <w:rPr>
                <w:rFonts w:cs="Times New Roman"/>
                <w:b/>
                <w:bCs/>
              </w:rPr>
            </w:pPr>
            <w:r w:rsidRPr="005F5E3B">
              <w:rPr>
                <w:rFonts w:cs="Times New Roman"/>
              </w:rPr>
              <w:t>Maximum</w:t>
            </w:r>
          </w:p>
        </w:tc>
        <w:tc>
          <w:tcPr>
            <w:tcW w:w="4508" w:type="dxa"/>
          </w:tcPr>
          <w:p w14:paraId="3A27A471" w14:textId="77777777" w:rsidR="0061082A" w:rsidRPr="005F5E3B" w:rsidRDefault="0061082A" w:rsidP="002F1753">
            <w:pPr>
              <w:pStyle w:val="NoSpacing"/>
              <w:jc w:val="center"/>
              <w:rPr>
                <w:rFonts w:cs="Times New Roman"/>
              </w:rPr>
            </w:pPr>
            <w:r w:rsidRPr="005F5E3B">
              <w:rPr>
                <w:rFonts w:cs="Times New Roman"/>
              </w:rPr>
              <w:t>0.9755</w:t>
            </w:r>
          </w:p>
        </w:tc>
      </w:tr>
    </w:tbl>
    <w:p w14:paraId="2982ACE6" w14:textId="77777777" w:rsidR="0061082A" w:rsidRPr="005F5E3B" w:rsidRDefault="0061082A" w:rsidP="0061082A">
      <w:pPr>
        <w:spacing w:line="360" w:lineRule="auto"/>
        <w:jc w:val="both"/>
        <w:rPr>
          <w:rFonts w:cs="Times New Roman"/>
          <w:i/>
          <w:iCs/>
        </w:rPr>
      </w:pPr>
    </w:p>
    <w:p w14:paraId="152FBF9C" w14:textId="50F7728E" w:rsidR="0061082A" w:rsidRPr="005F5E3B" w:rsidRDefault="0061082A" w:rsidP="0061082A">
      <w:pPr>
        <w:pStyle w:val="Heading3"/>
        <w:numPr>
          <w:ilvl w:val="1"/>
          <w:numId w:val="26"/>
        </w:numPr>
        <w:rPr>
          <w:i/>
          <w:iCs/>
        </w:rPr>
      </w:pPr>
      <w:r w:rsidRPr="005F5E3B">
        <w:rPr>
          <w:i/>
          <w:iCs/>
        </w:rPr>
        <w:t>QALY for patients receiving only RC</w:t>
      </w:r>
    </w:p>
    <w:p w14:paraId="63D68528" w14:textId="4077A7CC" w:rsidR="0061082A" w:rsidRPr="005F5E3B" w:rsidRDefault="0061082A" w:rsidP="0061082A">
      <w:pPr>
        <w:spacing w:line="360" w:lineRule="auto"/>
        <w:jc w:val="both"/>
        <w:rPr>
          <w:rFonts w:cs="Times New Roman"/>
        </w:rPr>
      </w:pPr>
      <w:r w:rsidRPr="005F5E3B">
        <w:rPr>
          <w:rFonts w:cs="Times New Roman"/>
        </w:rPr>
        <w:t xml:space="preserve">The postoperative QALY loss due to RC was 0.114 (0.80 QALY) </w:t>
      </w:r>
      <w:r w:rsidRPr="005F5E3B">
        <w:rPr>
          <w:rFonts w:cs="Times New Roman"/>
        </w:rPr>
        <w:fldChar w:fldCharType="begin">
          <w:fldData xml:space="preserve">PEVuZE5vdGU+PENpdGU+PEF1dGhvcj5Kb3ljZTwvQXV0aG9yPjxZZWFyPjIwMjI8L1llYXI+PFJl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</w:fldData>
        </w:fldChar>
      </w:r>
      <w:r w:rsidR="00D25C9A" w:rsidRPr="005F5E3B">
        <w:rPr>
          <w:rFonts w:cs="Times New Roman"/>
        </w:rPr>
        <w:instrText xml:space="preserve"> ADDIN EN.CITE </w:instrText>
      </w:r>
      <w:r w:rsidR="00D25C9A" w:rsidRPr="005F5E3B">
        <w:rPr>
          <w:rFonts w:cs="Times New Roman"/>
        </w:rPr>
        <w:fldChar w:fldCharType="begin">
          <w:fldData xml:space="preserve">PEVuZE5vdGU+PENpdGU+PEF1dGhvcj5Kb3ljZTwvQXV0aG9yPjxZZWFyPjIwMjI8L1llYXI+PFJl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</w:fldData>
        </w:fldChar>
      </w:r>
      <w:r w:rsidR="00D25C9A" w:rsidRPr="005F5E3B">
        <w:rPr>
          <w:rFonts w:cs="Times New Roman"/>
        </w:rPr>
        <w:instrText xml:space="preserve"> ADDIN EN.CITE.DATA </w:instrText>
      </w:r>
      <w:r w:rsidR="00D25C9A" w:rsidRPr="005F5E3B">
        <w:rPr>
          <w:rFonts w:cs="Times New Roman"/>
        </w:rPr>
      </w:r>
      <w:r w:rsidR="00D25C9A" w:rsidRPr="005F5E3B">
        <w:rPr>
          <w:rFonts w:cs="Times New Roman"/>
        </w:rPr>
        <w:fldChar w:fldCharType="end"/>
      </w:r>
      <w:r w:rsidRPr="005F5E3B">
        <w:rPr>
          <w:rFonts w:cs="Times New Roman"/>
        </w:rPr>
      </w:r>
      <w:r w:rsidRPr="005F5E3B">
        <w:rPr>
          <w:rFonts w:cs="Times New Roman"/>
        </w:rPr>
        <w:fldChar w:fldCharType="separate"/>
      </w:r>
      <w:r w:rsidR="00D25C9A" w:rsidRPr="005F5E3B">
        <w:rPr>
          <w:rFonts w:cs="Times New Roman"/>
          <w:noProof/>
        </w:rPr>
        <w:t>(Joyce et al. 2022; Kulkarni et al. 2009)</w:t>
      </w:r>
      <w:r w:rsidRPr="005F5E3B">
        <w:rPr>
          <w:rFonts w:cs="Times New Roman"/>
        </w:rPr>
        <w:fldChar w:fldCharType="end"/>
      </w:r>
      <w:r w:rsidRPr="005F5E3B">
        <w:rPr>
          <w:rFonts w:cs="Times New Roman"/>
        </w:rPr>
        <w:t xml:space="preserve">. According to our assumptions, during the first 35 days, patients experience a QALY loss according to the </w:t>
      </w:r>
      <w:proofErr w:type="spellStart"/>
      <w:r w:rsidRPr="005F5E3B">
        <w:rPr>
          <w:rFonts w:cs="Times New Roman"/>
        </w:rPr>
        <w:t>iROC</w:t>
      </w:r>
      <w:proofErr w:type="spellEnd"/>
      <w:r w:rsidRPr="005F5E3B">
        <w:rPr>
          <w:rFonts w:cs="Times New Roman"/>
        </w:rPr>
        <w:t xml:space="preserve"> trial, with 50% of patients undergoing open RC and 50% robotic-assisted RC, as per current Swedish practice </w:t>
      </w:r>
      <w:r w:rsidRPr="005F5E3B">
        <w:rPr>
          <w:rFonts w:cs="Times New Roman"/>
        </w:rPr>
        <w:fldChar w:fldCharType="begin"/>
      </w:r>
      <w:r w:rsidR="00D25C9A" w:rsidRPr="005F5E3B">
        <w:rPr>
          <w:rFonts w:cs="Times New Roman"/>
        </w:rPr>
        <w:instrText xml:space="preserve"> ADDIN EN.CITE &lt;EndNote&gt;&lt;Cite&gt;&lt;Author&gt;SNRUBC&lt;/Author&gt;&lt;Year&gt;2022&lt;/Year&gt;&lt;RecNum&gt;22921&lt;/RecNum&gt;&lt;DisplayText&gt;(SNRUBC 2022)&lt;/DisplayText&gt;&lt;record&gt;&lt;rec-number&gt;22921&lt;/rec-number&gt;&lt;foreign-keys&gt;&lt;key app="EN" db-id="e5atwdstq9d59wezwsa5aww40v02s9zxs90f" timestamp="1697057879"&gt;22921&lt;/key&gt;&lt;/foreign-keys&gt;&lt;ref-type name="Web Page"&gt;12&lt;/ref-type&gt;&lt;contributors&gt;&lt;authors&gt;&lt;author&gt;SNRUBC&lt;/author&gt;&lt;/authors&gt;&lt;/contributors&gt;&lt;titles&gt;&lt;title&gt;Svenska nationella kvalitetsregistret för Urinblåse- och urinvägscancer (SNRUBC) (The Swedish National Quality Register for Bladder and Urinary Tract Cancer)&lt;/title&gt;&lt;/titles&gt;&lt;dates&gt;&lt;year&gt;2022&lt;/year&gt;&lt;/dates&gt;&lt;urls&gt;&lt;related-urls&gt;&lt;url&gt;https://statistik.incanet.se/Urinblasecancer/&lt;/url&gt;&lt;/related-urls&gt;&lt;/urls&gt;&lt;/record&gt;&lt;/Cite&gt;&lt;/EndNote&gt;</w:instrText>
      </w:r>
      <w:r w:rsidRPr="005F5E3B">
        <w:rPr>
          <w:rFonts w:cs="Times New Roman"/>
        </w:rPr>
        <w:fldChar w:fldCharType="separate"/>
      </w:r>
      <w:r w:rsidR="00D25C9A" w:rsidRPr="005F5E3B">
        <w:rPr>
          <w:rFonts w:cs="Times New Roman"/>
          <w:noProof/>
        </w:rPr>
        <w:t>(SNRUBC 2022)</w:t>
      </w:r>
      <w:r w:rsidRPr="005F5E3B">
        <w:rPr>
          <w:rFonts w:cs="Times New Roman"/>
        </w:rPr>
        <w:fldChar w:fldCharType="end"/>
      </w:r>
      <w:r w:rsidRPr="005F5E3B">
        <w:rPr>
          <w:rFonts w:cs="Times New Roman"/>
        </w:rPr>
        <w:t xml:space="preserve"> (0.84 QALY). By day 84, QALY returns to 0.897 based on </w:t>
      </w:r>
      <w:proofErr w:type="spellStart"/>
      <w:r w:rsidRPr="005F5E3B">
        <w:rPr>
          <w:rFonts w:cs="Times New Roman"/>
        </w:rPr>
        <w:t>iROC</w:t>
      </w:r>
      <w:proofErr w:type="spellEnd"/>
      <w:r w:rsidRPr="005F5E3B">
        <w:rPr>
          <w:rFonts w:cs="Times New Roman"/>
        </w:rPr>
        <w:t xml:space="preserve"> data (Catto, </w:t>
      </w:r>
      <w:proofErr w:type="spellStart"/>
      <w:r w:rsidRPr="005F5E3B">
        <w:rPr>
          <w:rFonts w:cs="Times New Roman"/>
        </w:rPr>
        <w:t>Khetrapal</w:t>
      </w:r>
      <w:proofErr w:type="spellEnd"/>
      <w:r w:rsidRPr="005F5E3B">
        <w:rPr>
          <w:rFonts w:cs="Times New Roman"/>
        </w:rPr>
        <w:t xml:space="preserve">, et al. 2022). Subsequently, we assumed utility returns to preoperative levels (0.914) at one year. Using the area under the curve method </w:t>
      </w:r>
      <w:r w:rsidRPr="005F5E3B">
        <w:rPr>
          <w:rFonts w:cs="Times New Roman"/>
        </w:rPr>
        <w:fldChar w:fldCharType="begin"/>
      </w:r>
      <w:r w:rsidR="00D25C9A" w:rsidRPr="005F5E3B">
        <w:rPr>
          <w:rFonts w:cs="Times New Roman"/>
        </w:rPr>
        <w:instrText xml:space="preserve"> ADDIN EN.CITE &lt;EndNote&gt;&lt;Cite&gt;&lt;Author&gt;Whitehead&lt;/Author&gt;&lt;Year&gt;2010&lt;/Year&gt;&lt;RecNum&gt;70&lt;/RecNum&gt;&lt;DisplayText&gt;(Whitehead and Ali 2010)&lt;/DisplayText&gt;&lt;record&gt;&lt;rec-number&gt;70&lt;/rec-number&gt;&lt;foreign-keys&gt;&lt;key app="EN" db-id="e5atwdstq9d59wezwsa5aww40v02s9zxs90f" timestamp="1302517223"&gt;70&lt;/key&gt;&lt;/foreign-keys&gt;&lt;ref-type name="Journal Article"&gt;17&lt;/ref-type&gt;&lt;contributors&gt;&lt;authors&gt;&lt;author&gt;Whitehead, Sarah J.&lt;/author&gt;&lt;author&gt;Ali, Shehzad&lt;/author&gt;&lt;/authors&gt;&lt;/contributors&gt;&lt;titles&gt;&lt;title&gt;Health outcomes in economic evaluation: the QALY and utilities&lt;/title&gt;&lt;secondary-title&gt;British Medical Bulletin&lt;/secondary-title&gt;&lt;/titles&gt;&lt;periodical&gt;&lt;full-title&gt;British Medical Bulletin&lt;/full-title&gt;&lt;/periodical&gt;&lt;pages&gt;5-21&lt;/pages&gt;&lt;volume&gt;96&lt;/volume&gt;&lt;number&gt;1&lt;/number&gt;&lt;dates&gt;&lt;year&gt;2010&lt;/year&gt;&lt;pub-dates&gt;&lt;date&gt;December 1, 2010&lt;/date&gt;&lt;/pub-dates&gt;&lt;/dates&gt;&lt;urls&gt;&lt;related-urls&gt;&lt;url&gt;http://bmb.oxfordjournals.org/content/96/1/5.abstract&lt;/url&gt;&lt;url&gt;http://bmb.oxfordjournals.org/content/96/1/5.full.pdf&lt;/url&gt;&lt;/related-urls&gt;&lt;/urls&gt;&lt;electronic-resource-num&gt;10.1093/bmb/ldq033&lt;/electronic-resource-num&gt;&lt;/record&gt;&lt;/Cite&gt;&lt;/EndNote&gt;</w:instrText>
      </w:r>
      <w:r w:rsidRPr="005F5E3B">
        <w:rPr>
          <w:rFonts w:cs="Times New Roman"/>
        </w:rPr>
        <w:fldChar w:fldCharType="separate"/>
      </w:r>
      <w:r w:rsidR="00D25C9A" w:rsidRPr="005F5E3B">
        <w:rPr>
          <w:rFonts w:cs="Times New Roman"/>
          <w:noProof/>
        </w:rPr>
        <w:t>(Whitehead and Ali 2010)</w:t>
      </w:r>
      <w:r w:rsidRPr="005F5E3B">
        <w:rPr>
          <w:rFonts w:cs="Times New Roman"/>
        </w:rPr>
        <w:fldChar w:fldCharType="end"/>
      </w:r>
      <w:r w:rsidRPr="005F5E3B">
        <w:rPr>
          <w:rFonts w:cs="Times New Roman"/>
        </w:rPr>
        <w:t xml:space="preserve"> (see Figure S1), we have estimated the QALY for 365 days.</w:t>
      </w:r>
    </w:p>
    <w:p w14:paraId="37BF464B" w14:textId="77777777" w:rsidR="0061082A" w:rsidRPr="005F5E3B" w:rsidRDefault="0061082A" w:rsidP="0061082A">
      <w:pPr>
        <w:spacing w:line="360" w:lineRule="auto"/>
        <w:jc w:val="both"/>
        <w:rPr>
          <w:rFonts w:cs="Times New Roman"/>
        </w:rPr>
      </w:pPr>
      <w:r w:rsidRPr="005F5E3B">
        <w:rPr>
          <w:rFonts w:cs="Times New Roman"/>
          <w:noProof/>
        </w:rPr>
        <w:drawing>
          <wp:inline distT="0" distB="0" distL="0" distR="0" wp14:anchorId="150AC745" wp14:editId="598B6A99">
            <wp:extent cx="5731510" cy="3223895"/>
            <wp:effectExtent l="0" t="0" r="0" b="1905"/>
            <wp:docPr id="194361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14837" name=""/>
                    <pic:cNvPicPr/>
                  </pic:nvPicPr>
                  <pic:blipFill>
                    <a:blip r:embed="rId12"/>
                    <a:stretch>
                      <a:fillRect/>
                    </a:stretch>
                  </pic:blipFill>
                  <pic:spPr>
                    <a:xfrm>
                      <a:off x="0" y="0"/>
                      <a:ext cx="5731510" cy="3223895"/>
                    </a:xfrm>
                    <a:prstGeom prst="rect">
                      <a:avLst/>
                    </a:prstGeom>
                  </pic:spPr>
                </pic:pic>
              </a:graphicData>
            </a:graphic>
          </wp:inline>
        </w:drawing>
      </w:r>
    </w:p>
    <w:p w14:paraId="3FF88144" w14:textId="405C10E6" w:rsidR="0061082A" w:rsidRPr="005F5E3B" w:rsidRDefault="0061082A" w:rsidP="0061082A">
      <w:pPr>
        <w:pStyle w:val="Heading3"/>
        <w:numPr>
          <w:ilvl w:val="1"/>
          <w:numId w:val="26"/>
        </w:numPr>
        <w:rPr>
          <w:i/>
          <w:iCs/>
        </w:rPr>
      </w:pPr>
      <w:r w:rsidRPr="005F5E3B">
        <w:rPr>
          <w:i/>
          <w:iCs/>
        </w:rPr>
        <w:lastRenderedPageBreak/>
        <w:t>QALY for patients receiving three courses of NAC and RC</w:t>
      </w:r>
    </w:p>
    <w:p w14:paraId="3B83D543" w14:textId="0359BC1E" w:rsidR="0061082A" w:rsidRPr="005F5E3B" w:rsidRDefault="0061082A" w:rsidP="0061082A">
      <w:pPr>
        <w:spacing w:line="360" w:lineRule="auto"/>
        <w:jc w:val="both"/>
        <w:rPr>
          <w:rFonts w:cs="Times New Roman"/>
        </w:rPr>
      </w:pPr>
      <w:r w:rsidRPr="005F5E3B">
        <w:rPr>
          <w:rFonts w:cs="Times New Roman"/>
          <w:lang w:val="en-GB"/>
        </w:rPr>
        <w:t xml:space="preserve">The QALY reduction due to NAC was set to 0.36 QALY, in line with previous chemotherapy studies </w:t>
      </w:r>
      <w:r w:rsidRPr="005F5E3B">
        <w:rPr>
          <w:rFonts w:cs="Times New Roman"/>
        </w:rPr>
        <w:fldChar w:fldCharType="begin">
          <w:fldData xml:space="preserve">PEVuZE5vdGU+PENpdGU+PEF1dGhvcj5Kb3ljZTwvQXV0aG9yPjxZZWFyPjIwMjI8L1llYXI+PFJl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</w:fldData>
        </w:fldChar>
      </w:r>
      <w:r w:rsidR="00D25C9A" w:rsidRPr="005F5E3B">
        <w:rPr>
          <w:rFonts w:cs="Times New Roman"/>
        </w:rPr>
        <w:instrText xml:space="preserve"> ADDIN EN.CITE </w:instrText>
      </w:r>
      <w:r w:rsidR="00D25C9A" w:rsidRPr="005F5E3B">
        <w:rPr>
          <w:rFonts w:cs="Times New Roman"/>
        </w:rPr>
        <w:fldChar w:fldCharType="begin">
          <w:fldData xml:space="preserve">PEVuZE5vdGU+PENpdGU+PEF1dGhvcj5Kb3ljZTwvQXV0aG9yPjxZZWFyPjIwMjI8L1llYXI+PFJl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</w:fldData>
        </w:fldChar>
      </w:r>
      <w:r w:rsidR="00D25C9A" w:rsidRPr="005F5E3B">
        <w:rPr>
          <w:rFonts w:cs="Times New Roman"/>
        </w:rPr>
        <w:instrText xml:space="preserve"> ADDIN EN.CITE.DATA </w:instrText>
      </w:r>
      <w:r w:rsidR="00D25C9A" w:rsidRPr="005F5E3B">
        <w:rPr>
          <w:rFonts w:cs="Times New Roman"/>
        </w:rPr>
      </w:r>
      <w:r w:rsidR="00D25C9A" w:rsidRPr="005F5E3B">
        <w:rPr>
          <w:rFonts w:cs="Times New Roman"/>
        </w:rPr>
        <w:fldChar w:fldCharType="end"/>
      </w:r>
      <w:r w:rsidRPr="005F5E3B">
        <w:rPr>
          <w:rFonts w:cs="Times New Roman"/>
        </w:rPr>
      </w:r>
      <w:r w:rsidRPr="005F5E3B">
        <w:rPr>
          <w:rFonts w:cs="Times New Roman"/>
        </w:rPr>
        <w:fldChar w:fldCharType="separate"/>
      </w:r>
      <w:r w:rsidR="00D25C9A" w:rsidRPr="005F5E3B">
        <w:rPr>
          <w:rFonts w:cs="Times New Roman"/>
          <w:noProof/>
        </w:rPr>
        <w:t>(Joyce et al. 2022; Kulkarni et al. 2009)</w:t>
      </w:r>
      <w:r w:rsidRPr="005F5E3B">
        <w:rPr>
          <w:rFonts w:cs="Times New Roman"/>
        </w:rPr>
        <w:fldChar w:fldCharType="end"/>
      </w:r>
      <w:r w:rsidRPr="005F5E3B">
        <w:rPr>
          <w:rFonts w:cs="Times New Roman"/>
        </w:rPr>
        <w:t xml:space="preserve">. This reduction corresponds to the administration of three courses of </w:t>
      </w:r>
      <w:proofErr w:type="spellStart"/>
      <w:r w:rsidRPr="005F5E3B">
        <w:rPr>
          <w:rFonts w:cs="Times New Roman"/>
        </w:rPr>
        <w:t>ddMVAC</w:t>
      </w:r>
      <w:proofErr w:type="spellEnd"/>
      <w:r w:rsidRPr="005F5E3B">
        <w:rPr>
          <w:rFonts w:cs="Times New Roman"/>
        </w:rPr>
        <w:t xml:space="preserve"> over 4 weeks, followed by RC 32 days later, based on the median time between the last chemotherapy course and RC in Sweden from 2020-2022 (RODRET)). On </w:t>
      </w:r>
      <w:r w:rsidRPr="005F5E3B">
        <w:rPr>
          <w:rFonts w:cs="Times New Roman"/>
          <w:lang w:val="en-GB"/>
        </w:rPr>
        <w:t xml:space="preserve">the day of RC, the baseline QALY for patients receiving NAC from the </w:t>
      </w:r>
      <w:proofErr w:type="spellStart"/>
      <w:r w:rsidRPr="005F5E3B">
        <w:rPr>
          <w:rFonts w:cs="Times New Roman"/>
          <w:lang w:val="en-GB"/>
        </w:rPr>
        <w:t>iROC</w:t>
      </w:r>
      <w:proofErr w:type="spellEnd"/>
      <w:r w:rsidRPr="005F5E3B">
        <w:rPr>
          <w:rFonts w:cs="Times New Roman"/>
          <w:lang w:val="en-GB"/>
        </w:rPr>
        <w:t xml:space="preserve"> trial was retrieved (0.909). The disutility for RC</w:t>
      </w:r>
      <w:r w:rsidRPr="005F5E3B">
        <w:rPr>
          <w:rFonts w:cs="Times New Roman"/>
        </w:rPr>
        <w:t xml:space="preserve"> was 0.114 resulting in a postoperative QALY of 0.795. For upfront RC, we obtained QALY data from the </w:t>
      </w:r>
      <w:proofErr w:type="spellStart"/>
      <w:r w:rsidRPr="005F5E3B">
        <w:rPr>
          <w:rFonts w:cs="Times New Roman"/>
        </w:rPr>
        <w:t>iROC</w:t>
      </w:r>
      <w:proofErr w:type="spellEnd"/>
      <w:r w:rsidRPr="005F5E3B">
        <w:rPr>
          <w:rFonts w:cs="Times New Roman"/>
        </w:rPr>
        <w:t xml:space="preserve"> trial at 35 days in patients receiving NAC was obtained (0.833). Similarly, at day 84 after RC, QALY returns to 0.899 according to </w:t>
      </w:r>
      <w:proofErr w:type="spellStart"/>
      <w:r w:rsidRPr="005F5E3B">
        <w:rPr>
          <w:rFonts w:cs="Times New Roman"/>
        </w:rPr>
        <w:t>iROC</w:t>
      </w:r>
      <w:proofErr w:type="spellEnd"/>
      <w:r w:rsidRPr="005F5E3B">
        <w:rPr>
          <w:rFonts w:cs="Times New Roman"/>
        </w:rPr>
        <w:t xml:space="preserve"> data (Catto, </w:t>
      </w:r>
      <w:proofErr w:type="spellStart"/>
      <w:r w:rsidRPr="005F5E3B">
        <w:rPr>
          <w:rFonts w:cs="Times New Roman"/>
        </w:rPr>
        <w:t>Khetrapal</w:t>
      </w:r>
      <w:proofErr w:type="spellEnd"/>
      <w:r w:rsidRPr="005F5E3B">
        <w:rPr>
          <w:rFonts w:cs="Times New Roman"/>
        </w:rPr>
        <w:t>, et al. 2022).</w:t>
      </w:r>
      <w:r w:rsidRPr="005F5E3B">
        <w:rPr>
          <w:rFonts w:ascii="Söhne" w:hAnsi="Söhne"/>
        </w:rPr>
        <w:t xml:space="preserve"> </w:t>
      </w:r>
      <w:r w:rsidRPr="005F5E3B">
        <w:rPr>
          <w:rFonts w:cs="Times New Roman"/>
        </w:rPr>
        <w:t xml:space="preserve">Subsequently, we assumed that utility returns to preoperative levels (0.914) at one year. Using the area under the curve method </w:t>
      </w:r>
      <w:r w:rsidRPr="005F5E3B">
        <w:rPr>
          <w:rFonts w:cs="Times New Roman"/>
        </w:rPr>
        <w:fldChar w:fldCharType="begin"/>
      </w:r>
      <w:r w:rsidR="00D25C9A" w:rsidRPr="005F5E3B">
        <w:rPr>
          <w:rFonts w:cs="Times New Roman"/>
        </w:rPr>
        <w:instrText xml:space="preserve"> ADDIN EN.CITE &lt;EndNote&gt;&lt;Cite&gt;&lt;Author&gt;Whitehead&lt;/Author&gt;&lt;Year&gt;2010&lt;/Year&gt;&lt;RecNum&gt;70&lt;/RecNum&gt;&lt;DisplayText&gt;(Whitehead and Ali 2010)&lt;/DisplayText&gt;&lt;record&gt;&lt;rec-number&gt;70&lt;/rec-number&gt;&lt;foreign-keys&gt;&lt;key app="EN" db-id="e5atwdstq9d59wezwsa5aww40v02s9zxs90f" timestamp="1302517223"&gt;70&lt;/key&gt;&lt;/foreign-keys&gt;&lt;ref-type name="Journal Article"&gt;17&lt;/ref-type&gt;&lt;contributors&gt;&lt;authors&gt;&lt;author&gt;Whitehead, Sarah J.&lt;/author&gt;&lt;author&gt;Ali, Shehzad&lt;/author&gt;&lt;/authors&gt;&lt;/contributors&gt;&lt;titles&gt;&lt;title&gt;Health outcomes in economic evaluation: the QALY and utilities&lt;/title&gt;&lt;secondary-title&gt;British Medical Bulletin&lt;/secondary-title&gt;&lt;/titles&gt;&lt;periodical&gt;&lt;full-title&gt;British Medical Bulletin&lt;/full-title&gt;&lt;/periodical&gt;&lt;pages&gt;5-21&lt;/pages&gt;&lt;volume&gt;96&lt;/volume&gt;&lt;number&gt;1&lt;/number&gt;&lt;dates&gt;&lt;year&gt;2010&lt;/year&gt;&lt;pub-dates&gt;&lt;date&gt;December 1, 2010&lt;/date&gt;&lt;/pub-dates&gt;&lt;/dates&gt;&lt;urls&gt;&lt;related-urls&gt;&lt;url&gt;http://bmb.oxfordjournals.org/content/96/1/5.abstract&lt;/url&gt;&lt;url&gt;http://bmb.oxfordjournals.org/content/96/1/5.full.pdf&lt;/url&gt;&lt;/related-urls&gt;&lt;/urls&gt;&lt;electronic-resource-num&gt;10.1093/bmb/ldq033&lt;/electronic-resource-num&gt;&lt;/record&gt;&lt;/Cite&gt;&lt;/EndNote&gt;</w:instrText>
      </w:r>
      <w:r w:rsidRPr="005F5E3B">
        <w:rPr>
          <w:rFonts w:cs="Times New Roman"/>
        </w:rPr>
        <w:fldChar w:fldCharType="separate"/>
      </w:r>
      <w:r w:rsidR="00D25C9A" w:rsidRPr="005F5E3B">
        <w:rPr>
          <w:rFonts w:cs="Times New Roman"/>
          <w:noProof/>
        </w:rPr>
        <w:t>(Whitehead and Ali 2010)</w:t>
      </w:r>
      <w:r w:rsidRPr="005F5E3B">
        <w:rPr>
          <w:rFonts w:cs="Times New Roman"/>
        </w:rPr>
        <w:fldChar w:fldCharType="end"/>
      </w:r>
      <w:r w:rsidRPr="005F5E3B">
        <w:rPr>
          <w:rFonts w:cs="Times New Roman"/>
        </w:rPr>
        <w:t>, we have estimated the QALY for 365 days  (see Figure S2)</w:t>
      </w:r>
    </w:p>
    <w:p w14:paraId="4B9930B9" w14:textId="77777777" w:rsidR="0061082A" w:rsidRPr="005F5E3B" w:rsidRDefault="0061082A" w:rsidP="0061082A">
      <w:pPr>
        <w:spacing w:line="360" w:lineRule="auto"/>
        <w:jc w:val="both"/>
        <w:rPr>
          <w:rFonts w:cs="Times New Roman"/>
          <w:i/>
          <w:iCs/>
        </w:rPr>
      </w:pPr>
      <w:r w:rsidRPr="005F5E3B">
        <w:rPr>
          <w:rFonts w:cs="Times New Roman"/>
          <w:i/>
          <w:iCs/>
          <w:noProof/>
        </w:rPr>
        <w:drawing>
          <wp:inline distT="0" distB="0" distL="0" distR="0" wp14:anchorId="548542D4" wp14:editId="1761914A">
            <wp:extent cx="5731510" cy="3223895"/>
            <wp:effectExtent l="0" t="0" r="0" b="1905"/>
            <wp:docPr id="413925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25753" name=""/>
                    <pic:cNvPicPr/>
                  </pic:nvPicPr>
                  <pic:blipFill>
                    <a:blip r:embed="rId13"/>
                    <a:stretch>
                      <a:fillRect/>
                    </a:stretch>
                  </pic:blipFill>
                  <pic:spPr>
                    <a:xfrm>
                      <a:off x="0" y="0"/>
                      <a:ext cx="5731510" cy="3223895"/>
                    </a:xfrm>
                    <a:prstGeom prst="rect">
                      <a:avLst/>
                    </a:prstGeom>
                  </pic:spPr>
                </pic:pic>
              </a:graphicData>
            </a:graphic>
          </wp:inline>
        </w:drawing>
      </w:r>
    </w:p>
    <w:p w14:paraId="4EEF0AB0" w14:textId="17E1D933" w:rsidR="0061082A" w:rsidRPr="005F5E3B" w:rsidRDefault="0061082A" w:rsidP="0061082A">
      <w:pPr>
        <w:pStyle w:val="Heading3"/>
        <w:numPr>
          <w:ilvl w:val="1"/>
          <w:numId w:val="26"/>
        </w:numPr>
        <w:rPr>
          <w:i/>
          <w:iCs/>
        </w:rPr>
      </w:pPr>
      <w:r w:rsidRPr="005F5E3B">
        <w:rPr>
          <w:i/>
          <w:iCs/>
        </w:rPr>
        <w:t>QALY estimation for patients receiving RC and four course of AC</w:t>
      </w:r>
    </w:p>
    <w:p w14:paraId="7E859F83" w14:textId="50867808" w:rsidR="0061082A" w:rsidRPr="005F5E3B" w:rsidRDefault="0061082A" w:rsidP="0061082A">
      <w:pPr>
        <w:spacing w:line="360" w:lineRule="auto"/>
        <w:jc w:val="both"/>
        <w:rPr>
          <w:rFonts w:cs="Times New Roman"/>
        </w:rPr>
      </w:pPr>
      <w:r w:rsidRPr="005F5E3B">
        <w:rPr>
          <w:rFonts w:cs="Times New Roman"/>
        </w:rPr>
        <w:t xml:space="preserve">The postoperative QALY loss due to RC was 0.114 (0.80 QALY) based on studies by </w:t>
      </w:r>
      <w:r w:rsidRPr="005F5E3B">
        <w:rPr>
          <w:rFonts w:cs="Times New Roman"/>
        </w:rPr>
        <w:fldChar w:fldCharType="begin">
          <w:fldData xml:space="preserve">PEVuZE5vdGU+PENpdGU+PEF1dGhvcj5Kb3ljZTwvQXV0aG9yPjxZZWFyPjIwMjI8L1llYXI+PFJl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</w:fldData>
        </w:fldChar>
      </w:r>
      <w:r w:rsidR="00D25C9A" w:rsidRPr="005F5E3B">
        <w:rPr>
          <w:rFonts w:cs="Times New Roman"/>
        </w:rPr>
        <w:instrText xml:space="preserve"> ADDIN EN.CITE </w:instrText>
      </w:r>
      <w:r w:rsidR="00D25C9A" w:rsidRPr="005F5E3B">
        <w:rPr>
          <w:rFonts w:cs="Times New Roman"/>
        </w:rPr>
        <w:fldChar w:fldCharType="begin">
          <w:fldData xml:space="preserve">PEVuZE5vdGU+PENpdGU+PEF1dGhvcj5Kb3ljZTwvQXV0aG9yPjxZZWFyPjIwMjI8L1llYXI+PFJl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</w:fldData>
        </w:fldChar>
      </w:r>
      <w:r w:rsidR="00D25C9A" w:rsidRPr="005F5E3B">
        <w:rPr>
          <w:rFonts w:cs="Times New Roman"/>
        </w:rPr>
        <w:instrText xml:space="preserve"> ADDIN EN.CITE.DATA </w:instrText>
      </w:r>
      <w:r w:rsidR="00D25C9A" w:rsidRPr="005F5E3B">
        <w:rPr>
          <w:rFonts w:cs="Times New Roman"/>
        </w:rPr>
      </w:r>
      <w:r w:rsidR="00D25C9A" w:rsidRPr="005F5E3B">
        <w:rPr>
          <w:rFonts w:cs="Times New Roman"/>
        </w:rPr>
        <w:fldChar w:fldCharType="end"/>
      </w:r>
      <w:r w:rsidRPr="005F5E3B">
        <w:rPr>
          <w:rFonts w:cs="Times New Roman"/>
        </w:rPr>
      </w:r>
      <w:r w:rsidRPr="005F5E3B">
        <w:rPr>
          <w:rFonts w:cs="Times New Roman"/>
        </w:rPr>
        <w:fldChar w:fldCharType="separate"/>
      </w:r>
      <w:r w:rsidR="00D25C9A" w:rsidRPr="005F5E3B">
        <w:rPr>
          <w:rFonts w:cs="Times New Roman"/>
          <w:noProof/>
        </w:rPr>
        <w:t>(Joyce et al. 2022; Kulkarni et al. 2009)</w:t>
      </w:r>
      <w:r w:rsidRPr="005F5E3B">
        <w:rPr>
          <w:rFonts w:cs="Times New Roman"/>
        </w:rPr>
        <w:fldChar w:fldCharType="end"/>
      </w:r>
      <w:r w:rsidRPr="005F5E3B">
        <w:rPr>
          <w:rFonts w:cs="Times New Roman"/>
        </w:rPr>
        <w:t xml:space="preserve">. For the initial 35 days, patients experience a QALY loss due to RC, as per the </w:t>
      </w:r>
      <w:proofErr w:type="spellStart"/>
      <w:r w:rsidRPr="005F5E3B">
        <w:rPr>
          <w:rFonts w:cs="Times New Roman"/>
        </w:rPr>
        <w:t>iROC</w:t>
      </w:r>
      <w:proofErr w:type="spellEnd"/>
      <w:r w:rsidRPr="005F5E3B">
        <w:rPr>
          <w:rFonts w:cs="Times New Roman"/>
        </w:rPr>
        <w:t xml:space="preserve"> trial (0.84 QALY). At day 84 day, the utility increased to 0.897. Following the approach from the largest AC trial in bladder cancer (Sternberg et al, lancet oncology 2015), where chemotherapy should be administered within 90 days of RC, we assumed that from day 85 and for an </w:t>
      </w:r>
      <w:r w:rsidRPr="005F5E3B">
        <w:rPr>
          <w:rFonts w:cs="Times New Roman"/>
        </w:rPr>
        <w:lastRenderedPageBreak/>
        <w:t xml:space="preserve">additional 42 days receiving AC with 4 courses of </w:t>
      </w:r>
      <w:proofErr w:type="spellStart"/>
      <w:r w:rsidRPr="005F5E3B">
        <w:rPr>
          <w:rFonts w:cs="Times New Roman"/>
        </w:rPr>
        <w:t>ddMVAC</w:t>
      </w:r>
      <w:proofErr w:type="spellEnd"/>
      <w:r w:rsidRPr="005F5E3B">
        <w:rPr>
          <w:rFonts w:cs="Times New Roman"/>
        </w:rPr>
        <w:t xml:space="preserve">, the disutility was 0.36 (Kulkarni et al). After NAC, we estimate that QALY returns to baseline in 32 days after the last chemotherapy course (equal to day 156 after RC). For the remainder of the year, patients return to baseline QALY. The QALY for 365 days has been estimated using the area under the curve method </w:t>
      </w:r>
      <w:r w:rsidRPr="005F5E3B">
        <w:rPr>
          <w:rFonts w:cs="Times New Roman"/>
        </w:rPr>
        <w:fldChar w:fldCharType="begin"/>
      </w:r>
      <w:r w:rsidR="00D25C9A" w:rsidRPr="005F5E3B">
        <w:rPr>
          <w:rFonts w:cs="Times New Roman"/>
        </w:rPr>
        <w:instrText xml:space="preserve"> ADDIN EN.CITE &lt;EndNote&gt;&lt;Cite&gt;&lt;Author&gt;Whitehead&lt;/Author&gt;&lt;Year&gt;2010&lt;/Year&gt;&lt;RecNum&gt;70&lt;/RecNum&gt;&lt;DisplayText&gt;(Whitehead and Ali 2010)&lt;/DisplayText&gt;&lt;record&gt;&lt;rec-number&gt;70&lt;/rec-number&gt;&lt;foreign-keys&gt;&lt;key app="EN" db-id="e5atwdstq9d59wezwsa5aww40v02s9zxs90f" timestamp="1302517223"&gt;70&lt;/key&gt;&lt;/foreign-keys&gt;&lt;ref-type name="Journal Article"&gt;17&lt;/ref-type&gt;&lt;contributors&gt;&lt;authors&gt;&lt;author&gt;Whitehead, Sarah J.&lt;/author&gt;&lt;author&gt;Ali, Shehzad&lt;/author&gt;&lt;/authors&gt;&lt;/contributors&gt;&lt;titles&gt;&lt;title&gt;Health outcomes in economic evaluation: the QALY and utilities&lt;/title&gt;&lt;secondary-title&gt;British Medical Bulletin&lt;/secondary-title&gt;&lt;/titles&gt;&lt;periodical&gt;&lt;full-title&gt;British Medical Bulletin&lt;/full-title&gt;&lt;/periodical&gt;&lt;pages&gt;5-21&lt;/pages&gt;&lt;volume&gt;96&lt;/volume&gt;&lt;number&gt;1&lt;/number&gt;&lt;dates&gt;&lt;year&gt;2010&lt;/year&gt;&lt;pub-dates&gt;&lt;date&gt;December 1, 2010&lt;/date&gt;&lt;/pub-dates&gt;&lt;/dates&gt;&lt;urls&gt;&lt;related-urls&gt;&lt;url&gt;http://bmb.oxfordjournals.org/content/96/1/5.abstract&lt;/url&gt;&lt;url&gt;http://bmb.oxfordjournals.org/content/96/1/5.full.pdf&lt;/url&gt;&lt;/related-urls&gt;&lt;/urls&gt;&lt;electronic-resource-num&gt;10.1093/bmb/ldq033&lt;/electronic-resource-num&gt;&lt;/record&gt;&lt;/Cite&gt;&lt;/EndNote&gt;</w:instrText>
      </w:r>
      <w:r w:rsidRPr="005F5E3B">
        <w:rPr>
          <w:rFonts w:cs="Times New Roman"/>
        </w:rPr>
        <w:fldChar w:fldCharType="separate"/>
      </w:r>
      <w:r w:rsidR="00D25C9A" w:rsidRPr="005F5E3B">
        <w:rPr>
          <w:rFonts w:cs="Times New Roman"/>
          <w:noProof/>
        </w:rPr>
        <w:t>(Whitehead and Ali 2010)</w:t>
      </w:r>
      <w:r w:rsidRPr="005F5E3B">
        <w:rPr>
          <w:rFonts w:cs="Times New Roman"/>
        </w:rPr>
        <w:fldChar w:fldCharType="end"/>
      </w:r>
      <w:r w:rsidRPr="005F5E3B">
        <w:rPr>
          <w:rFonts w:cs="Times New Roman"/>
        </w:rPr>
        <w:t xml:space="preserve"> (Figure S3).</w:t>
      </w:r>
    </w:p>
    <w:p w14:paraId="67456F21" w14:textId="77777777" w:rsidR="0061082A" w:rsidRPr="005F5E3B" w:rsidRDefault="0061082A" w:rsidP="0061082A">
      <w:pPr>
        <w:spacing w:line="360" w:lineRule="auto"/>
        <w:jc w:val="both"/>
        <w:rPr>
          <w:rFonts w:cs="Times New Roman"/>
        </w:rPr>
      </w:pPr>
      <w:r w:rsidRPr="005F5E3B">
        <w:rPr>
          <w:rFonts w:cs="Times New Roman"/>
          <w:noProof/>
        </w:rPr>
        <w:drawing>
          <wp:inline distT="0" distB="0" distL="0" distR="0" wp14:anchorId="150F884C" wp14:editId="0FEC78DF">
            <wp:extent cx="5731510" cy="3223895"/>
            <wp:effectExtent l="0" t="0" r="0" b="1905"/>
            <wp:docPr id="2073239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39956" name=""/>
                    <pic:cNvPicPr/>
                  </pic:nvPicPr>
                  <pic:blipFill>
                    <a:blip r:embed="rId14"/>
                    <a:stretch>
                      <a:fillRect/>
                    </a:stretch>
                  </pic:blipFill>
                  <pic:spPr>
                    <a:xfrm>
                      <a:off x="0" y="0"/>
                      <a:ext cx="5731510" cy="3223895"/>
                    </a:xfrm>
                    <a:prstGeom prst="rect">
                      <a:avLst/>
                    </a:prstGeom>
                  </pic:spPr>
                </pic:pic>
              </a:graphicData>
            </a:graphic>
          </wp:inline>
        </w:drawing>
      </w:r>
    </w:p>
    <w:p w14:paraId="6DC53FA5" w14:textId="77777777" w:rsidR="0061082A" w:rsidRPr="005F5E3B" w:rsidRDefault="0061082A" w:rsidP="0061082A">
      <w:pPr>
        <w:rPr>
          <w:lang w:val="en-GB"/>
        </w:rPr>
      </w:pPr>
    </w:p>
    <w:p w14:paraId="4327840B" w14:textId="77777777" w:rsidR="0061082A" w:rsidRPr="005F5E3B" w:rsidRDefault="0061082A" w:rsidP="0061082A">
      <w:pPr>
        <w:pStyle w:val="Heading2"/>
        <w:numPr>
          <w:ilvl w:val="0"/>
          <w:numId w:val="0"/>
        </w:numPr>
        <w:ind w:left="567" w:hanging="567"/>
      </w:pPr>
      <w:r w:rsidRPr="005F5E3B">
        <w:t>Section 3: Scenario analyses</w:t>
      </w:r>
    </w:p>
    <w:p w14:paraId="7869AE8D" w14:textId="42165159" w:rsidR="0061082A" w:rsidRPr="005F5E3B" w:rsidRDefault="0061082A" w:rsidP="0061082A">
      <w:pPr>
        <w:pStyle w:val="Heading2"/>
        <w:numPr>
          <w:ilvl w:val="1"/>
          <w:numId w:val="27"/>
        </w:numPr>
        <w:rPr>
          <w:i/>
          <w:iCs/>
          <w:lang w:val="en-GB" w:bidi="bn-IN"/>
        </w:rPr>
      </w:pPr>
      <w:r w:rsidRPr="005F5E3B">
        <w:rPr>
          <w:i/>
          <w:iCs/>
          <w:lang w:val="en-GB" w:bidi="bn-IN"/>
        </w:rPr>
        <w:t>First scenario analysis</w:t>
      </w:r>
    </w:p>
    <w:p w14:paraId="095A4166" w14:textId="013688EF" w:rsidR="0061082A" w:rsidRPr="005F5E3B" w:rsidRDefault="0061082A" w:rsidP="0061082A">
      <w:pPr>
        <w:spacing w:line="360" w:lineRule="auto"/>
        <w:rPr>
          <w:rFonts w:cs="Times New Roman"/>
          <w:lang w:val="en-GB" w:bidi="en-US"/>
        </w:rPr>
      </w:pPr>
      <w:r w:rsidRPr="005F5E3B">
        <w:rPr>
          <w:rFonts w:cs="Times New Roman"/>
          <w:lang w:val="en-GB" w:bidi="bn-IN"/>
        </w:rPr>
        <w:t xml:space="preserve">In our base case analysis, only 5.3% (n=73) patients received AC after RC. With information retrieved from the cystectomy specimen after RC on pathological tumour stage and nodal stage, where patients are both upstaged and down staged compared to their preoperative clinical tumour stage, we used information in </w:t>
      </w:r>
      <w:proofErr w:type="spellStart"/>
      <w:r w:rsidRPr="005F5E3B">
        <w:rPr>
          <w:rFonts w:cs="Times New Roman"/>
          <w:lang w:val="en-GB" w:bidi="bn-IN"/>
        </w:rPr>
        <w:t>BladderBaSe</w:t>
      </w:r>
      <w:proofErr w:type="spellEnd"/>
      <w:r w:rsidRPr="005F5E3B">
        <w:rPr>
          <w:rFonts w:cs="Times New Roman"/>
          <w:lang w:val="en-GB" w:bidi="bn-IN"/>
        </w:rPr>
        <w:t xml:space="preserve"> 2.0 on pathological tumour stage (available from 2008 and onwards). Thus, we estimated survival probabilities based on this information for patients with Ba/</w:t>
      </w:r>
      <w:proofErr w:type="spellStart"/>
      <w:r w:rsidRPr="005F5E3B">
        <w:rPr>
          <w:rFonts w:cs="Times New Roman"/>
          <w:lang w:val="en-GB" w:bidi="bn-IN"/>
        </w:rPr>
        <w:t>Sq</w:t>
      </w:r>
      <w:proofErr w:type="spellEnd"/>
      <w:r w:rsidRPr="005F5E3B">
        <w:rPr>
          <w:rFonts w:cs="Times New Roman"/>
          <w:lang w:val="en-GB" w:bidi="bn-IN"/>
        </w:rPr>
        <w:t xml:space="preserve"> subtype and good prognosis according to the cystectomy specimen (see Table 1 for definition) (n=191). To assume that </w:t>
      </w:r>
      <w:r w:rsidRPr="005F5E3B">
        <w:rPr>
          <w:rFonts w:cs="Times New Roman"/>
          <w:lang w:val="en-GB" w:bidi="en-US"/>
        </w:rPr>
        <w:t>these patients, where molecular subtypes are not known, represent survival probabilities in patients with Ba/</w:t>
      </w:r>
      <w:proofErr w:type="spellStart"/>
      <w:r w:rsidRPr="005F5E3B">
        <w:rPr>
          <w:rFonts w:cs="Times New Roman"/>
          <w:lang w:val="en-GB" w:bidi="en-US"/>
        </w:rPr>
        <w:t>Sq</w:t>
      </w:r>
      <w:proofErr w:type="spellEnd"/>
      <w:r w:rsidRPr="005F5E3B">
        <w:rPr>
          <w:rFonts w:cs="Times New Roman"/>
          <w:lang w:val="en-GB" w:bidi="en-US"/>
        </w:rPr>
        <w:t xml:space="preserve"> tumours is supported by the lack of prognostic information by molecular subtypes in patients treated with upfront RC </w:t>
      </w:r>
      <w:r w:rsidRPr="005F5E3B">
        <w:rPr>
          <w:rFonts w:cs="Times New Roman"/>
          <w:lang w:val="en-GB" w:bidi="en-US"/>
        </w:rPr>
        <w:fldChar w:fldCharType="begin">
          <w:fldData xml:space="preserve">PEVuZE5vdGU+PENpdGU+PEF1dGhvcj5Lb2xsYmVyZzwvQXV0aG9yPjxZZWFyPjIwMTk8L1llYXI+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</w:fldData>
        </w:fldChar>
      </w:r>
      <w:r w:rsidR="00D25C9A" w:rsidRPr="005F5E3B">
        <w:rPr>
          <w:rFonts w:cs="Times New Roman"/>
          <w:lang w:val="en-GB" w:bidi="en-US"/>
        </w:rPr>
        <w:instrText xml:space="preserve"> ADDIN EN.CITE </w:instrText>
      </w:r>
      <w:r w:rsidR="00D25C9A" w:rsidRPr="005F5E3B">
        <w:rPr>
          <w:rFonts w:cs="Times New Roman"/>
          <w:lang w:val="en-GB" w:bidi="en-US"/>
        </w:rPr>
        <w:fldChar w:fldCharType="begin">
          <w:fldData xml:space="preserve">PEVuZE5vdGU+PENpdGU+PEF1dGhvcj5Lb2xsYmVyZzwvQXV0aG9yPjxZZWFyPjIwMTk8L1llYXI+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</w:fldData>
        </w:fldChar>
      </w:r>
      <w:r w:rsidR="00D25C9A" w:rsidRPr="005F5E3B">
        <w:rPr>
          <w:rFonts w:cs="Times New Roman"/>
          <w:lang w:val="en-GB" w:bidi="en-US"/>
        </w:rPr>
        <w:instrText xml:space="preserve"> ADDIN EN.CITE.DATA </w:instrText>
      </w:r>
      <w:r w:rsidR="00D25C9A" w:rsidRPr="005F5E3B">
        <w:rPr>
          <w:rFonts w:cs="Times New Roman"/>
          <w:lang w:val="en-GB" w:bidi="en-US"/>
        </w:rPr>
      </w:r>
      <w:r w:rsidR="00D25C9A" w:rsidRPr="005F5E3B">
        <w:rPr>
          <w:rFonts w:cs="Times New Roman"/>
          <w:lang w:val="en-GB" w:bidi="en-US"/>
        </w:rPr>
        <w:fldChar w:fldCharType="end"/>
      </w:r>
      <w:r w:rsidRPr="005F5E3B">
        <w:rPr>
          <w:rFonts w:cs="Times New Roman"/>
          <w:lang w:val="en-GB" w:bidi="en-US"/>
        </w:rPr>
      </w:r>
      <w:r w:rsidRPr="005F5E3B">
        <w:rPr>
          <w:rFonts w:cs="Times New Roman"/>
          <w:lang w:val="en-GB" w:bidi="en-US"/>
        </w:rPr>
        <w:fldChar w:fldCharType="separate"/>
      </w:r>
      <w:r w:rsidR="00D25C9A" w:rsidRPr="005F5E3B">
        <w:rPr>
          <w:rFonts w:cs="Times New Roman"/>
          <w:noProof/>
          <w:lang w:val="en-GB" w:bidi="en-US"/>
        </w:rPr>
        <w:t>(Kollberg et al. 2019)</w:t>
      </w:r>
      <w:r w:rsidRPr="005F5E3B">
        <w:rPr>
          <w:rFonts w:cs="Times New Roman"/>
          <w:lang w:val="en-GB" w:bidi="en-US"/>
        </w:rPr>
        <w:fldChar w:fldCharType="end"/>
      </w:r>
      <w:r w:rsidRPr="005F5E3B">
        <w:rPr>
          <w:rFonts w:cs="Times New Roman"/>
          <w:lang w:val="en-GB" w:bidi="en-US"/>
        </w:rPr>
        <w:t>.</w:t>
      </w:r>
    </w:p>
    <w:p w14:paraId="16C6EE79" w14:textId="77777777" w:rsidR="0061082A" w:rsidRPr="005F5E3B" w:rsidRDefault="0061082A" w:rsidP="0061082A">
      <w:pPr>
        <w:pStyle w:val="Heading2"/>
        <w:numPr>
          <w:ilvl w:val="1"/>
          <w:numId w:val="27"/>
        </w:numPr>
        <w:rPr>
          <w:i/>
          <w:iCs/>
          <w:lang w:val="en-GB" w:bidi="bn-IN"/>
        </w:rPr>
      </w:pPr>
      <w:r w:rsidRPr="005F5E3B">
        <w:rPr>
          <w:i/>
          <w:iCs/>
          <w:lang w:val="en-GB" w:bidi="bn-IN"/>
        </w:rPr>
        <w:lastRenderedPageBreak/>
        <w:t>Second scenario analysis</w:t>
      </w:r>
    </w:p>
    <w:p w14:paraId="68B76701" w14:textId="77777777" w:rsidR="0061082A" w:rsidRPr="005F5E3B" w:rsidRDefault="0061082A" w:rsidP="0061082A">
      <w:pPr>
        <w:spacing w:line="360" w:lineRule="auto"/>
        <w:jc w:val="both"/>
        <w:rPr>
          <w:rFonts w:cs="Times New Roman"/>
        </w:rPr>
      </w:pPr>
      <w:r w:rsidRPr="005F5E3B">
        <w:rPr>
          <w:rFonts w:cs="Times New Roman"/>
          <w:lang w:val="en-GB" w:bidi="bn-IN"/>
        </w:rPr>
        <w:t xml:space="preserve">Patients receiving NAC (n=553, Figure 1) generally have better physiological characteristics (e.g., younger, have less co-morbidities, better renal function etc.) than patients receiving RC only (n=1297, Figure 1). </w:t>
      </w:r>
      <w:r w:rsidRPr="005F5E3B">
        <w:rPr>
          <w:rFonts w:cs="Times New Roman"/>
          <w:lang w:val="en-GB" w:bidi="en-US"/>
        </w:rPr>
        <w:t xml:space="preserve">To adjust for known confounders, </w:t>
      </w:r>
      <w:r w:rsidRPr="005F5E3B">
        <w:rPr>
          <w:rFonts w:cs="Times New Roman"/>
        </w:rPr>
        <w:t xml:space="preserve">we used propensity score matching (PSM) to identify the match for the patients treated with NAC+RC (n=553) from the patients treated with RC only (n=1297) in the </w:t>
      </w:r>
      <w:proofErr w:type="spellStart"/>
      <w:r w:rsidRPr="005F5E3B">
        <w:rPr>
          <w:rFonts w:cs="Times New Roman"/>
        </w:rPr>
        <w:t>BladderBase</w:t>
      </w:r>
      <w:proofErr w:type="spellEnd"/>
      <w:r w:rsidRPr="005F5E3B">
        <w:rPr>
          <w:rFonts w:cs="Times New Roman"/>
        </w:rPr>
        <w:t xml:space="preserve"> 2.0 database. We used Probit regression, where variables included in the model were age, Charlson comorbidity index, clinical </w:t>
      </w:r>
      <w:proofErr w:type="spellStart"/>
      <w:r w:rsidRPr="005F5E3B">
        <w:rPr>
          <w:rFonts w:cs="Times New Roman"/>
        </w:rPr>
        <w:t>tumour</w:t>
      </w:r>
      <w:proofErr w:type="spellEnd"/>
      <w:r w:rsidRPr="005F5E3B">
        <w:rPr>
          <w:rFonts w:cs="Times New Roman"/>
        </w:rPr>
        <w:t xml:space="preserve"> stage, sex, educational status, grade, and healthcare region where the patients were treated based on known confounders (Table S7). Caliper matching with a width of 0.2 with no replacement and 1 to 1 matching method was used to identify the patients. We </w:t>
      </w:r>
      <w:r w:rsidRPr="005F5E3B">
        <w:rPr>
          <w:rFonts w:cs="Times New Roman"/>
          <w:lang w:val="en-GB"/>
        </w:rPr>
        <w:t>estimated survival probabilities among those as a proxy for patients with good prognosis according to the cystectomy specimen (n=92).</w:t>
      </w:r>
    </w:p>
    <w:p w14:paraId="5EF78367" w14:textId="77777777" w:rsidR="0061082A" w:rsidRPr="005F5E3B" w:rsidRDefault="0061082A" w:rsidP="0061082A">
      <w:pPr>
        <w:spacing w:line="480" w:lineRule="auto"/>
        <w:rPr>
          <w:rFonts w:cs="Times New Roman"/>
        </w:rPr>
      </w:pPr>
      <w:r w:rsidRPr="005F5E3B">
        <w:rPr>
          <w:rFonts w:cs="Times New Roman"/>
        </w:rPr>
        <w:t>Table S7: The characteristics of the patients before and after propensity score matching</w:t>
      </w:r>
    </w:p>
    <w:tbl>
      <w:tblPr>
        <w:tblStyle w:val="TableGrid"/>
        <w:tblW w:w="0" w:type="auto"/>
        <w:tblLayout w:type="fixed"/>
        <w:tblLook w:val="04A0" w:firstRow="1" w:lastRow="0" w:firstColumn="1" w:lastColumn="0" w:noHBand="0" w:noVBand="1"/>
      </w:tblPr>
      <w:tblGrid>
        <w:gridCol w:w="2263"/>
        <w:gridCol w:w="1276"/>
        <w:gridCol w:w="1276"/>
        <w:gridCol w:w="850"/>
        <w:gridCol w:w="1276"/>
        <w:gridCol w:w="1220"/>
        <w:gridCol w:w="855"/>
      </w:tblGrid>
      <w:tr w:rsidR="005F5E3B" w:rsidRPr="005F5E3B" w14:paraId="71E47C55" w14:textId="77777777" w:rsidTr="002F1753">
        <w:tc>
          <w:tcPr>
            <w:tcW w:w="2263" w:type="dxa"/>
          </w:tcPr>
          <w:p w14:paraId="5878F1CA" w14:textId="77777777" w:rsidR="0061082A" w:rsidRPr="005F5E3B" w:rsidRDefault="0061082A" w:rsidP="0061082A">
            <w:pPr>
              <w:pStyle w:val="NoSpacing"/>
            </w:pPr>
            <w:r w:rsidRPr="005F5E3B">
              <w:t>Variables</w:t>
            </w:r>
          </w:p>
        </w:tc>
        <w:tc>
          <w:tcPr>
            <w:tcW w:w="3402" w:type="dxa"/>
            <w:gridSpan w:val="3"/>
          </w:tcPr>
          <w:p w14:paraId="32E0B763" w14:textId="77777777" w:rsidR="0061082A" w:rsidRPr="005F5E3B" w:rsidRDefault="0061082A" w:rsidP="0061082A">
            <w:pPr>
              <w:pStyle w:val="NoSpacing"/>
            </w:pPr>
            <w:r w:rsidRPr="005F5E3B">
              <w:t>Before Matching</w:t>
            </w:r>
          </w:p>
        </w:tc>
        <w:tc>
          <w:tcPr>
            <w:tcW w:w="3351" w:type="dxa"/>
            <w:gridSpan w:val="3"/>
          </w:tcPr>
          <w:p w14:paraId="71E8251B" w14:textId="77777777" w:rsidR="0061082A" w:rsidRPr="005F5E3B" w:rsidRDefault="0061082A" w:rsidP="0061082A">
            <w:pPr>
              <w:pStyle w:val="NoSpacing"/>
            </w:pPr>
            <w:r w:rsidRPr="005F5E3B">
              <w:t>After Matching</w:t>
            </w:r>
          </w:p>
        </w:tc>
      </w:tr>
      <w:tr w:rsidR="005F5E3B" w:rsidRPr="005F5E3B" w14:paraId="499FA3C9" w14:textId="77777777" w:rsidTr="002F1753">
        <w:tc>
          <w:tcPr>
            <w:tcW w:w="2263" w:type="dxa"/>
          </w:tcPr>
          <w:p w14:paraId="6582CEEC" w14:textId="77777777" w:rsidR="0061082A" w:rsidRPr="005F5E3B" w:rsidRDefault="0061082A" w:rsidP="0061082A">
            <w:pPr>
              <w:pStyle w:val="NoSpacing"/>
            </w:pPr>
          </w:p>
        </w:tc>
        <w:tc>
          <w:tcPr>
            <w:tcW w:w="1276" w:type="dxa"/>
          </w:tcPr>
          <w:p w14:paraId="66493249" w14:textId="77777777" w:rsidR="0061082A" w:rsidRPr="005F5E3B" w:rsidRDefault="0061082A" w:rsidP="0061082A">
            <w:pPr>
              <w:pStyle w:val="NoSpacing"/>
            </w:pPr>
            <w:r w:rsidRPr="005F5E3B">
              <w:t>RC (n=1297)</w:t>
            </w:r>
          </w:p>
        </w:tc>
        <w:tc>
          <w:tcPr>
            <w:tcW w:w="1276" w:type="dxa"/>
          </w:tcPr>
          <w:p w14:paraId="211B12B5" w14:textId="77777777" w:rsidR="0061082A" w:rsidRPr="005F5E3B" w:rsidRDefault="0061082A" w:rsidP="0061082A">
            <w:pPr>
              <w:pStyle w:val="NoSpacing"/>
            </w:pPr>
            <w:r w:rsidRPr="005F5E3B">
              <w:t>NAC+RC (n=553)</w:t>
            </w:r>
          </w:p>
        </w:tc>
        <w:tc>
          <w:tcPr>
            <w:tcW w:w="850" w:type="dxa"/>
          </w:tcPr>
          <w:p w14:paraId="26A96AB8" w14:textId="77777777" w:rsidR="0061082A" w:rsidRPr="005F5E3B" w:rsidRDefault="0061082A" w:rsidP="0061082A">
            <w:pPr>
              <w:pStyle w:val="NoSpacing"/>
              <w:rPr>
                <w:vertAlign w:val="superscript"/>
              </w:rPr>
            </w:pPr>
            <w:r w:rsidRPr="005F5E3B">
              <w:t>p value</w:t>
            </w:r>
            <w:r w:rsidRPr="005F5E3B">
              <w:rPr>
                <w:vertAlign w:val="superscript"/>
              </w:rPr>
              <w:t>*</w:t>
            </w:r>
          </w:p>
        </w:tc>
        <w:tc>
          <w:tcPr>
            <w:tcW w:w="1276" w:type="dxa"/>
          </w:tcPr>
          <w:p w14:paraId="4C6FDAD4" w14:textId="77777777" w:rsidR="0061082A" w:rsidRPr="005F5E3B" w:rsidRDefault="0061082A" w:rsidP="0061082A">
            <w:pPr>
              <w:pStyle w:val="NoSpacing"/>
            </w:pPr>
            <w:r w:rsidRPr="005F5E3B">
              <w:t>RC (n=553)</w:t>
            </w:r>
          </w:p>
        </w:tc>
        <w:tc>
          <w:tcPr>
            <w:tcW w:w="1220" w:type="dxa"/>
          </w:tcPr>
          <w:p w14:paraId="7A2AC384" w14:textId="77777777" w:rsidR="0061082A" w:rsidRPr="005F5E3B" w:rsidRDefault="0061082A" w:rsidP="0061082A">
            <w:pPr>
              <w:pStyle w:val="NoSpacing"/>
            </w:pPr>
            <w:r w:rsidRPr="005F5E3B">
              <w:t xml:space="preserve">NAC+RC </w:t>
            </w:r>
          </w:p>
          <w:p w14:paraId="559B8A40" w14:textId="77777777" w:rsidR="0061082A" w:rsidRPr="005F5E3B" w:rsidRDefault="0061082A" w:rsidP="0061082A">
            <w:pPr>
              <w:pStyle w:val="NoSpacing"/>
            </w:pPr>
            <w:r w:rsidRPr="005F5E3B">
              <w:t>(n=553)</w:t>
            </w:r>
          </w:p>
        </w:tc>
        <w:tc>
          <w:tcPr>
            <w:tcW w:w="855" w:type="dxa"/>
          </w:tcPr>
          <w:p w14:paraId="4B139749" w14:textId="77777777" w:rsidR="0061082A" w:rsidRPr="005F5E3B" w:rsidRDefault="0061082A" w:rsidP="0061082A">
            <w:pPr>
              <w:pStyle w:val="NoSpacing"/>
              <w:rPr>
                <w:vertAlign w:val="superscript"/>
              </w:rPr>
            </w:pPr>
            <w:r w:rsidRPr="005F5E3B">
              <w:t>p value</w:t>
            </w:r>
            <w:r w:rsidRPr="005F5E3B">
              <w:rPr>
                <w:vertAlign w:val="superscript"/>
              </w:rPr>
              <w:t>*</w:t>
            </w:r>
          </w:p>
        </w:tc>
      </w:tr>
      <w:tr w:rsidR="005F5E3B" w:rsidRPr="005F5E3B" w14:paraId="10548988" w14:textId="77777777" w:rsidTr="002F1753">
        <w:tc>
          <w:tcPr>
            <w:tcW w:w="2263" w:type="dxa"/>
          </w:tcPr>
          <w:p w14:paraId="0C5B2ED0" w14:textId="77777777" w:rsidR="0061082A" w:rsidRPr="005F5E3B" w:rsidRDefault="0061082A" w:rsidP="0061082A">
            <w:pPr>
              <w:pStyle w:val="NoSpacing"/>
            </w:pPr>
            <w:r w:rsidRPr="005F5E3B">
              <w:t>Age</w:t>
            </w:r>
          </w:p>
        </w:tc>
        <w:tc>
          <w:tcPr>
            <w:tcW w:w="1276" w:type="dxa"/>
          </w:tcPr>
          <w:p w14:paraId="211F9E68" w14:textId="77777777" w:rsidR="0061082A" w:rsidRPr="005F5E3B" w:rsidRDefault="0061082A" w:rsidP="0061082A">
            <w:pPr>
              <w:pStyle w:val="NoSpacing"/>
            </w:pPr>
            <w:r w:rsidRPr="005F5E3B">
              <w:t>66.7 (0.2)</w:t>
            </w:r>
          </w:p>
        </w:tc>
        <w:tc>
          <w:tcPr>
            <w:tcW w:w="1276" w:type="dxa"/>
          </w:tcPr>
          <w:p w14:paraId="550CC223" w14:textId="77777777" w:rsidR="0061082A" w:rsidRPr="005F5E3B" w:rsidRDefault="0061082A" w:rsidP="0061082A">
            <w:pPr>
              <w:pStyle w:val="NoSpacing"/>
            </w:pPr>
            <w:r w:rsidRPr="005F5E3B">
              <w:t>65.3 (0.3)</w:t>
            </w:r>
          </w:p>
        </w:tc>
        <w:tc>
          <w:tcPr>
            <w:tcW w:w="850" w:type="dxa"/>
          </w:tcPr>
          <w:p w14:paraId="6580A80E" w14:textId="77777777" w:rsidR="0061082A" w:rsidRPr="005F5E3B" w:rsidRDefault="0061082A" w:rsidP="0061082A">
            <w:pPr>
              <w:pStyle w:val="NoSpacing"/>
            </w:pPr>
            <w:r w:rsidRPr="005F5E3B">
              <w:t>0.00</w:t>
            </w:r>
          </w:p>
        </w:tc>
        <w:tc>
          <w:tcPr>
            <w:tcW w:w="1276" w:type="dxa"/>
          </w:tcPr>
          <w:p w14:paraId="13BC1E25" w14:textId="77777777" w:rsidR="0061082A" w:rsidRPr="005F5E3B" w:rsidRDefault="0061082A" w:rsidP="0061082A">
            <w:pPr>
              <w:pStyle w:val="NoSpacing"/>
            </w:pPr>
            <w:r w:rsidRPr="005F5E3B">
              <w:t>65.2 (0.3)</w:t>
            </w:r>
          </w:p>
        </w:tc>
        <w:tc>
          <w:tcPr>
            <w:tcW w:w="1220" w:type="dxa"/>
          </w:tcPr>
          <w:p w14:paraId="32DD2AFD" w14:textId="77777777" w:rsidR="0061082A" w:rsidRPr="005F5E3B" w:rsidRDefault="0061082A" w:rsidP="0061082A">
            <w:pPr>
              <w:pStyle w:val="NoSpacing"/>
            </w:pPr>
            <w:r w:rsidRPr="005F5E3B">
              <w:t>65.3 (0.3)</w:t>
            </w:r>
          </w:p>
        </w:tc>
        <w:tc>
          <w:tcPr>
            <w:tcW w:w="855" w:type="dxa"/>
          </w:tcPr>
          <w:p w14:paraId="69C6F291" w14:textId="77777777" w:rsidR="0061082A" w:rsidRPr="005F5E3B" w:rsidRDefault="0061082A" w:rsidP="0061082A">
            <w:pPr>
              <w:pStyle w:val="NoSpacing"/>
            </w:pPr>
            <w:r w:rsidRPr="005F5E3B">
              <w:t>0.91</w:t>
            </w:r>
          </w:p>
        </w:tc>
      </w:tr>
      <w:tr w:rsidR="005F5E3B" w:rsidRPr="005F5E3B" w14:paraId="7329A9B8" w14:textId="77777777" w:rsidTr="002F1753">
        <w:tc>
          <w:tcPr>
            <w:tcW w:w="2263" w:type="dxa"/>
          </w:tcPr>
          <w:p w14:paraId="162CEC9E" w14:textId="77777777" w:rsidR="0061082A" w:rsidRPr="005F5E3B" w:rsidRDefault="0061082A" w:rsidP="0061082A">
            <w:pPr>
              <w:pStyle w:val="NoSpacing"/>
            </w:pPr>
            <w:r w:rsidRPr="005F5E3B">
              <w:t>Charlson Comorbidity Index</w:t>
            </w:r>
          </w:p>
        </w:tc>
        <w:tc>
          <w:tcPr>
            <w:tcW w:w="1276" w:type="dxa"/>
          </w:tcPr>
          <w:p w14:paraId="547E2471" w14:textId="77777777" w:rsidR="0061082A" w:rsidRPr="005F5E3B" w:rsidRDefault="0061082A" w:rsidP="0061082A">
            <w:pPr>
              <w:pStyle w:val="NoSpacing"/>
            </w:pPr>
            <w:r w:rsidRPr="005F5E3B">
              <w:t>0.66 (0.03)</w:t>
            </w:r>
          </w:p>
        </w:tc>
        <w:tc>
          <w:tcPr>
            <w:tcW w:w="1276" w:type="dxa"/>
          </w:tcPr>
          <w:p w14:paraId="0648E1FD" w14:textId="77777777" w:rsidR="0061082A" w:rsidRPr="005F5E3B" w:rsidRDefault="0061082A" w:rsidP="0061082A">
            <w:pPr>
              <w:pStyle w:val="NoSpacing"/>
            </w:pPr>
            <w:r w:rsidRPr="005F5E3B">
              <w:t>0.47 (0.04)</w:t>
            </w:r>
          </w:p>
        </w:tc>
        <w:tc>
          <w:tcPr>
            <w:tcW w:w="850" w:type="dxa"/>
          </w:tcPr>
          <w:p w14:paraId="35125FB5" w14:textId="77777777" w:rsidR="0061082A" w:rsidRPr="005F5E3B" w:rsidRDefault="0061082A" w:rsidP="0061082A">
            <w:pPr>
              <w:pStyle w:val="NoSpacing"/>
            </w:pPr>
            <w:r w:rsidRPr="005F5E3B">
              <w:t>0.00</w:t>
            </w:r>
          </w:p>
        </w:tc>
        <w:tc>
          <w:tcPr>
            <w:tcW w:w="1276" w:type="dxa"/>
          </w:tcPr>
          <w:p w14:paraId="1CEE7075" w14:textId="77777777" w:rsidR="0061082A" w:rsidRPr="005F5E3B" w:rsidRDefault="0061082A" w:rsidP="0061082A">
            <w:pPr>
              <w:pStyle w:val="NoSpacing"/>
            </w:pPr>
            <w:r w:rsidRPr="005F5E3B">
              <w:t>0.50 (0.04)</w:t>
            </w:r>
          </w:p>
        </w:tc>
        <w:tc>
          <w:tcPr>
            <w:tcW w:w="1220" w:type="dxa"/>
          </w:tcPr>
          <w:p w14:paraId="025CF9D8" w14:textId="77777777" w:rsidR="0061082A" w:rsidRPr="005F5E3B" w:rsidRDefault="0061082A" w:rsidP="0061082A">
            <w:pPr>
              <w:pStyle w:val="NoSpacing"/>
            </w:pPr>
            <w:r w:rsidRPr="005F5E3B">
              <w:t>0.47 (0.04)</w:t>
            </w:r>
          </w:p>
        </w:tc>
        <w:tc>
          <w:tcPr>
            <w:tcW w:w="855" w:type="dxa"/>
          </w:tcPr>
          <w:p w14:paraId="43E995EE" w14:textId="77777777" w:rsidR="0061082A" w:rsidRPr="005F5E3B" w:rsidRDefault="0061082A" w:rsidP="0061082A">
            <w:pPr>
              <w:pStyle w:val="NoSpacing"/>
            </w:pPr>
            <w:r w:rsidRPr="005F5E3B">
              <w:t>0.57</w:t>
            </w:r>
          </w:p>
        </w:tc>
      </w:tr>
      <w:tr w:rsidR="005F5E3B" w:rsidRPr="005F5E3B" w14:paraId="6DFB5784" w14:textId="77777777" w:rsidTr="002F1753">
        <w:tc>
          <w:tcPr>
            <w:tcW w:w="2263" w:type="dxa"/>
          </w:tcPr>
          <w:p w14:paraId="2060FC05" w14:textId="77777777" w:rsidR="0061082A" w:rsidRPr="005F5E3B" w:rsidRDefault="0061082A" w:rsidP="0061082A">
            <w:pPr>
              <w:pStyle w:val="NoSpacing"/>
            </w:pPr>
            <w:r w:rsidRPr="005F5E3B">
              <w:t xml:space="preserve">Clinical </w:t>
            </w:r>
            <w:proofErr w:type="spellStart"/>
            <w:r w:rsidRPr="005F5E3B">
              <w:t>Tumour</w:t>
            </w:r>
            <w:proofErr w:type="spellEnd"/>
            <w:r w:rsidRPr="005F5E3B">
              <w:t xml:space="preserve"> Stage</w:t>
            </w:r>
          </w:p>
        </w:tc>
        <w:tc>
          <w:tcPr>
            <w:tcW w:w="1276" w:type="dxa"/>
          </w:tcPr>
          <w:p w14:paraId="43B10F2D" w14:textId="77777777" w:rsidR="0061082A" w:rsidRPr="005F5E3B" w:rsidRDefault="0061082A" w:rsidP="0061082A">
            <w:pPr>
              <w:pStyle w:val="NoSpacing"/>
            </w:pPr>
          </w:p>
        </w:tc>
        <w:tc>
          <w:tcPr>
            <w:tcW w:w="1276" w:type="dxa"/>
          </w:tcPr>
          <w:p w14:paraId="7AA0167F" w14:textId="77777777" w:rsidR="0061082A" w:rsidRPr="005F5E3B" w:rsidRDefault="0061082A" w:rsidP="0061082A">
            <w:pPr>
              <w:pStyle w:val="NoSpacing"/>
            </w:pPr>
          </w:p>
        </w:tc>
        <w:tc>
          <w:tcPr>
            <w:tcW w:w="850" w:type="dxa"/>
          </w:tcPr>
          <w:p w14:paraId="6A8C0E94" w14:textId="77777777" w:rsidR="0061082A" w:rsidRPr="005F5E3B" w:rsidRDefault="0061082A" w:rsidP="0061082A">
            <w:pPr>
              <w:pStyle w:val="NoSpacing"/>
            </w:pPr>
            <w:r w:rsidRPr="005F5E3B">
              <w:t>0.02</w:t>
            </w:r>
          </w:p>
        </w:tc>
        <w:tc>
          <w:tcPr>
            <w:tcW w:w="1276" w:type="dxa"/>
          </w:tcPr>
          <w:p w14:paraId="1A183B21" w14:textId="77777777" w:rsidR="0061082A" w:rsidRPr="005F5E3B" w:rsidRDefault="0061082A" w:rsidP="0061082A">
            <w:pPr>
              <w:pStyle w:val="NoSpacing"/>
            </w:pPr>
          </w:p>
        </w:tc>
        <w:tc>
          <w:tcPr>
            <w:tcW w:w="1220" w:type="dxa"/>
          </w:tcPr>
          <w:p w14:paraId="2EA12207" w14:textId="77777777" w:rsidR="0061082A" w:rsidRPr="005F5E3B" w:rsidRDefault="0061082A" w:rsidP="0061082A">
            <w:pPr>
              <w:pStyle w:val="NoSpacing"/>
            </w:pPr>
          </w:p>
        </w:tc>
        <w:tc>
          <w:tcPr>
            <w:tcW w:w="855" w:type="dxa"/>
          </w:tcPr>
          <w:p w14:paraId="76A3337E" w14:textId="77777777" w:rsidR="0061082A" w:rsidRPr="005F5E3B" w:rsidRDefault="0061082A" w:rsidP="0061082A">
            <w:pPr>
              <w:pStyle w:val="NoSpacing"/>
            </w:pPr>
            <w:r w:rsidRPr="005F5E3B">
              <w:t>0.67</w:t>
            </w:r>
          </w:p>
        </w:tc>
      </w:tr>
      <w:tr w:rsidR="005F5E3B" w:rsidRPr="005F5E3B" w14:paraId="4D2C52E9" w14:textId="77777777" w:rsidTr="002F1753">
        <w:tc>
          <w:tcPr>
            <w:tcW w:w="2263" w:type="dxa"/>
          </w:tcPr>
          <w:p w14:paraId="5E594EA0" w14:textId="77777777" w:rsidR="0061082A" w:rsidRPr="005F5E3B" w:rsidRDefault="0061082A" w:rsidP="0061082A">
            <w:pPr>
              <w:pStyle w:val="NoSpacing"/>
            </w:pPr>
            <w:r w:rsidRPr="005F5E3B">
              <w:t>-T2</w:t>
            </w:r>
          </w:p>
        </w:tc>
        <w:tc>
          <w:tcPr>
            <w:tcW w:w="1276" w:type="dxa"/>
          </w:tcPr>
          <w:p w14:paraId="232A2AB7" w14:textId="77777777" w:rsidR="0061082A" w:rsidRPr="005F5E3B" w:rsidRDefault="0061082A" w:rsidP="0061082A">
            <w:pPr>
              <w:pStyle w:val="NoSpacing"/>
            </w:pPr>
            <w:r w:rsidRPr="005F5E3B">
              <w:t>1043 (80%)</w:t>
            </w:r>
          </w:p>
        </w:tc>
        <w:tc>
          <w:tcPr>
            <w:tcW w:w="1276" w:type="dxa"/>
          </w:tcPr>
          <w:p w14:paraId="23B5791C" w14:textId="77777777" w:rsidR="0061082A" w:rsidRPr="005F5E3B" w:rsidRDefault="0061082A" w:rsidP="0061082A">
            <w:pPr>
              <w:pStyle w:val="NoSpacing"/>
            </w:pPr>
            <w:r w:rsidRPr="005F5E3B">
              <w:t>483 (87%)</w:t>
            </w:r>
          </w:p>
        </w:tc>
        <w:tc>
          <w:tcPr>
            <w:tcW w:w="850" w:type="dxa"/>
          </w:tcPr>
          <w:p w14:paraId="03F3FDB8" w14:textId="77777777" w:rsidR="0061082A" w:rsidRPr="005F5E3B" w:rsidRDefault="0061082A" w:rsidP="0061082A">
            <w:pPr>
              <w:pStyle w:val="NoSpacing"/>
            </w:pPr>
          </w:p>
        </w:tc>
        <w:tc>
          <w:tcPr>
            <w:tcW w:w="1276" w:type="dxa"/>
          </w:tcPr>
          <w:p w14:paraId="42592774" w14:textId="77777777" w:rsidR="0061082A" w:rsidRPr="005F5E3B" w:rsidRDefault="0061082A" w:rsidP="0061082A">
            <w:pPr>
              <w:pStyle w:val="NoSpacing"/>
            </w:pPr>
            <w:r w:rsidRPr="005F5E3B">
              <w:t>476 (86%)</w:t>
            </w:r>
          </w:p>
        </w:tc>
        <w:tc>
          <w:tcPr>
            <w:tcW w:w="1220" w:type="dxa"/>
          </w:tcPr>
          <w:p w14:paraId="714B5C0A" w14:textId="77777777" w:rsidR="0061082A" w:rsidRPr="005F5E3B" w:rsidRDefault="0061082A" w:rsidP="0061082A">
            <w:pPr>
              <w:pStyle w:val="NoSpacing"/>
            </w:pPr>
            <w:r w:rsidRPr="005F5E3B">
              <w:t>483 (87%)</w:t>
            </w:r>
          </w:p>
        </w:tc>
        <w:tc>
          <w:tcPr>
            <w:tcW w:w="855" w:type="dxa"/>
          </w:tcPr>
          <w:p w14:paraId="7316CFBC" w14:textId="77777777" w:rsidR="0061082A" w:rsidRPr="005F5E3B" w:rsidRDefault="0061082A" w:rsidP="0061082A">
            <w:pPr>
              <w:pStyle w:val="NoSpacing"/>
            </w:pPr>
          </w:p>
        </w:tc>
      </w:tr>
      <w:tr w:rsidR="005F5E3B" w:rsidRPr="005F5E3B" w14:paraId="691FB2CF" w14:textId="77777777" w:rsidTr="002F1753">
        <w:tc>
          <w:tcPr>
            <w:tcW w:w="2263" w:type="dxa"/>
          </w:tcPr>
          <w:p w14:paraId="387598F9" w14:textId="77777777" w:rsidR="0061082A" w:rsidRPr="005F5E3B" w:rsidRDefault="0061082A" w:rsidP="0061082A">
            <w:pPr>
              <w:pStyle w:val="NoSpacing"/>
            </w:pPr>
            <w:r w:rsidRPr="005F5E3B">
              <w:t>-T3</w:t>
            </w:r>
          </w:p>
        </w:tc>
        <w:tc>
          <w:tcPr>
            <w:tcW w:w="1276" w:type="dxa"/>
          </w:tcPr>
          <w:p w14:paraId="127A6A9E" w14:textId="77777777" w:rsidR="0061082A" w:rsidRPr="005F5E3B" w:rsidRDefault="0061082A" w:rsidP="0061082A">
            <w:pPr>
              <w:pStyle w:val="NoSpacing"/>
            </w:pPr>
            <w:r w:rsidRPr="005F5E3B">
              <w:t>189 (15%)</w:t>
            </w:r>
          </w:p>
        </w:tc>
        <w:tc>
          <w:tcPr>
            <w:tcW w:w="1276" w:type="dxa"/>
          </w:tcPr>
          <w:p w14:paraId="7D58E0EC" w14:textId="77777777" w:rsidR="0061082A" w:rsidRPr="005F5E3B" w:rsidRDefault="0061082A" w:rsidP="0061082A">
            <w:pPr>
              <w:pStyle w:val="NoSpacing"/>
            </w:pPr>
            <w:r w:rsidRPr="005F5E3B">
              <w:t>51 (9%)</w:t>
            </w:r>
          </w:p>
        </w:tc>
        <w:tc>
          <w:tcPr>
            <w:tcW w:w="850" w:type="dxa"/>
          </w:tcPr>
          <w:p w14:paraId="55B9C069" w14:textId="77777777" w:rsidR="0061082A" w:rsidRPr="005F5E3B" w:rsidRDefault="0061082A" w:rsidP="0061082A">
            <w:pPr>
              <w:pStyle w:val="NoSpacing"/>
            </w:pPr>
          </w:p>
        </w:tc>
        <w:tc>
          <w:tcPr>
            <w:tcW w:w="1276" w:type="dxa"/>
          </w:tcPr>
          <w:p w14:paraId="52174D97" w14:textId="77777777" w:rsidR="0061082A" w:rsidRPr="005F5E3B" w:rsidRDefault="0061082A" w:rsidP="0061082A">
            <w:pPr>
              <w:pStyle w:val="NoSpacing"/>
            </w:pPr>
            <w:r w:rsidRPr="005F5E3B">
              <w:t>53 (10%)</w:t>
            </w:r>
          </w:p>
        </w:tc>
        <w:tc>
          <w:tcPr>
            <w:tcW w:w="1220" w:type="dxa"/>
          </w:tcPr>
          <w:p w14:paraId="630884B4" w14:textId="77777777" w:rsidR="0061082A" w:rsidRPr="005F5E3B" w:rsidRDefault="0061082A" w:rsidP="0061082A">
            <w:pPr>
              <w:pStyle w:val="NoSpacing"/>
            </w:pPr>
            <w:r w:rsidRPr="005F5E3B">
              <w:t>51 (9%)</w:t>
            </w:r>
          </w:p>
        </w:tc>
        <w:tc>
          <w:tcPr>
            <w:tcW w:w="855" w:type="dxa"/>
          </w:tcPr>
          <w:p w14:paraId="58D7C7FA" w14:textId="77777777" w:rsidR="0061082A" w:rsidRPr="005F5E3B" w:rsidRDefault="0061082A" w:rsidP="0061082A">
            <w:pPr>
              <w:pStyle w:val="NoSpacing"/>
            </w:pPr>
          </w:p>
        </w:tc>
      </w:tr>
      <w:tr w:rsidR="005F5E3B" w:rsidRPr="005F5E3B" w14:paraId="2BC6338D" w14:textId="77777777" w:rsidTr="002F1753">
        <w:tc>
          <w:tcPr>
            <w:tcW w:w="2263" w:type="dxa"/>
          </w:tcPr>
          <w:p w14:paraId="001BAC1C" w14:textId="77777777" w:rsidR="0061082A" w:rsidRPr="005F5E3B" w:rsidRDefault="0061082A" w:rsidP="0061082A">
            <w:pPr>
              <w:pStyle w:val="NoSpacing"/>
            </w:pPr>
            <w:r w:rsidRPr="005F5E3B">
              <w:t>-T4</w:t>
            </w:r>
          </w:p>
        </w:tc>
        <w:tc>
          <w:tcPr>
            <w:tcW w:w="1276" w:type="dxa"/>
          </w:tcPr>
          <w:p w14:paraId="40A659C8" w14:textId="77777777" w:rsidR="0061082A" w:rsidRPr="005F5E3B" w:rsidRDefault="0061082A" w:rsidP="0061082A">
            <w:pPr>
              <w:pStyle w:val="NoSpacing"/>
            </w:pPr>
            <w:r w:rsidRPr="005F5E3B">
              <w:t>65 (5%)</w:t>
            </w:r>
          </w:p>
        </w:tc>
        <w:tc>
          <w:tcPr>
            <w:tcW w:w="1276" w:type="dxa"/>
          </w:tcPr>
          <w:p w14:paraId="48CF1C8F" w14:textId="77777777" w:rsidR="0061082A" w:rsidRPr="005F5E3B" w:rsidRDefault="0061082A" w:rsidP="0061082A">
            <w:pPr>
              <w:pStyle w:val="NoSpacing"/>
            </w:pPr>
            <w:r w:rsidRPr="005F5E3B">
              <w:t>19 (3%)</w:t>
            </w:r>
          </w:p>
        </w:tc>
        <w:tc>
          <w:tcPr>
            <w:tcW w:w="850" w:type="dxa"/>
          </w:tcPr>
          <w:p w14:paraId="4C876613" w14:textId="77777777" w:rsidR="0061082A" w:rsidRPr="005F5E3B" w:rsidRDefault="0061082A" w:rsidP="0061082A">
            <w:pPr>
              <w:pStyle w:val="NoSpacing"/>
            </w:pPr>
          </w:p>
        </w:tc>
        <w:tc>
          <w:tcPr>
            <w:tcW w:w="1276" w:type="dxa"/>
          </w:tcPr>
          <w:p w14:paraId="0163D5BA" w14:textId="77777777" w:rsidR="0061082A" w:rsidRPr="005F5E3B" w:rsidRDefault="0061082A" w:rsidP="0061082A">
            <w:pPr>
              <w:pStyle w:val="NoSpacing"/>
            </w:pPr>
            <w:r w:rsidRPr="005F5E3B">
              <w:t>24 (4%)</w:t>
            </w:r>
          </w:p>
        </w:tc>
        <w:tc>
          <w:tcPr>
            <w:tcW w:w="1220" w:type="dxa"/>
          </w:tcPr>
          <w:p w14:paraId="6E0AE67B" w14:textId="77777777" w:rsidR="0061082A" w:rsidRPr="005F5E3B" w:rsidRDefault="0061082A" w:rsidP="0061082A">
            <w:pPr>
              <w:pStyle w:val="NoSpacing"/>
            </w:pPr>
            <w:r w:rsidRPr="005F5E3B">
              <w:t>19 (3%)</w:t>
            </w:r>
          </w:p>
        </w:tc>
        <w:tc>
          <w:tcPr>
            <w:tcW w:w="855" w:type="dxa"/>
          </w:tcPr>
          <w:p w14:paraId="3338F971" w14:textId="77777777" w:rsidR="0061082A" w:rsidRPr="005F5E3B" w:rsidRDefault="0061082A" w:rsidP="0061082A">
            <w:pPr>
              <w:pStyle w:val="NoSpacing"/>
            </w:pPr>
          </w:p>
        </w:tc>
      </w:tr>
      <w:tr w:rsidR="005F5E3B" w:rsidRPr="005F5E3B" w14:paraId="008673A0" w14:textId="77777777" w:rsidTr="002F1753">
        <w:tc>
          <w:tcPr>
            <w:tcW w:w="2263" w:type="dxa"/>
          </w:tcPr>
          <w:p w14:paraId="6DB47758" w14:textId="77777777" w:rsidR="0061082A" w:rsidRPr="005F5E3B" w:rsidRDefault="0061082A" w:rsidP="0061082A">
            <w:pPr>
              <w:pStyle w:val="NoSpacing"/>
            </w:pPr>
            <w:r w:rsidRPr="005F5E3B">
              <w:t>Sex</w:t>
            </w:r>
          </w:p>
        </w:tc>
        <w:tc>
          <w:tcPr>
            <w:tcW w:w="1276" w:type="dxa"/>
          </w:tcPr>
          <w:p w14:paraId="3F5363FA" w14:textId="77777777" w:rsidR="0061082A" w:rsidRPr="005F5E3B" w:rsidRDefault="0061082A" w:rsidP="0061082A">
            <w:pPr>
              <w:pStyle w:val="NoSpacing"/>
            </w:pPr>
          </w:p>
        </w:tc>
        <w:tc>
          <w:tcPr>
            <w:tcW w:w="1276" w:type="dxa"/>
          </w:tcPr>
          <w:p w14:paraId="7D2F5525" w14:textId="77777777" w:rsidR="0061082A" w:rsidRPr="005F5E3B" w:rsidRDefault="0061082A" w:rsidP="0061082A">
            <w:pPr>
              <w:pStyle w:val="NoSpacing"/>
            </w:pPr>
          </w:p>
        </w:tc>
        <w:tc>
          <w:tcPr>
            <w:tcW w:w="850" w:type="dxa"/>
          </w:tcPr>
          <w:p w14:paraId="1BE258CA" w14:textId="77777777" w:rsidR="0061082A" w:rsidRPr="005F5E3B" w:rsidRDefault="0061082A" w:rsidP="0061082A">
            <w:pPr>
              <w:pStyle w:val="NoSpacing"/>
            </w:pPr>
            <w:r w:rsidRPr="005F5E3B">
              <w:t>0.21</w:t>
            </w:r>
          </w:p>
        </w:tc>
        <w:tc>
          <w:tcPr>
            <w:tcW w:w="1276" w:type="dxa"/>
          </w:tcPr>
          <w:p w14:paraId="557509E2" w14:textId="77777777" w:rsidR="0061082A" w:rsidRPr="005F5E3B" w:rsidRDefault="0061082A" w:rsidP="0061082A">
            <w:pPr>
              <w:pStyle w:val="NoSpacing"/>
            </w:pPr>
          </w:p>
        </w:tc>
        <w:tc>
          <w:tcPr>
            <w:tcW w:w="1220" w:type="dxa"/>
          </w:tcPr>
          <w:p w14:paraId="06090E67" w14:textId="77777777" w:rsidR="0061082A" w:rsidRPr="005F5E3B" w:rsidRDefault="0061082A" w:rsidP="0061082A">
            <w:pPr>
              <w:pStyle w:val="NoSpacing"/>
            </w:pPr>
          </w:p>
        </w:tc>
        <w:tc>
          <w:tcPr>
            <w:tcW w:w="855" w:type="dxa"/>
          </w:tcPr>
          <w:p w14:paraId="247A3D17" w14:textId="77777777" w:rsidR="0061082A" w:rsidRPr="005F5E3B" w:rsidRDefault="0061082A" w:rsidP="0061082A">
            <w:pPr>
              <w:pStyle w:val="NoSpacing"/>
            </w:pPr>
            <w:r w:rsidRPr="005F5E3B">
              <w:t>1.00</w:t>
            </w:r>
          </w:p>
        </w:tc>
      </w:tr>
      <w:tr w:rsidR="005F5E3B" w:rsidRPr="005F5E3B" w14:paraId="475DCBCD" w14:textId="77777777" w:rsidTr="002F1753">
        <w:tc>
          <w:tcPr>
            <w:tcW w:w="2263" w:type="dxa"/>
          </w:tcPr>
          <w:p w14:paraId="410E738D" w14:textId="77777777" w:rsidR="0061082A" w:rsidRPr="005F5E3B" w:rsidRDefault="0061082A" w:rsidP="0061082A">
            <w:pPr>
              <w:pStyle w:val="NoSpacing"/>
            </w:pPr>
            <w:r w:rsidRPr="005F5E3B">
              <w:t xml:space="preserve">-Men </w:t>
            </w:r>
          </w:p>
        </w:tc>
        <w:tc>
          <w:tcPr>
            <w:tcW w:w="1276" w:type="dxa"/>
          </w:tcPr>
          <w:p w14:paraId="6273CB6D" w14:textId="77777777" w:rsidR="0061082A" w:rsidRPr="005F5E3B" w:rsidRDefault="0061082A" w:rsidP="0061082A">
            <w:pPr>
              <w:pStyle w:val="NoSpacing"/>
            </w:pPr>
            <w:r w:rsidRPr="005F5E3B">
              <w:t>949 (73%)</w:t>
            </w:r>
          </w:p>
        </w:tc>
        <w:tc>
          <w:tcPr>
            <w:tcW w:w="1276" w:type="dxa"/>
          </w:tcPr>
          <w:p w14:paraId="0F500CC9" w14:textId="77777777" w:rsidR="0061082A" w:rsidRPr="005F5E3B" w:rsidRDefault="0061082A" w:rsidP="0061082A">
            <w:pPr>
              <w:pStyle w:val="NoSpacing"/>
            </w:pPr>
            <w:r w:rsidRPr="005F5E3B">
              <w:t>420 (76%)</w:t>
            </w:r>
          </w:p>
        </w:tc>
        <w:tc>
          <w:tcPr>
            <w:tcW w:w="850" w:type="dxa"/>
          </w:tcPr>
          <w:p w14:paraId="0D073BFC" w14:textId="77777777" w:rsidR="0061082A" w:rsidRPr="005F5E3B" w:rsidRDefault="0061082A" w:rsidP="0061082A">
            <w:pPr>
              <w:pStyle w:val="NoSpacing"/>
            </w:pPr>
          </w:p>
        </w:tc>
        <w:tc>
          <w:tcPr>
            <w:tcW w:w="1276" w:type="dxa"/>
          </w:tcPr>
          <w:p w14:paraId="6994F887" w14:textId="77777777" w:rsidR="0061082A" w:rsidRPr="005F5E3B" w:rsidRDefault="0061082A" w:rsidP="0061082A">
            <w:pPr>
              <w:pStyle w:val="NoSpacing"/>
            </w:pPr>
            <w:r w:rsidRPr="005F5E3B">
              <w:t>420 (76%)</w:t>
            </w:r>
          </w:p>
        </w:tc>
        <w:tc>
          <w:tcPr>
            <w:tcW w:w="1220" w:type="dxa"/>
          </w:tcPr>
          <w:p w14:paraId="130F45E9" w14:textId="77777777" w:rsidR="0061082A" w:rsidRPr="005F5E3B" w:rsidRDefault="0061082A" w:rsidP="0061082A">
            <w:pPr>
              <w:pStyle w:val="NoSpacing"/>
            </w:pPr>
            <w:r w:rsidRPr="005F5E3B">
              <w:t>420 (76%)</w:t>
            </w:r>
          </w:p>
        </w:tc>
        <w:tc>
          <w:tcPr>
            <w:tcW w:w="855" w:type="dxa"/>
          </w:tcPr>
          <w:p w14:paraId="4BF9C094" w14:textId="77777777" w:rsidR="0061082A" w:rsidRPr="005F5E3B" w:rsidRDefault="0061082A" w:rsidP="0061082A">
            <w:pPr>
              <w:pStyle w:val="NoSpacing"/>
            </w:pPr>
          </w:p>
        </w:tc>
      </w:tr>
      <w:tr w:rsidR="005F5E3B" w:rsidRPr="005F5E3B" w14:paraId="6BDB0792" w14:textId="77777777" w:rsidTr="002F1753">
        <w:tc>
          <w:tcPr>
            <w:tcW w:w="2263" w:type="dxa"/>
          </w:tcPr>
          <w:p w14:paraId="74604FBC" w14:textId="77777777" w:rsidR="0061082A" w:rsidRPr="005F5E3B" w:rsidRDefault="0061082A" w:rsidP="0061082A">
            <w:pPr>
              <w:pStyle w:val="NoSpacing"/>
            </w:pPr>
            <w:r w:rsidRPr="005F5E3B">
              <w:t>-Women</w:t>
            </w:r>
          </w:p>
        </w:tc>
        <w:tc>
          <w:tcPr>
            <w:tcW w:w="1276" w:type="dxa"/>
          </w:tcPr>
          <w:p w14:paraId="2DDFDE74" w14:textId="77777777" w:rsidR="0061082A" w:rsidRPr="005F5E3B" w:rsidRDefault="0061082A" w:rsidP="0061082A">
            <w:pPr>
              <w:pStyle w:val="NoSpacing"/>
            </w:pPr>
            <w:r w:rsidRPr="005F5E3B">
              <w:t>348 (27%)</w:t>
            </w:r>
          </w:p>
        </w:tc>
        <w:tc>
          <w:tcPr>
            <w:tcW w:w="1276" w:type="dxa"/>
          </w:tcPr>
          <w:p w14:paraId="0065C510" w14:textId="77777777" w:rsidR="0061082A" w:rsidRPr="005F5E3B" w:rsidRDefault="0061082A" w:rsidP="0061082A">
            <w:pPr>
              <w:pStyle w:val="NoSpacing"/>
            </w:pPr>
            <w:r w:rsidRPr="005F5E3B">
              <w:t>133 (24%)</w:t>
            </w:r>
          </w:p>
        </w:tc>
        <w:tc>
          <w:tcPr>
            <w:tcW w:w="850" w:type="dxa"/>
          </w:tcPr>
          <w:p w14:paraId="5B459DC6" w14:textId="77777777" w:rsidR="0061082A" w:rsidRPr="005F5E3B" w:rsidRDefault="0061082A" w:rsidP="0061082A">
            <w:pPr>
              <w:pStyle w:val="NoSpacing"/>
            </w:pPr>
          </w:p>
        </w:tc>
        <w:tc>
          <w:tcPr>
            <w:tcW w:w="1276" w:type="dxa"/>
          </w:tcPr>
          <w:p w14:paraId="18C2A028" w14:textId="77777777" w:rsidR="0061082A" w:rsidRPr="005F5E3B" w:rsidRDefault="0061082A" w:rsidP="0061082A">
            <w:pPr>
              <w:pStyle w:val="NoSpacing"/>
            </w:pPr>
            <w:r w:rsidRPr="005F5E3B">
              <w:t>133 (23%)</w:t>
            </w:r>
          </w:p>
        </w:tc>
        <w:tc>
          <w:tcPr>
            <w:tcW w:w="1220" w:type="dxa"/>
          </w:tcPr>
          <w:p w14:paraId="7D86DD9E" w14:textId="77777777" w:rsidR="0061082A" w:rsidRPr="005F5E3B" w:rsidRDefault="0061082A" w:rsidP="0061082A">
            <w:pPr>
              <w:pStyle w:val="NoSpacing"/>
            </w:pPr>
            <w:r w:rsidRPr="005F5E3B">
              <w:t>133 (24%)</w:t>
            </w:r>
          </w:p>
        </w:tc>
        <w:tc>
          <w:tcPr>
            <w:tcW w:w="855" w:type="dxa"/>
          </w:tcPr>
          <w:p w14:paraId="39F0F45B" w14:textId="77777777" w:rsidR="0061082A" w:rsidRPr="005F5E3B" w:rsidRDefault="0061082A" w:rsidP="0061082A">
            <w:pPr>
              <w:pStyle w:val="NoSpacing"/>
            </w:pPr>
          </w:p>
        </w:tc>
      </w:tr>
      <w:tr w:rsidR="005F5E3B" w:rsidRPr="005F5E3B" w14:paraId="45EB1D68" w14:textId="77777777" w:rsidTr="002F1753">
        <w:tc>
          <w:tcPr>
            <w:tcW w:w="2263" w:type="dxa"/>
          </w:tcPr>
          <w:p w14:paraId="4CBE54F0" w14:textId="77777777" w:rsidR="0061082A" w:rsidRPr="005F5E3B" w:rsidRDefault="0061082A" w:rsidP="0061082A">
            <w:pPr>
              <w:pStyle w:val="NoSpacing"/>
            </w:pPr>
            <w:r w:rsidRPr="005F5E3B">
              <w:t>Civil Status</w:t>
            </w:r>
          </w:p>
        </w:tc>
        <w:tc>
          <w:tcPr>
            <w:tcW w:w="1276" w:type="dxa"/>
          </w:tcPr>
          <w:p w14:paraId="3CCD606B" w14:textId="77777777" w:rsidR="0061082A" w:rsidRPr="005F5E3B" w:rsidRDefault="0061082A" w:rsidP="0061082A">
            <w:pPr>
              <w:pStyle w:val="NoSpacing"/>
            </w:pPr>
          </w:p>
        </w:tc>
        <w:tc>
          <w:tcPr>
            <w:tcW w:w="1276" w:type="dxa"/>
          </w:tcPr>
          <w:p w14:paraId="2DF8AB8F" w14:textId="77777777" w:rsidR="0061082A" w:rsidRPr="005F5E3B" w:rsidRDefault="0061082A" w:rsidP="0061082A">
            <w:pPr>
              <w:pStyle w:val="NoSpacing"/>
            </w:pPr>
          </w:p>
        </w:tc>
        <w:tc>
          <w:tcPr>
            <w:tcW w:w="850" w:type="dxa"/>
          </w:tcPr>
          <w:p w14:paraId="37DA59C0" w14:textId="77777777" w:rsidR="0061082A" w:rsidRPr="005F5E3B" w:rsidRDefault="0061082A" w:rsidP="0061082A">
            <w:pPr>
              <w:pStyle w:val="NoSpacing"/>
            </w:pPr>
            <w:r w:rsidRPr="005F5E3B">
              <w:t>0.07</w:t>
            </w:r>
          </w:p>
        </w:tc>
        <w:tc>
          <w:tcPr>
            <w:tcW w:w="1276" w:type="dxa"/>
          </w:tcPr>
          <w:p w14:paraId="4EB1FB8F" w14:textId="77777777" w:rsidR="0061082A" w:rsidRPr="005F5E3B" w:rsidRDefault="0061082A" w:rsidP="0061082A">
            <w:pPr>
              <w:pStyle w:val="NoSpacing"/>
            </w:pPr>
          </w:p>
        </w:tc>
        <w:tc>
          <w:tcPr>
            <w:tcW w:w="1220" w:type="dxa"/>
          </w:tcPr>
          <w:p w14:paraId="1D0C6A81" w14:textId="77777777" w:rsidR="0061082A" w:rsidRPr="005F5E3B" w:rsidRDefault="0061082A" w:rsidP="0061082A">
            <w:pPr>
              <w:pStyle w:val="NoSpacing"/>
            </w:pPr>
          </w:p>
        </w:tc>
        <w:tc>
          <w:tcPr>
            <w:tcW w:w="855" w:type="dxa"/>
          </w:tcPr>
          <w:p w14:paraId="005E8A45" w14:textId="77777777" w:rsidR="0061082A" w:rsidRPr="005F5E3B" w:rsidRDefault="0061082A" w:rsidP="0061082A">
            <w:pPr>
              <w:pStyle w:val="NoSpacing"/>
            </w:pPr>
            <w:r w:rsidRPr="005F5E3B">
              <w:t>0.58</w:t>
            </w:r>
          </w:p>
        </w:tc>
      </w:tr>
      <w:tr w:rsidR="005F5E3B" w:rsidRPr="005F5E3B" w14:paraId="3C1CDA56" w14:textId="77777777" w:rsidTr="002F1753">
        <w:tc>
          <w:tcPr>
            <w:tcW w:w="2263" w:type="dxa"/>
          </w:tcPr>
          <w:p w14:paraId="67D3FC4B" w14:textId="77777777" w:rsidR="0061082A" w:rsidRPr="005F5E3B" w:rsidRDefault="0061082A" w:rsidP="0061082A">
            <w:pPr>
              <w:pStyle w:val="NoSpacing"/>
            </w:pPr>
            <w:r w:rsidRPr="005F5E3B">
              <w:t>-Unmarried/single</w:t>
            </w:r>
          </w:p>
        </w:tc>
        <w:tc>
          <w:tcPr>
            <w:tcW w:w="1276" w:type="dxa"/>
          </w:tcPr>
          <w:p w14:paraId="4A82A57C" w14:textId="77777777" w:rsidR="0061082A" w:rsidRPr="005F5E3B" w:rsidRDefault="0061082A" w:rsidP="0061082A">
            <w:pPr>
              <w:pStyle w:val="NoSpacing"/>
            </w:pPr>
            <w:r w:rsidRPr="005F5E3B">
              <w:t>173 (13%)</w:t>
            </w:r>
          </w:p>
        </w:tc>
        <w:tc>
          <w:tcPr>
            <w:tcW w:w="1276" w:type="dxa"/>
          </w:tcPr>
          <w:p w14:paraId="11135087" w14:textId="77777777" w:rsidR="0061082A" w:rsidRPr="005F5E3B" w:rsidRDefault="0061082A" w:rsidP="0061082A">
            <w:pPr>
              <w:pStyle w:val="NoSpacing"/>
            </w:pPr>
            <w:r w:rsidRPr="005F5E3B">
              <w:t>94 (17%)</w:t>
            </w:r>
          </w:p>
        </w:tc>
        <w:tc>
          <w:tcPr>
            <w:tcW w:w="850" w:type="dxa"/>
          </w:tcPr>
          <w:p w14:paraId="2D0513A6" w14:textId="77777777" w:rsidR="0061082A" w:rsidRPr="005F5E3B" w:rsidRDefault="0061082A" w:rsidP="0061082A">
            <w:pPr>
              <w:pStyle w:val="NoSpacing"/>
            </w:pPr>
          </w:p>
        </w:tc>
        <w:tc>
          <w:tcPr>
            <w:tcW w:w="1276" w:type="dxa"/>
          </w:tcPr>
          <w:p w14:paraId="36CFA185" w14:textId="77777777" w:rsidR="0061082A" w:rsidRPr="005F5E3B" w:rsidRDefault="0061082A" w:rsidP="0061082A">
            <w:pPr>
              <w:pStyle w:val="NoSpacing"/>
            </w:pPr>
            <w:r w:rsidRPr="005F5E3B">
              <w:t>92 (17%)</w:t>
            </w:r>
          </w:p>
        </w:tc>
        <w:tc>
          <w:tcPr>
            <w:tcW w:w="1220" w:type="dxa"/>
          </w:tcPr>
          <w:p w14:paraId="56743977" w14:textId="77777777" w:rsidR="0061082A" w:rsidRPr="005F5E3B" w:rsidRDefault="0061082A" w:rsidP="0061082A">
            <w:pPr>
              <w:pStyle w:val="NoSpacing"/>
            </w:pPr>
            <w:r w:rsidRPr="005F5E3B">
              <w:t>94 (17%)</w:t>
            </w:r>
          </w:p>
        </w:tc>
        <w:tc>
          <w:tcPr>
            <w:tcW w:w="855" w:type="dxa"/>
          </w:tcPr>
          <w:p w14:paraId="43CD7561" w14:textId="77777777" w:rsidR="0061082A" w:rsidRPr="005F5E3B" w:rsidRDefault="0061082A" w:rsidP="0061082A">
            <w:pPr>
              <w:pStyle w:val="NoSpacing"/>
            </w:pPr>
          </w:p>
        </w:tc>
      </w:tr>
      <w:tr w:rsidR="005F5E3B" w:rsidRPr="005F5E3B" w14:paraId="746E6348" w14:textId="77777777" w:rsidTr="002F1753">
        <w:tc>
          <w:tcPr>
            <w:tcW w:w="2263" w:type="dxa"/>
          </w:tcPr>
          <w:p w14:paraId="39F0F5C0" w14:textId="77777777" w:rsidR="0061082A" w:rsidRPr="005F5E3B" w:rsidRDefault="0061082A" w:rsidP="0061082A">
            <w:pPr>
              <w:pStyle w:val="NoSpacing"/>
            </w:pPr>
            <w:r w:rsidRPr="005F5E3B">
              <w:t>-Married/registered</w:t>
            </w:r>
          </w:p>
        </w:tc>
        <w:tc>
          <w:tcPr>
            <w:tcW w:w="1276" w:type="dxa"/>
          </w:tcPr>
          <w:p w14:paraId="6C109ECA" w14:textId="77777777" w:rsidR="0061082A" w:rsidRPr="005F5E3B" w:rsidRDefault="0061082A" w:rsidP="0061082A">
            <w:pPr>
              <w:pStyle w:val="NoSpacing"/>
            </w:pPr>
            <w:r w:rsidRPr="005F5E3B">
              <w:t>769 (59%)</w:t>
            </w:r>
          </w:p>
        </w:tc>
        <w:tc>
          <w:tcPr>
            <w:tcW w:w="1276" w:type="dxa"/>
          </w:tcPr>
          <w:p w14:paraId="54A895A1" w14:textId="77777777" w:rsidR="0061082A" w:rsidRPr="005F5E3B" w:rsidRDefault="0061082A" w:rsidP="0061082A">
            <w:pPr>
              <w:pStyle w:val="NoSpacing"/>
            </w:pPr>
            <w:r w:rsidRPr="005F5E3B">
              <w:t>326 (59%)</w:t>
            </w:r>
          </w:p>
        </w:tc>
        <w:tc>
          <w:tcPr>
            <w:tcW w:w="850" w:type="dxa"/>
          </w:tcPr>
          <w:p w14:paraId="6281310E" w14:textId="77777777" w:rsidR="0061082A" w:rsidRPr="005F5E3B" w:rsidRDefault="0061082A" w:rsidP="0061082A">
            <w:pPr>
              <w:pStyle w:val="NoSpacing"/>
            </w:pPr>
          </w:p>
        </w:tc>
        <w:tc>
          <w:tcPr>
            <w:tcW w:w="1276" w:type="dxa"/>
          </w:tcPr>
          <w:p w14:paraId="1143D1B0" w14:textId="77777777" w:rsidR="0061082A" w:rsidRPr="005F5E3B" w:rsidRDefault="0061082A" w:rsidP="0061082A">
            <w:pPr>
              <w:pStyle w:val="NoSpacing"/>
            </w:pPr>
            <w:r w:rsidRPr="005F5E3B">
              <w:t>313 (57%)</w:t>
            </w:r>
          </w:p>
        </w:tc>
        <w:tc>
          <w:tcPr>
            <w:tcW w:w="1220" w:type="dxa"/>
          </w:tcPr>
          <w:p w14:paraId="71CFFA1E" w14:textId="77777777" w:rsidR="0061082A" w:rsidRPr="005F5E3B" w:rsidRDefault="0061082A" w:rsidP="0061082A">
            <w:pPr>
              <w:pStyle w:val="NoSpacing"/>
            </w:pPr>
            <w:r w:rsidRPr="005F5E3B">
              <w:t>326 (59%)</w:t>
            </w:r>
          </w:p>
        </w:tc>
        <w:tc>
          <w:tcPr>
            <w:tcW w:w="855" w:type="dxa"/>
          </w:tcPr>
          <w:p w14:paraId="52BB3F0B" w14:textId="77777777" w:rsidR="0061082A" w:rsidRPr="005F5E3B" w:rsidRDefault="0061082A" w:rsidP="0061082A">
            <w:pPr>
              <w:pStyle w:val="NoSpacing"/>
            </w:pPr>
          </w:p>
        </w:tc>
      </w:tr>
      <w:tr w:rsidR="005F5E3B" w:rsidRPr="005F5E3B" w14:paraId="26BB3014" w14:textId="77777777" w:rsidTr="002F1753">
        <w:tc>
          <w:tcPr>
            <w:tcW w:w="2263" w:type="dxa"/>
          </w:tcPr>
          <w:p w14:paraId="49E3BCA3" w14:textId="77777777" w:rsidR="0061082A" w:rsidRPr="005F5E3B" w:rsidRDefault="0061082A" w:rsidP="0061082A">
            <w:pPr>
              <w:pStyle w:val="NoSpacing"/>
            </w:pPr>
            <w:r w:rsidRPr="005F5E3B">
              <w:t>-Divorced/widowed</w:t>
            </w:r>
          </w:p>
        </w:tc>
        <w:tc>
          <w:tcPr>
            <w:tcW w:w="1276" w:type="dxa"/>
          </w:tcPr>
          <w:p w14:paraId="40C8A03E" w14:textId="77777777" w:rsidR="0061082A" w:rsidRPr="005F5E3B" w:rsidRDefault="0061082A" w:rsidP="0061082A">
            <w:pPr>
              <w:pStyle w:val="NoSpacing"/>
            </w:pPr>
            <w:r w:rsidRPr="005F5E3B">
              <w:t>355 (27%)</w:t>
            </w:r>
          </w:p>
        </w:tc>
        <w:tc>
          <w:tcPr>
            <w:tcW w:w="1276" w:type="dxa"/>
          </w:tcPr>
          <w:p w14:paraId="6BB83AFE" w14:textId="77777777" w:rsidR="0061082A" w:rsidRPr="005F5E3B" w:rsidRDefault="0061082A" w:rsidP="0061082A">
            <w:pPr>
              <w:pStyle w:val="NoSpacing"/>
            </w:pPr>
            <w:r w:rsidRPr="005F5E3B">
              <w:t>133 (24%)</w:t>
            </w:r>
          </w:p>
        </w:tc>
        <w:tc>
          <w:tcPr>
            <w:tcW w:w="850" w:type="dxa"/>
          </w:tcPr>
          <w:p w14:paraId="15BC25A0" w14:textId="77777777" w:rsidR="0061082A" w:rsidRPr="005F5E3B" w:rsidRDefault="0061082A" w:rsidP="0061082A">
            <w:pPr>
              <w:pStyle w:val="NoSpacing"/>
            </w:pPr>
          </w:p>
        </w:tc>
        <w:tc>
          <w:tcPr>
            <w:tcW w:w="1276" w:type="dxa"/>
          </w:tcPr>
          <w:p w14:paraId="6DFC2EA2" w14:textId="77777777" w:rsidR="0061082A" w:rsidRPr="005F5E3B" w:rsidRDefault="0061082A" w:rsidP="0061082A">
            <w:pPr>
              <w:pStyle w:val="NoSpacing"/>
            </w:pPr>
            <w:r w:rsidRPr="005F5E3B">
              <w:t>148 (27%)</w:t>
            </w:r>
          </w:p>
        </w:tc>
        <w:tc>
          <w:tcPr>
            <w:tcW w:w="1220" w:type="dxa"/>
          </w:tcPr>
          <w:p w14:paraId="7E95EFF0" w14:textId="77777777" w:rsidR="0061082A" w:rsidRPr="005F5E3B" w:rsidRDefault="0061082A" w:rsidP="0061082A">
            <w:pPr>
              <w:pStyle w:val="NoSpacing"/>
            </w:pPr>
            <w:r w:rsidRPr="005F5E3B">
              <w:t>133 (24%)</w:t>
            </w:r>
          </w:p>
        </w:tc>
        <w:tc>
          <w:tcPr>
            <w:tcW w:w="855" w:type="dxa"/>
          </w:tcPr>
          <w:p w14:paraId="5922CA63" w14:textId="77777777" w:rsidR="0061082A" w:rsidRPr="005F5E3B" w:rsidRDefault="0061082A" w:rsidP="0061082A">
            <w:pPr>
              <w:pStyle w:val="NoSpacing"/>
            </w:pPr>
          </w:p>
        </w:tc>
      </w:tr>
      <w:tr w:rsidR="005F5E3B" w:rsidRPr="005F5E3B" w14:paraId="7E55B034" w14:textId="77777777" w:rsidTr="002F1753">
        <w:tc>
          <w:tcPr>
            <w:tcW w:w="2263" w:type="dxa"/>
          </w:tcPr>
          <w:p w14:paraId="76302942" w14:textId="77777777" w:rsidR="0061082A" w:rsidRPr="005F5E3B" w:rsidRDefault="0061082A" w:rsidP="0061082A">
            <w:pPr>
              <w:pStyle w:val="NoSpacing"/>
            </w:pPr>
            <w:r w:rsidRPr="005F5E3B">
              <w:t>Education</w:t>
            </w:r>
          </w:p>
        </w:tc>
        <w:tc>
          <w:tcPr>
            <w:tcW w:w="1276" w:type="dxa"/>
          </w:tcPr>
          <w:p w14:paraId="30ABB972" w14:textId="77777777" w:rsidR="0061082A" w:rsidRPr="005F5E3B" w:rsidRDefault="0061082A" w:rsidP="0061082A">
            <w:pPr>
              <w:pStyle w:val="NoSpacing"/>
            </w:pPr>
          </w:p>
        </w:tc>
        <w:tc>
          <w:tcPr>
            <w:tcW w:w="1276" w:type="dxa"/>
          </w:tcPr>
          <w:p w14:paraId="46F6169E" w14:textId="77777777" w:rsidR="0061082A" w:rsidRPr="005F5E3B" w:rsidRDefault="0061082A" w:rsidP="0061082A">
            <w:pPr>
              <w:pStyle w:val="NoSpacing"/>
            </w:pPr>
          </w:p>
        </w:tc>
        <w:tc>
          <w:tcPr>
            <w:tcW w:w="850" w:type="dxa"/>
          </w:tcPr>
          <w:p w14:paraId="69CE7AD2" w14:textId="77777777" w:rsidR="0061082A" w:rsidRPr="005F5E3B" w:rsidRDefault="0061082A" w:rsidP="0061082A">
            <w:pPr>
              <w:pStyle w:val="NoSpacing"/>
            </w:pPr>
            <w:r w:rsidRPr="005F5E3B">
              <w:t>0.01</w:t>
            </w:r>
          </w:p>
        </w:tc>
        <w:tc>
          <w:tcPr>
            <w:tcW w:w="1276" w:type="dxa"/>
          </w:tcPr>
          <w:p w14:paraId="314AB8CF" w14:textId="77777777" w:rsidR="0061082A" w:rsidRPr="005F5E3B" w:rsidRDefault="0061082A" w:rsidP="0061082A">
            <w:pPr>
              <w:pStyle w:val="NoSpacing"/>
            </w:pPr>
          </w:p>
        </w:tc>
        <w:tc>
          <w:tcPr>
            <w:tcW w:w="1220" w:type="dxa"/>
          </w:tcPr>
          <w:p w14:paraId="1AA0B3F8" w14:textId="77777777" w:rsidR="0061082A" w:rsidRPr="005F5E3B" w:rsidRDefault="0061082A" w:rsidP="0061082A">
            <w:pPr>
              <w:pStyle w:val="NoSpacing"/>
            </w:pPr>
          </w:p>
        </w:tc>
        <w:tc>
          <w:tcPr>
            <w:tcW w:w="855" w:type="dxa"/>
          </w:tcPr>
          <w:p w14:paraId="2224F19C" w14:textId="77777777" w:rsidR="0061082A" w:rsidRPr="005F5E3B" w:rsidRDefault="0061082A" w:rsidP="0061082A">
            <w:pPr>
              <w:pStyle w:val="NoSpacing"/>
            </w:pPr>
            <w:r w:rsidRPr="005F5E3B">
              <w:t>0.99</w:t>
            </w:r>
          </w:p>
        </w:tc>
      </w:tr>
      <w:tr w:rsidR="005F5E3B" w:rsidRPr="005F5E3B" w14:paraId="5E185AD7" w14:textId="77777777" w:rsidTr="002F1753">
        <w:tc>
          <w:tcPr>
            <w:tcW w:w="2263" w:type="dxa"/>
          </w:tcPr>
          <w:p w14:paraId="3855C67C" w14:textId="77777777" w:rsidR="0061082A" w:rsidRPr="005F5E3B" w:rsidRDefault="0061082A" w:rsidP="0061082A">
            <w:pPr>
              <w:pStyle w:val="NoSpacing"/>
            </w:pPr>
            <w:r w:rsidRPr="005F5E3B">
              <w:t>-Mandatory</w:t>
            </w:r>
          </w:p>
        </w:tc>
        <w:tc>
          <w:tcPr>
            <w:tcW w:w="1276" w:type="dxa"/>
          </w:tcPr>
          <w:p w14:paraId="4DAC45CF" w14:textId="77777777" w:rsidR="0061082A" w:rsidRPr="005F5E3B" w:rsidRDefault="0061082A" w:rsidP="0061082A">
            <w:pPr>
              <w:pStyle w:val="NoSpacing"/>
            </w:pPr>
            <w:r w:rsidRPr="005F5E3B">
              <w:t>517 (40%)</w:t>
            </w:r>
          </w:p>
        </w:tc>
        <w:tc>
          <w:tcPr>
            <w:tcW w:w="1276" w:type="dxa"/>
          </w:tcPr>
          <w:p w14:paraId="64FEE9F8" w14:textId="77777777" w:rsidR="0061082A" w:rsidRPr="005F5E3B" w:rsidRDefault="0061082A" w:rsidP="0061082A">
            <w:pPr>
              <w:pStyle w:val="NoSpacing"/>
            </w:pPr>
            <w:r w:rsidRPr="005F5E3B">
              <w:t>169 (31%)</w:t>
            </w:r>
          </w:p>
        </w:tc>
        <w:tc>
          <w:tcPr>
            <w:tcW w:w="850" w:type="dxa"/>
          </w:tcPr>
          <w:p w14:paraId="2262ABC8" w14:textId="77777777" w:rsidR="0061082A" w:rsidRPr="005F5E3B" w:rsidRDefault="0061082A" w:rsidP="0061082A">
            <w:pPr>
              <w:pStyle w:val="NoSpacing"/>
            </w:pPr>
          </w:p>
        </w:tc>
        <w:tc>
          <w:tcPr>
            <w:tcW w:w="1276" w:type="dxa"/>
          </w:tcPr>
          <w:p w14:paraId="3E64E595" w14:textId="77777777" w:rsidR="0061082A" w:rsidRPr="005F5E3B" w:rsidRDefault="0061082A" w:rsidP="0061082A">
            <w:pPr>
              <w:pStyle w:val="NoSpacing"/>
            </w:pPr>
            <w:r w:rsidRPr="005F5E3B">
              <w:t>169 (31%)</w:t>
            </w:r>
          </w:p>
        </w:tc>
        <w:tc>
          <w:tcPr>
            <w:tcW w:w="1220" w:type="dxa"/>
          </w:tcPr>
          <w:p w14:paraId="3FC85B5F" w14:textId="77777777" w:rsidR="0061082A" w:rsidRPr="005F5E3B" w:rsidRDefault="0061082A" w:rsidP="0061082A">
            <w:pPr>
              <w:pStyle w:val="NoSpacing"/>
            </w:pPr>
            <w:r w:rsidRPr="005F5E3B">
              <w:t>169 (31%)</w:t>
            </w:r>
          </w:p>
        </w:tc>
        <w:tc>
          <w:tcPr>
            <w:tcW w:w="855" w:type="dxa"/>
          </w:tcPr>
          <w:p w14:paraId="046627FA" w14:textId="77777777" w:rsidR="0061082A" w:rsidRPr="005F5E3B" w:rsidRDefault="0061082A" w:rsidP="0061082A">
            <w:pPr>
              <w:pStyle w:val="NoSpacing"/>
            </w:pPr>
          </w:p>
        </w:tc>
      </w:tr>
      <w:tr w:rsidR="005F5E3B" w:rsidRPr="005F5E3B" w14:paraId="28CF747B" w14:textId="77777777" w:rsidTr="002F1753">
        <w:tc>
          <w:tcPr>
            <w:tcW w:w="2263" w:type="dxa"/>
          </w:tcPr>
          <w:p w14:paraId="6761CCB6" w14:textId="77777777" w:rsidR="0061082A" w:rsidRPr="005F5E3B" w:rsidRDefault="0061082A" w:rsidP="0061082A">
            <w:pPr>
              <w:pStyle w:val="NoSpacing"/>
            </w:pPr>
            <w:r w:rsidRPr="005F5E3B">
              <w:lastRenderedPageBreak/>
              <w:t>-High school</w:t>
            </w:r>
          </w:p>
        </w:tc>
        <w:tc>
          <w:tcPr>
            <w:tcW w:w="1276" w:type="dxa"/>
          </w:tcPr>
          <w:p w14:paraId="2DF73D75" w14:textId="77777777" w:rsidR="0061082A" w:rsidRPr="005F5E3B" w:rsidRDefault="0061082A" w:rsidP="0061082A">
            <w:pPr>
              <w:pStyle w:val="NoSpacing"/>
            </w:pPr>
            <w:r w:rsidRPr="005F5E3B">
              <w:t>506 (39%)</w:t>
            </w:r>
          </w:p>
        </w:tc>
        <w:tc>
          <w:tcPr>
            <w:tcW w:w="1276" w:type="dxa"/>
          </w:tcPr>
          <w:p w14:paraId="00FD7518" w14:textId="77777777" w:rsidR="0061082A" w:rsidRPr="005F5E3B" w:rsidRDefault="0061082A" w:rsidP="0061082A">
            <w:pPr>
              <w:pStyle w:val="NoSpacing"/>
            </w:pPr>
            <w:r w:rsidRPr="005F5E3B">
              <w:t>258 (47%)</w:t>
            </w:r>
          </w:p>
        </w:tc>
        <w:tc>
          <w:tcPr>
            <w:tcW w:w="850" w:type="dxa"/>
          </w:tcPr>
          <w:p w14:paraId="1681C70E" w14:textId="77777777" w:rsidR="0061082A" w:rsidRPr="005F5E3B" w:rsidRDefault="0061082A" w:rsidP="0061082A">
            <w:pPr>
              <w:pStyle w:val="NoSpacing"/>
            </w:pPr>
          </w:p>
        </w:tc>
        <w:tc>
          <w:tcPr>
            <w:tcW w:w="1276" w:type="dxa"/>
          </w:tcPr>
          <w:p w14:paraId="0BBE1372" w14:textId="77777777" w:rsidR="0061082A" w:rsidRPr="005F5E3B" w:rsidRDefault="0061082A" w:rsidP="0061082A">
            <w:pPr>
              <w:pStyle w:val="NoSpacing"/>
            </w:pPr>
            <w:r w:rsidRPr="005F5E3B">
              <w:t>256 (46%)</w:t>
            </w:r>
          </w:p>
        </w:tc>
        <w:tc>
          <w:tcPr>
            <w:tcW w:w="1220" w:type="dxa"/>
          </w:tcPr>
          <w:p w14:paraId="15FCB39A" w14:textId="77777777" w:rsidR="0061082A" w:rsidRPr="005F5E3B" w:rsidRDefault="0061082A" w:rsidP="0061082A">
            <w:pPr>
              <w:pStyle w:val="NoSpacing"/>
            </w:pPr>
            <w:r w:rsidRPr="005F5E3B">
              <w:t>258 (47%)</w:t>
            </w:r>
          </w:p>
        </w:tc>
        <w:tc>
          <w:tcPr>
            <w:tcW w:w="855" w:type="dxa"/>
          </w:tcPr>
          <w:p w14:paraId="1A82D91A" w14:textId="77777777" w:rsidR="0061082A" w:rsidRPr="005F5E3B" w:rsidRDefault="0061082A" w:rsidP="0061082A">
            <w:pPr>
              <w:pStyle w:val="NoSpacing"/>
            </w:pPr>
          </w:p>
        </w:tc>
      </w:tr>
      <w:tr w:rsidR="005F5E3B" w:rsidRPr="005F5E3B" w14:paraId="603DB29C" w14:textId="77777777" w:rsidTr="002F1753">
        <w:tc>
          <w:tcPr>
            <w:tcW w:w="2263" w:type="dxa"/>
          </w:tcPr>
          <w:p w14:paraId="39B44D17" w14:textId="77777777" w:rsidR="0061082A" w:rsidRPr="005F5E3B" w:rsidRDefault="0061082A" w:rsidP="0061082A">
            <w:pPr>
              <w:pStyle w:val="NoSpacing"/>
            </w:pPr>
            <w:r w:rsidRPr="005F5E3B">
              <w:t>-University</w:t>
            </w:r>
          </w:p>
        </w:tc>
        <w:tc>
          <w:tcPr>
            <w:tcW w:w="1276" w:type="dxa"/>
          </w:tcPr>
          <w:p w14:paraId="54FE489A" w14:textId="77777777" w:rsidR="0061082A" w:rsidRPr="005F5E3B" w:rsidRDefault="0061082A" w:rsidP="0061082A">
            <w:pPr>
              <w:pStyle w:val="NoSpacing"/>
            </w:pPr>
            <w:r w:rsidRPr="005F5E3B">
              <w:t>265 (20%)</w:t>
            </w:r>
          </w:p>
        </w:tc>
        <w:tc>
          <w:tcPr>
            <w:tcW w:w="1276" w:type="dxa"/>
          </w:tcPr>
          <w:p w14:paraId="3A342AFD" w14:textId="77777777" w:rsidR="0061082A" w:rsidRPr="005F5E3B" w:rsidRDefault="0061082A" w:rsidP="0061082A">
            <w:pPr>
              <w:pStyle w:val="NoSpacing"/>
            </w:pPr>
            <w:r w:rsidRPr="005F5E3B">
              <w:t>124 (22%)</w:t>
            </w:r>
          </w:p>
        </w:tc>
        <w:tc>
          <w:tcPr>
            <w:tcW w:w="850" w:type="dxa"/>
          </w:tcPr>
          <w:p w14:paraId="7E620D17" w14:textId="77777777" w:rsidR="0061082A" w:rsidRPr="005F5E3B" w:rsidRDefault="0061082A" w:rsidP="0061082A">
            <w:pPr>
              <w:pStyle w:val="NoSpacing"/>
            </w:pPr>
          </w:p>
        </w:tc>
        <w:tc>
          <w:tcPr>
            <w:tcW w:w="1276" w:type="dxa"/>
          </w:tcPr>
          <w:p w14:paraId="129D1BC0" w14:textId="77777777" w:rsidR="0061082A" w:rsidRPr="005F5E3B" w:rsidRDefault="0061082A" w:rsidP="0061082A">
            <w:pPr>
              <w:pStyle w:val="NoSpacing"/>
            </w:pPr>
            <w:r w:rsidRPr="005F5E3B">
              <w:t>126 (23%)</w:t>
            </w:r>
          </w:p>
        </w:tc>
        <w:tc>
          <w:tcPr>
            <w:tcW w:w="1220" w:type="dxa"/>
          </w:tcPr>
          <w:p w14:paraId="303E59E9" w14:textId="77777777" w:rsidR="0061082A" w:rsidRPr="005F5E3B" w:rsidRDefault="0061082A" w:rsidP="0061082A">
            <w:pPr>
              <w:pStyle w:val="NoSpacing"/>
            </w:pPr>
            <w:r w:rsidRPr="005F5E3B">
              <w:t>124 (22%)</w:t>
            </w:r>
          </w:p>
        </w:tc>
        <w:tc>
          <w:tcPr>
            <w:tcW w:w="855" w:type="dxa"/>
          </w:tcPr>
          <w:p w14:paraId="630C0C38" w14:textId="77777777" w:rsidR="0061082A" w:rsidRPr="005F5E3B" w:rsidRDefault="0061082A" w:rsidP="0061082A">
            <w:pPr>
              <w:pStyle w:val="NoSpacing"/>
            </w:pPr>
          </w:p>
        </w:tc>
      </w:tr>
      <w:tr w:rsidR="005F5E3B" w:rsidRPr="005F5E3B" w14:paraId="40840613" w14:textId="77777777" w:rsidTr="002F1753">
        <w:tc>
          <w:tcPr>
            <w:tcW w:w="2263" w:type="dxa"/>
          </w:tcPr>
          <w:p w14:paraId="39F9E496" w14:textId="77777777" w:rsidR="0061082A" w:rsidRPr="005F5E3B" w:rsidRDefault="0061082A" w:rsidP="0061082A">
            <w:pPr>
              <w:pStyle w:val="NoSpacing"/>
            </w:pPr>
            <w:r w:rsidRPr="005F5E3B">
              <w:t>-Missing</w:t>
            </w:r>
          </w:p>
        </w:tc>
        <w:tc>
          <w:tcPr>
            <w:tcW w:w="1276" w:type="dxa"/>
          </w:tcPr>
          <w:p w14:paraId="42C32722" w14:textId="77777777" w:rsidR="0061082A" w:rsidRPr="005F5E3B" w:rsidRDefault="0061082A" w:rsidP="0061082A">
            <w:pPr>
              <w:pStyle w:val="NoSpacing"/>
            </w:pPr>
            <w:r w:rsidRPr="005F5E3B">
              <w:t>9 (1%)</w:t>
            </w:r>
          </w:p>
        </w:tc>
        <w:tc>
          <w:tcPr>
            <w:tcW w:w="1276" w:type="dxa"/>
          </w:tcPr>
          <w:p w14:paraId="53C1189E" w14:textId="77777777" w:rsidR="0061082A" w:rsidRPr="005F5E3B" w:rsidRDefault="0061082A" w:rsidP="0061082A">
            <w:pPr>
              <w:pStyle w:val="NoSpacing"/>
            </w:pPr>
            <w:r w:rsidRPr="005F5E3B">
              <w:t>2 (0.4%)</w:t>
            </w:r>
          </w:p>
        </w:tc>
        <w:tc>
          <w:tcPr>
            <w:tcW w:w="850" w:type="dxa"/>
          </w:tcPr>
          <w:p w14:paraId="31DA5A5D" w14:textId="77777777" w:rsidR="0061082A" w:rsidRPr="005F5E3B" w:rsidRDefault="0061082A" w:rsidP="0061082A">
            <w:pPr>
              <w:pStyle w:val="NoSpacing"/>
            </w:pPr>
          </w:p>
        </w:tc>
        <w:tc>
          <w:tcPr>
            <w:tcW w:w="1276" w:type="dxa"/>
          </w:tcPr>
          <w:p w14:paraId="20C96A05" w14:textId="77777777" w:rsidR="0061082A" w:rsidRPr="005F5E3B" w:rsidRDefault="0061082A" w:rsidP="0061082A">
            <w:pPr>
              <w:pStyle w:val="NoSpacing"/>
            </w:pPr>
            <w:r w:rsidRPr="005F5E3B">
              <w:t>2 (0.4%)</w:t>
            </w:r>
          </w:p>
        </w:tc>
        <w:tc>
          <w:tcPr>
            <w:tcW w:w="1220" w:type="dxa"/>
          </w:tcPr>
          <w:p w14:paraId="69F4F930" w14:textId="77777777" w:rsidR="0061082A" w:rsidRPr="005F5E3B" w:rsidRDefault="0061082A" w:rsidP="0061082A">
            <w:pPr>
              <w:pStyle w:val="NoSpacing"/>
            </w:pPr>
            <w:r w:rsidRPr="005F5E3B">
              <w:t>2 (0.4%)</w:t>
            </w:r>
          </w:p>
        </w:tc>
        <w:tc>
          <w:tcPr>
            <w:tcW w:w="855" w:type="dxa"/>
          </w:tcPr>
          <w:p w14:paraId="76088931" w14:textId="77777777" w:rsidR="0061082A" w:rsidRPr="005F5E3B" w:rsidRDefault="0061082A" w:rsidP="0061082A">
            <w:pPr>
              <w:pStyle w:val="NoSpacing"/>
            </w:pPr>
          </w:p>
        </w:tc>
      </w:tr>
      <w:tr w:rsidR="005F5E3B" w:rsidRPr="005F5E3B" w14:paraId="59F7D8D7" w14:textId="77777777" w:rsidTr="002F1753">
        <w:tc>
          <w:tcPr>
            <w:tcW w:w="2263" w:type="dxa"/>
          </w:tcPr>
          <w:p w14:paraId="23E9E8B0" w14:textId="77777777" w:rsidR="0061082A" w:rsidRPr="005F5E3B" w:rsidRDefault="0061082A" w:rsidP="0061082A">
            <w:pPr>
              <w:pStyle w:val="NoSpacing"/>
            </w:pPr>
            <w:r w:rsidRPr="005F5E3B">
              <w:t>Grade</w:t>
            </w:r>
          </w:p>
        </w:tc>
        <w:tc>
          <w:tcPr>
            <w:tcW w:w="1276" w:type="dxa"/>
          </w:tcPr>
          <w:p w14:paraId="5F905CFC" w14:textId="77777777" w:rsidR="0061082A" w:rsidRPr="005F5E3B" w:rsidRDefault="0061082A" w:rsidP="0061082A">
            <w:pPr>
              <w:pStyle w:val="NoSpacing"/>
            </w:pPr>
          </w:p>
        </w:tc>
        <w:tc>
          <w:tcPr>
            <w:tcW w:w="1276" w:type="dxa"/>
          </w:tcPr>
          <w:p w14:paraId="404C2077" w14:textId="77777777" w:rsidR="0061082A" w:rsidRPr="005F5E3B" w:rsidRDefault="0061082A" w:rsidP="0061082A">
            <w:pPr>
              <w:pStyle w:val="NoSpacing"/>
            </w:pPr>
          </w:p>
        </w:tc>
        <w:tc>
          <w:tcPr>
            <w:tcW w:w="850" w:type="dxa"/>
          </w:tcPr>
          <w:p w14:paraId="438644CE" w14:textId="77777777" w:rsidR="0061082A" w:rsidRPr="005F5E3B" w:rsidRDefault="0061082A" w:rsidP="0061082A">
            <w:pPr>
              <w:pStyle w:val="NoSpacing"/>
            </w:pPr>
            <w:r w:rsidRPr="005F5E3B">
              <w:t>0.037</w:t>
            </w:r>
          </w:p>
        </w:tc>
        <w:tc>
          <w:tcPr>
            <w:tcW w:w="1276" w:type="dxa"/>
          </w:tcPr>
          <w:p w14:paraId="110A68EF" w14:textId="77777777" w:rsidR="0061082A" w:rsidRPr="005F5E3B" w:rsidRDefault="0061082A" w:rsidP="0061082A">
            <w:pPr>
              <w:pStyle w:val="NoSpacing"/>
            </w:pPr>
          </w:p>
        </w:tc>
        <w:tc>
          <w:tcPr>
            <w:tcW w:w="1220" w:type="dxa"/>
          </w:tcPr>
          <w:p w14:paraId="576840FC" w14:textId="77777777" w:rsidR="0061082A" w:rsidRPr="005F5E3B" w:rsidRDefault="0061082A" w:rsidP="0061082A">
            <w:pPr>
              <w:pStyle w:val="NoSpacing"/>
            </w:pPr>
          </w:p>
        </w:tc>
        <w:tc>
          <w:tcPr>
            <w:tcW w:w="855" w:type="dxa"/>
          </w:tcPr>
          <w:p w14:paraId="5591EB2C" w14:textId="77777777" w:rsidR="0061082A" w:rsidRPr="005F5E3B" w:rsidRDefault="0061082A" w:rsidP="0061082A">
            <w:pPr>
              <w:pStyle w:val="NoSpacing"/>
            </w:pPr>
            <w:r w:rsidRPr="005F5E3B">
              <w:t>0.41</w:t>
            </w:r>
          </w:p>
        </w:tc>
      </w:tr>
      <w:tr w:rsidR="005F5E3B" w:rsidRPr="005F5E3B" w14:paraId="76E704DB" w14:textId="77777777" w:rsidTr="002F1753">
        <w:tc>
          <w:tcPr>
            <w:tcW w:w="2263" w:type="dxa"/>
          </w:tcPr>
          <w:p w14:paraId="1446927D" w14:textId="77777777" w:rsidR="0061082A" w:rsidRPr="005F5E3B" w:rsidRDefault="0061082A" w:rsidP="0061082A">
            <w:pPr>
              <w:pStyle w:val="NoSpacing"/>
            </w:pPr>
            <w:r w:rsidRPr="005F5E3B">
              <w:t>-G1 and G2</w:t>
            </w:r>
          </w:p>
        </w:tc>
        <w:tc>
          <w:tcPr>
            <w:tcW w:w="1276" w:type="dxa"/>
          </w:tcPr>
          <w:p w14:paraId="726E8BD7" w14:textId="77777777" w:rsidR="0061082A" w:rsidRPr="005F5E3B" w:rsidRDefault="0061082A" w:rsidP="0061082A">
            <w:pPr>
              <w:pStyle w:val="NoSpacing"/>
            </w:pPr>
            <w:r w:rsidRPr="005F5E3B">
              <w:t>126 (10%)</w:t>
            </w:r>
          </w:p>
        </w:tc>
        <w:tc>
          <w:tcPr>
            <w:tcW w:w="1276" w:type="dxa"/>
          </w:tcPr>
          <w:p w14:paraId="15F7AD6C" w14:textId="77777777" w:rsidR="0061082A" w:rsidRPr="005F5E3B" w:rsidRDefault="0061082A" w:rsidP="0061082A">
            <w:pPr>
              <w:pStyle w:val="NoSpacing"/>
            </w:pPr>
            <w:r w:rsidRPr="005F5E3B">
              <w:t>43 (8%)</w:t>
            </w:r>
          </w:p>
        </w:tc>
        <w:tc>
          <w:tcPr>
            <w:tcW w:w="850" w:type="dxa"/>
          </w:tcPr>
          <w:p w14:paraId="59C4B484" w14:textId="77777777" w:rsidR="0061082A" w:rsidRPr="005F5E3B" w:rsidRDefault="0061082A" w:rsidP="0061082A">
            <w:pPr>
              <w:pStyle w:val="NoSpacing"/>
            </w:pPr>
          </w:p>
        </w:tc>
        <w:tc>
          <w:tcPr>
            <w:tcW w:w="1276" w:type="dxa"/>
          </w:tcPr>
          <w:p w14:paraId="6A4E1334" w14:textId="77777777" w:rsidR="0061082A" w:rsidRPr="005F5E3B" w:rsidRDefault="0061082A" w:rsidP="0061082A">
            <w:pPr>
              <w:pStyle w:val="NoSpacing"/>
            </w:pPr>
            <w:r w:rsidRPr="005F5E3B">
              <w:t>32 (6%)</w:t>
            </w:r>
          </w:p>
        </w:tc>
        <w:tc>
          <w:tcPr>
            <w:tcW w:w="1220" w:type="dxa"/>
          </w:tcPr>
          <w:p w14:paraId="50439745" w14:textId="77777777" w:rsidR="0061082A" w:rsidRPr="005F5E3B" w:rsidRDefault="0061082A" w:rsidP="0061082A">
            <w:pPr>
              <w:pStyle w:val="NoSpacing"/>
            </w:pPr>
            <w:r w:rsidRPr="005F5E3B">
              <w:t>43 (8%)</w:t>
            </w:r>
          </w:p>
        </w:tc>
        <w:tc>
          <w:tcPr>
            <w:tcW w:w="855" w:type="dxa"/>
          </w:tcPr>
          <w:p w14:paraId="4C0F02B0" w14:textId="77777777" w:rsidR="0061082A" w:rsidRPr="005F5E3B" w:rsidRDefault="0061082A" w:rsidP="0061082A">
            <w:pPr>
              <w:pStyle w:val="NoSpacing"/>
            </w:pPr>
          </w:p>
        </w:tc>
      </w:tr>
      <w:tr w:rsidR="005F5E3B" w:rsidRPr="005F5E3B" w14:paraId="1EE5A67C" w14:textId="77777777" w:rsidTr="002F1753">
        <w:tc>
          <w:tcPr>
            <w:tcW w:w="2263" w:type="dxa"/>
          </w:tcPr>
          <w:p w14:paraId="17B24D7B" w14:textId="77777777" w:rsidR="0061082A" w:rsidRPr="005F5E3B" w:rsidRDefault="0061082A" w:rsidP="0061082A">
            <w:pPr>
              <w:pStyle w:val="NoSpacing"/>
            </w:pPr>
            <w:r w:rsidRPr="005F5E3B">
              <w:t>-G3 and GX</w:t>
            </w:r>
          </w:p>
        </w:tc>
        <w:tc>
          <w:tcPr>
            <w:tcW w:w="1276" w:type="dxa"/>
          </w:tcPr>
          <w:p w14:paraId="2E532E31" w14:textId="77777777" w:rsidR="0061082A" w:rsidRPr="005F5E3B" w:rsidRDefault="0061082A" w:rsidP="0061082A">
            <w:pPr>
              <w:pStyle w:val="NoSpacing"/>
            </w:pPr>
            <w:r w:rsidRPr="005F5E3B">
              <w:t>1099 (85%)</w:t>
            </w:r>
          </w:p>
        </w:tc>
        <w:tc>
          <w:tcPr>
            <w:tcW w:w="1276" w:type="dxa"/>
          </w:tcPr>
          <w:p w14:paraId="481FE4B8" w14:textId="77777777" w:rsidR="0061082A" w:rsidRPr="005F5E3B" w:rsidRDefault="0061082A" w:rsidP="0061082A">
            <w:pPr>
              <w:pStyle w:val="NoSpacing"/>
            </w:pPr>
            <w:r w:rsidRPr="005F5E3B">
              <w:t>492 (89%)</w:t>
            </w:r>
          </w:p>
        </w:tc>
        <w:tc>
          <w:tcPr>
            <w:tcW w:w="850" w:type="dxa"/>
          </w:tcPr>
          <w:p w14:paraId="0A96354C" w14:textId="77777777" w:rsidR="0061082A" w:rsidRPr="005F5E3B" w:rsidRDefault="0061082A" w:rsidP="0061082A">
            <w:pPr>
              <w:pStyle w:val="NoSpacing"/>
            </w:pPr>
          </w:p>
        </w:tc>
        <w:tc>
          <w:tcPr>
            <w:tcW w:w="1276" w:type="dxa"/>
          </w:tcPr>
          <w:p w14:paraId="3F875EE7" w14:textId="77777777" w:rsidR="0061082A" w:rsidRPr="005F5E3B" w:rsidRDefault="0061082A" w:rsidP="0061082A">
            <w:pPr>
              <w:pStyle w:val="NoSpacing"/>
            </w:pPr>
            <w:r w:rsidRPr="005F5E3B">
              <w:t>504 (91%)</w:t>
            </w:r>
          </w:p>
        </w:tc>
        <w:tc>
          <w:tcPr>
            <w:tcW w:w="1220" w:type="dxa"/>
          </w:tcPr>
          <w:p w14:paraId="4750A9E5" w14:textId="77777777" w:rsidR="0061082A" w:rsidRPr="005F5E3B" w:rsidRDefault="0061082A" w:rsidP="0061082A">
            <w:pPr>
              <w:pStyle w:val="NoSpacing"/>
            </w:pPr>
            <w:r w:rsidRPr="005F5E3B">
              <w:t>492 (89%)</w:t>
            </w:r>
          </w:p>
        </w:tc>
        <w:tc>
          <w:tcPr>
            <w:tcW w:w="855" w:type="dxa"/>
          </w:tcPr>
          <w:p w14:paraId="7C929832" w14:textId="77777777" w:rsidR="0061082A" w:rsidRPr="005F5E3B" w:rsidRDefault="0061082A" w:rsidP="0061082A">
            <w:pPr>
              <w:pStyle w:val="NoSpacing"/>
            </w:pPr>
          </w:p>
        </w:tc>
      </w:tr>
      <w:tr w:rsidR="005F5E3B" w:rsidRPr="005F5E3B" w14:paraId="15312554" w14:textId="77777777" w:rsidTr="002F1753">
        <w:tc>
          <w:tcPr>
            <w:tcW w:w="2263" w:type="dxa"/>
          </w:tcPr>
          <w:p w14:paraId="6B30A14F" w14:textId="77777777" w:rsidR="0061082A" w:rsidRPr="005F5E3B" w:rsidRDefault="0061082A" w:rsidP="0061082A">
            <w:pPr>
              <w:pStyle w:val="NoSpacing"/>
            </w:pPr>
            <w:r w:rsidRPr="005F5E3B">
              <w:t>-Missing</w:t>
            </w:r>
          </w:p>
        </w:tc>
        <w:tc>
          <w:tcPr>
            <w:tcW w:w="1276" w:type="dxa"/>
          </w:tcPr>
          <w:p w14:paraId="43A951BB" w14:textId="77777777" w:rsidR="0061082A" w:rsidRPr="005F5E3B" w:rsidRDefault="0061082A" w:rsidP="0061082A">
            <w:pPr>
              <w:pStyle w:val="NoSpacing"/>
            </w:pPr>
            <w:r w:rsidRPr="005F5E3B">
              <w:t>72 (5%)</w:t>
            </w:r>
          </w:p>
        </w:tc>
        <w:tc>
          <w:tcPr>
            <w:tcW w:w="1276" w:type="dxa"/>
          </w:tcPr>
          <w:p w14:paraId="51B13A57" w14:textId="77777777" w:rsidR="0061082A" w:rsidRPr="005F5E3B" w:rsidRDefault="0061082A" w:rsidP="0061082A">
            <w:pPr>
              <w:pStyle w:val="NoSpacing"/>
            </w:pPr>
            <w:r w:rsidRPr="005F5E3B">
              <w:t>18 (3%)</w:t>
            </w:r>
          </w:p>
        </w:tc>
        <w:tc>
          <w:tcPr>
            <w:tcW w:w="850" w:type="dxa"/>
          </w:tcPr>
          <w:p w14:paraId="1717F96B" w14:textId="77777777" w:rsidR="0061082A" w:rsidRPr="005F5E3B" w:rsidRDefault="0061082A" w:rsidP="0061082A">
            <w:pPr>
              <w:pStyle w:val="NoSpacing"/>
            </w:pPr>
          </w:p>
        </w:tc>
        <w:tc>
          <w:tcPr>
            <w:tcW w:w="1276" w:type="dxa"/>
          </w:tcPr>
          <w:p w14:paraId="0DC8413C" w14:textId="77777777" w:rsidR="0061082A" w:rsidRPr="005F5E3B" w:rsidRDefault="0061082A" w:rsidP="0061082A">
            <w:pPr>
              <w:pStyle w:val="NoSpacing"/>
            </w:pPr>
            <w:r w:rsidRPr="005F5E3B">
              <w:t>17 (3%)</w:t>
            </w:r>
          </w:p>
        </w:tc>
        <w:tc>
          <w:tcPr>
            <w:tcW w:w="1220" w:type="dxa"/>
          </w:tcPr>
          <w:p w14:paraId="567B5996" w14:textId="77777777" w:rsidR="0061082A" w:rsidRPr="005F5E3B" w:rsidRDefault="0061082A" w:rsidP="0061082A">
            <w:pPr>
              <w:pStyle w:val="NoSpacing"/>
            </w:pPr>
            <w:r w:rsidRPr="005F5E3B">
              <w:t>18 (3%)</w:t>
            </w:r>
          </w:p>
        </w:tc>
        <w:tc>
          <w:tcPr>
            <w:tcW w:w="855" w:type="dxa"/>
          </w:tcPr>
          <w:p w14:paraId="5528B193" w14:textId="77777777" w:rsidR="0061082A" w:rsidRPr="005F5E3B" w:rsidRDefault="0061082A" w:rsidP="0061082A">
            <w:pPr>
              <w:pStyle w:val="NoSpacing"/>
            </w:pPr>
          </w:p>
        </w:tc>
      </w:tr>
      <w:tr w:rsidR="005F5E3B" w:rsidRPr="005F5E3B" w14:paraId="035C577B" w14:textId="77777777" w:rsidTr="002F1753">
        <w:tc>
          <w:tcPr>
            <w:tcW w:w="2263" w:type="dxa"/>
          </w:tcPr>
          <w:p w14:paraId="1971C196" w14:textId="77777777" w:rsidR="0061082A" w:rsidRPr="005F5E3B" w:rsidRDefault="0061082A" w:rsidP="0061082A">
            <w:pPr>
              <w:pStyle w:val="NoSpacing"/>
            </w:pPr>
            <w:r w:rsidRPr="005F5E3B">
              <w:t>Healthcare Region</w:t>
            </w:r>
          </w:p>
        </w:tc>
        <w:tc>
          <w:tcPr>
            <w:tcW w:w="1276" w:type="dxa"/>
          </w:tcPr>
          <w:p w14:paraId="3C1C6891" w14:textId="77777777" w:rsidR="0061082A" w:rsidRPr="005F5E3B" w:rsidRDefault="0061082A" w:rsidP="0061082A">
            <w:pPr>
              <w:pStyle w:val="NoSpacing"/>
            </w:pPr>
          </w:p>
        </w:tc>
        <w:tc>
          <w:tcPr>
            <w:tcW w:w="1276" w:type="dxa"/>
          </w:tcPr>
          <w:p w14:paraId="28E44AAF" w14:textId="77777777" w:rsidR="0061082A" w:rsidRPr="005F5E3B" w:rsidRDefault="0061082A" w:rsidP="0061082A">
            <w:pPr>
              <w:pStyle w:val="NoSpacing"/>
            </w:pPr>
          </w:p>
        </w:tc>
        <w:tc>
          <w:tcPr>
            <w:tcW w:w="850" w:type="dxa"/>
          </w:tcPr>
          <w:p w14:paraId="5911E467" w14:textId="77777777" w:rsidR="0061082A" w:rsidRPr="005F5E3B" w:rsidRDefault="0061082A" w:rsidP="0061082A">
            <w:pPr>
              <w:pStyle w:val="NoSpacing"/>
            </w:pPr>
            <w:r w:rsidRPr="005F5E3B">
              <w:t>0.000</w:t>
            </w:r>
          </w:p>
        </w:tc>
        <w:tc>
          <w:tcPr>
            <w:tcW w:w="1276" w:type="dxa"/>
          </w:tcPr>
          <w:p w14:paraId="1E74328A" w14:textId="77777777" w:rsidR="0061082A" w:rsidRPr="005F5E3B" w:rsidRDefault="0061082A" w:rsidP="0061082A">
            <w:pPr>
              <w:pStyle w:val="NoSpacing"/>
            </w:pPr>
          </w:p>
        </w:tc>
        <w:tc>
          <w:tcPr>
            <w:tcW w:w="1220" w:type="dxa"/>
          </w:tcPr>
          <w:p w14:paraId="6AC399EB" w14:textId="77777777" w:rsidR="0061082A" w:rsidRPr="005F5E3B" w:rsidRDefault="0061082A" w:rsidP="0061082A">
            <w:pPr>
              <w:pStyle w:val="NoSpacing"/>
            </w:pPr>
          </w:p>
        </w:tc>
        <w:tc>
          <w:tcPr>
            <w:tcW w:w="855" w:type="dxa"/>
          </w:tcPr>
          <w:p w14:paraId="6CF4B8A4" w14:textId="77777777" w:rsidR="0061082A" w:rsidRPr="005F5E3B" w:rsidRDefault="0061082A" w:rsidP="0061082A">
            <w:pPr>
              <w:pStyle w:val="NoSpacing"/>
            </w:pPr>
            <w:r w:rsidRPr="005F5E3B">
              <w:t>0.95</w:t>
            </w:r>
          </w:p>
        </w:tc>
      </w:tr>
      <w:tr w:rsidR="005F5E3B" w:rsidRPr="005F5E3B" w14:paraId="6C4C09FE" w14:textId="77777777" w:rsidTr="002F1753">
        <w:tc>
          <w:tcPr>
            <w:tcW w:w="2263" w:type="dxa"/>
          </w:tcPr>
          <w:p w14:paraId="0894AC61" w14:textId="77777777" w:rsidR="0061082A" w:rsidRPr="005F5E3B" w:rsidRDefault="0061082A" w:rsidP="0061082A">
            <w:pPr>
              <w:pStyle w:val="NoSpacing"/>
            </w:pPr>
            <w:r w:rsidRPr="005F5E3B">
              <w:t xml:space="preserve">-Stockholm </w:t>
            </w:r>
          </w:p>
        </w:tc>
        <w:tc>
          <w:tcPr>
            <w:tcW w:w="1276" w:type="dxa"/>
          </w:tcPr>
          <w:p w14:paraId="4AA5BC89" w14:textId="77777777" w:rsidR="0061082A" w:rsidRPr="005F5E3B" w:rsidRDefault="0061082A" w:rsidP="0061082A">
            <w:pPr>
              <w:pStyle w:val="NoSpacing"/>
            </w:pPr>
            <w:r w:rsidRPr="005F5E3B">
              <w:t>174 (13%)</w:t>
            </w:r>
          </w:p>
        </w:tc>
        <w:tc>
          <w:tcPr>
            <w:tcW w:w="1276" w:type="dxa"/>
          </w:tcPr>
          <w:p w14:paraId="533EAF8E" w14:textId="77777777" w:rsidR="0061082A" w:rsidRPr="005F5E3B" w:rsidRDefault="0061082A" w:rsidP="0061082A">
            <w:pPr>
              <w:pStyle w:val="NoSpacing"/>
            </w:pPr>
            <w:r w:rsidRPr="005F5E3B">
              <w:t>113 (20%)</w:t>
            </w:r>
          </w:p>
        </w:tc>
        <w:tc>
          <w:tcPr>
            <w:tcW w:w="850" w:type="dxa"/>
          </w:tcPr>
          <w:p w14:paraId="26E1C7FC" w14:textId="77777777" w:rsidR="0061082A" w:rsidRPr="005F5E3B" w:rsidRDefault="0061082A" w:rsidP="0061082A">
            <w:pPr>
              <w:pStyle w:val="NoSpacing"/>
            </w:pPr>
          </w:p>
        </w:tc>
        <w:tc>
          <w:tcPr>
            <w:tcW w:w="1276" w:type="dxa"/>
          </w:tcPr>
          <w:p w14:paraId="3EC1C984" w14:textId="77777777" w:rsidR="0061082A" w:rsidRPr="005F5E3B" w:rsidRDefault="0061082A" w:rsidP="0061082A">
            <w:pPr>
              <w:pStyle w:val="NoSpacing"/>
            </w:pPr>
            <w:r w:rsidRPr="005F5E3B">
              <w:t>107 (19%)</w:t>
            </w:r>
          </w:p>
        </w:tc>
        <w:tc>
          <w:tcPr>
            <w:tcW w:w="1220" w:type="dxa"/>
          </w:tcPr>
          <w:p w14:paraId="2B5CA4EC" w14:textId="77777777" w:rsidR="0061082A" w:rsidRPr="005F5E3B" w:rsidRDefault="0061082A" w:rsidP="0061082A">
            <w:pPr>
              <w:pStyle w:val="NoSpacing"/>
            </w:pPr>
            <w:r w:rsidRPr="005F5E3B">
              <w:t>113 (20%)</w:t>
            </w:r>
          </w:p>
        </w:tc>
        <w:tc>
          <w:tcPr>
            <w:tcW w:w="855" w:type="dxa"/>
          </w:tcPr>
          <w:p w14:paraId="1C2FAEA7" w14:textId="77777777" w:rsidR="0061082A" w:rsidRPr="005F5E3B" w:rsidRDefault="0061082A" w:rsidP="0061082A">
            <w:pPr>
              <w:pStyle w:val="NoSpacing"/>
            </w:pPr>
          </w:p>
        </w:tc>
      </w:tr>
      <w:tr w:rsidR="005F5E3B" w:rsidRPr="005F5E3B" w14:paraId="648F7419" w14:textId="77777777" w:rsidTr="002F1753">
        <w:tc>
          <w:tcPr>
            <w:tcW w:w="2263" w:type="dxa"/>
          </w:tcPr>
          <w:p w14:paraId="3C28407F" w14:textId="77777777" w:rsidR="0061082A" w:rsidRPr="005F5E3B" w:rsidRDefault="0061082A" w:rsidP="0061082A">
            <w:pPr>
              <w:pStyle w:val="NoSpacing"/>
            </w:pPr>
            <w:r w:rsidRPr="005F5E3B">
              <w:t>-Southern</w:t>
            </w:r>
          </w:p>
        </w:tc>
        <w:tc>
          <w:tcPr>
            <w:tcW w:w="1276" w:type="dxa"/>
          </w:tcPr>
          <w:p w14:paraId="6F3F1F47" w14:textId="77777777" w:rsidR="0061082A" w:rsidRPr="005F5E3B" w:rsidRDefault="0061082A" w:rsidP="0061082A">
            <w:pPr>
              <w:pStyle w:val="NoSpacing"/>
            </w:pPr>
            <w:r w:rsidRPr="005F5E3B">
              <w:t>279 (22%)</w:t>
            </w:r>
          </w:p>
        </w:tc>
        <w:tc>
          <w:tcPr>
            <w:tcW w:w="1276" w:type="dxa"/>
          </w:tcPr>
          <w:p w14:paraId="639FCA25" w14:textId="77777777" w:rsidR="0061082A" w:rsidRPr="005F5E3B" w:rsidRDefault="0061082A" w:rsidP="0061082A">
            <w:pPr>
              <w:pStyle w:val="NoSpacing"/>
            </w:pPr>
            <w:r w:rsidRPr="005F5E3B">
              <w:t>116 (21%)</w:t>
            </w:r>
          </w:p>
        </w:tc>
        <w:tc>
          <w:tcPr>
            <w:tcW w:w="850" w:type="dxa"/>
          </w:tcPr>
          <w:p w14:paraId="041AE81A" w14:textId="77777777" w:rsidR="0061082A" w:rsidRPr="005F5E3B" w:rsidRDefault="0061082A" w:rsidP="0061082A">
            <w:pPr>
              <w:pStyle w:val="NoSpacing"/>
            </w:pPr>
          </w:p>
        </w:tc>
        <w:tc>
          <w:tcPr>
            <w:tcW w:w="1276" w:type="dxa"/>
          </w:tcPr>
          <w:p w14:paraId="1746EE30" w14:textId="77777777" w:rsidR="0061082A" w:rsidRPr="005F5E3B" w:rsidRDefault="0061082A" w:rsidP="0061082A">
            <w:pPr>
              <w:pStyle w:val="NoSpacing"/>
            </w:pPr>
            <w:r w:rsidRPr="005F5E3B">
              <w:t>110 (20%)</w:t>
            </w:r>
          </w:p>
        </w:tc>
        <w:tc>
          <w:tcPr>
            <w:tcW w:w="1220" w:type="dxa"/>
          </w:tcPr>
          <w:p w14:paraId="172C5885" w14:textId="77777777" w:rsidR="0061082A" w:rsidRPr="005F5E3B" w:rsidRDefault="0061082A" w:rsidP="0061082A">
            <w:pPr>
              <w:pStyle w:val="NoSpacing"/>
            </w:pPr>
            <w:r w:rsidRPr="005F5E3B">
              <w:t>116 (21%)</w:t>
            </w:r>
          </w:p>
        </w:tc>
        <w:tc>
          <w:tcPr>
            <w:tcW w:w="855" w:type="dxa"/>
          </w:tcPr>
          <w:p w14:paraId="1B4C98D2" w14:textId="77777777" w:rsidR="0061082A" w:rsidRPr="005F5E3B" w:rsidRDefault="0061082A" w:rsidP="0061082A">
            <w:pPr>
              <w:pStyle w:val="NoSpacing"/>
            </w:pPr>
          </w:p>
        </w:tc>
      </w:tr>
      <w:tr w:rsidR="005F5E3B" w:rsidRPr="005F5E3B" w14:paraId="1B0BD587" w14:textId="77777777" w:rsidTr="002F1753">
        <w:tc>
          <w:tcPr>
            <w:tcW w:w="2263" w:type="dxa"/>
          </w:tcPr>
          <w:p w14:paraId="6E65CBAE" w14:textId="77777777" w:rsidR="0061082A" w:rsidRPr="005F5E3B" w:rsidRDefault="0061082A" w:rsidP="0061082A">
            <w:pPr>
              <w:pStyle w:val="NoSpacing"/>
            </w:pPr>
            <w:r w:rsidRPr="005F5E3B">
              <w:t>-Southeastern</w:t>
            </w:r>
          </w:p>
        </w:tc>
        <w:tc>
          <w:tcPr>
            <w:tcW w:w="1276" w:type="dxa"/>
          </w:tcPr>
          <w:p w14:paraId="5243C1EE" w14:textId="77777777" w:rsidR="0061082A" w:rsidRPr="005F5E3B" w:rsidRDefault="0061082A" w:rsidP="0061082A">
            <w:pPr>
              <w:pStyle w:val="NoSpacing"/>
            </w:pPr>
            <w:r w:rsidRPr="005F5E3B">
              <w:t>167 (13%)</w:t>
            </w:r>
          </w:p>
        </w:tc>
        <w:tc>
          <w:tcPr>
            <w:tcW w:w="1276" w:type="dxa"/>
          </w:tcPr>
          <w:p w14:paraId="0C739AB6" w14:textId="77777777" w:rsidR="0061082A" w:rsidRPr="005F5E3B" w:rsidRDefault="0061082A" w:rsidP="0061082A">
            <w:pPr>
              <w:pStyle w:val="NoSpacing"/>
            </w:pPr>
            <w:r w:rsidRPr="005F5E3B">
              <w:t>27 (5%)</w:t>
            </w:r>
          </w:p>
        </w:tc>
        <w:tc>
          <w:tcPr>
            <w:tcW w:w="850" w:type="dxa"/>
          </w:tcPr>
          <w:p w14:paraId="4A02E406" w14:textId="77777777" w:rsidR="0061082A" w:rsidRPr="005F5E3B" w:rsidRDefault="0061082A" w:rsidP="0061082A">
            <w:pPr>
              <w:pStyle w:val="NoSpacing"/>
            </w:pPr>
          </w:p>
        </w:tc>
        <w:tc>
          <w:tcPr>
            <w:tcW w:w="1276" w:type="dxa"/>
          </w:tcPr>
          <w:p w14:paraId="6BF2A4F3" w14:textId="77777777" w:rsidR="0061082A" w:rsidRPr="005F5E3B" w:rsidRDefault="0061082A" w:rsidP="0061082A">
            <w:pPr>
              <w:pStyle w:val="NoSpacing"/>
            </w:pPr>
            <w:r w:rsidRPr="005F5E3B">
              <w:t>26 (5%)</w:t>
            </w:r>
          </w:p>
        </w:tc>
        <w:tc>
          <w:tcPr>
            <w:tcW w:w="1220" w:type="dxa"/>
          </w:tcPr>
          <w:p w14:paraId="56AEF842" w14:textId="77777777" w:rsidR="0061082A" w:rsidRPr="005F5E3B" w:rsidRDefault="0061082A" w:rsidP="0061082A">
            <w:pPr>
              <w:pStyle w:val="NoSpacing"/>
            </w:pPr>
            <w:r w:rsidRPr="005F5E3B">
              <w:t>27 (5%)</w:t>
            </w:r>
          </w:p>
        </w:tc>
        <w:tc>
          <w:tcPr>
            <w:tcW w:w="855" w:type="dxa"/>
          </w:tcPr>
          <w:p w14:paraId="1176F118" w14:textId="77777777" w:rsidR="0061082A" w:rsidRPr="005F5E3B" w:rsidRDefault="0061082A" w:rsidP="0061082A">
            <w:pPr>
              <w:pStyle w:val="NoSpacing"/>
            </w:pPr>
          </w:p>
        </w:tc>
      </w:tr>
      <w:tr w:rsidR="005F5E3B" w:rsidRPr="005F5E3B" w14:paraId="565A90C6" w14:textId="77777777" w:rsidTr="002F1753">
        <w:tc>
          <w:tcPr>
            <w:tcW w:w="2263" w:type="dxa"/>
          </w:tcPr>
          <w:p w14:paraId="300B4B2D" w14:textId="77777777" w:rsidR="0061082A" w:rsidRPr="005F5E3B" w:rsidRDefault="0061082A" w:rsidP="0061082A">
            <w:pPr>
              <w:pStyle w:val="NoSpacing"/>
            </w:pPr>
            <w:r w:rsidRPr="005F5E3B">
              <w:t>-Uppsala/</w:t>
            </w:r>
            <w:proofErr w:type="spellStart"/>
            <w:r w:rsidRPr="005F5E3B">
              <w:t>Örebro</w:t>
            </w:r>
            <w:proofErr w:type="spellEnd"/>
          </w:p>
        </w:tc>
        <w:tc>
          <w:tcPr>
            <w:tcW w:w="1276" w:type="dxa"/>
          </w:tcPr>
          <w:p w14:paraId="3C4FBA7D" w14:textId="77777777" w:rsidR="0061082A" w:rsidRPr="005F5E3B" w:rsidRDefault="0061082A" w:rsidP="0061082A">
            <w:pPr>
              <w:pStyle w:val="NoSpacing"/>
            </w:pPr>
            <w:r w:rsidRPr="005F5E3B">
              <w:t>296 (23%)</w:t>
            </w:r>
          </w:p>
        </w:tc>
        <w:tc>
          <w:tcPr>
            <w:tcW w:w="1276" w:type="dxa"/>
          </w:tcPr>
          <w:p w14:paraId="59B22FA4" w14:textId="77777777" w:rsidR="0061082A" w:rsidRPr="005F5E3B" w:rsidRDefault="0061082A" w:rsidP="0061082A">
            <w:pPr>
              <w:pStyle w:val="NoSpacing"/>
            </w:pPr>
            <w:r w:rsidRPr="005F5E3B">
              <w:t>156 (28%)</w:t>
            </w:r>
          </w:p>
        </w:tc>
        <w:tc>
          <w:tcPr>
            <w:tcW w:w="850" w:type="dxa"/>
          </w:tcPr>
          <w:p w14:paraId="23DA8570" w14:textId="77777777" w:rsidR="0061082A" w:rsidRPr="005F5E3B" w:rsidRDefault="0061082A" w:rsidP="0061082A">
            <w:pPr>
              <w:pStyle w:val="NoSpacing"/>
            </w:pPr>
          </w:p>
        </w:tc>
        <w:tc>
          <w:tcPr>
            <w:tcW w:w="1276" w:type="dxa"/>
          </w:tcPr>
          <w:p w14:paraId="113DF1E2" w14:textId="77777777" w:rsidR="0061082A" w:rsidRPr="005F5E3B" w:rsidRDefault="0061082A" w:rsidP="0061082A">
            <w:pPr>
              <w:pStyle w:val="NoSpacing"/>
            </w:pPr>
            <w:r w:rsidRPr="005F5E3B">
              <w:t>169 (31%)</w:t>
            </w:r>
          </w:p>
        </w:tc>
        <w:tc>
          <w:tcPr>
            <w:tcW w:w="1220" w:type="dxa"/>
          </w:tcPr>
          <w:p w14:paraId="10751690" w14:textId="77777777" w:rsidR="0061082A" w:rsidRPr="005F5E3B" w:rsidRDefault="0061082A" w:rsidP="0061082A">
            <w:pPr>
              <w:pStyle w:val="NoSpacing"/>
            </w:pPr>
            <w:r w:rsidRPr="005F5E3B">
              <w:t>156 (28%)</w:t>
            </w:r>
          </w:p>
        </w:tc>
        <w:tc>
          <w:tcPr>
            <w:tcW w:w="855" w:type="dxa"/>
          </w:tcPr>
          <w:p w14:paraId="76EF5346" w14:textId="77777777" w:rsidR="0061082A" w:rsidRPr="005F5E3B" w:rsidRDefault="0061082A" w:rsidP="0061082A">
            <w:pPr>
              <w:pStyle w:val="NoSpacing"/>
            </w:pPr>
          </w:p>
        </w:tc>
      </w:tr>
      <w:tr w:rsidR="005F5E3B" w:rsidRPr="005F5E3B" w14:paraId="5A1D1DF5" w14:textId="77777777" w:rsidTr="002F1753">
        <w:tc>
          <w:tcPr>
            <w:tcW w:w="2263" w:type="dxa"/>
          </w:tcPr>
          <w:p w14:paraId="6B70EECB" w14:textId="77777777" w:rsidR="0061082A" w:rsidRPr="005F5E3B" w:rsidRDefault="0061082A" w:rsidP="0061082A">
            <w:pPr>
              <w:pStyle w:val="NoSpacing"/>
            </w:pPr>
            <w:r w:rsidRPr="005F5E3B">
              <w:t>-Western</w:t>
            </w:r>
          </w:p>
        </w:tc>
        <w:tc>
          <w:tcPr>
            <w:tcW w:w="1276" w:type="dxa"/>
          </w:tcPr>
          <w:p w14:paraId="6685CD0B" w14:textId="77777777" w:rsidR="0061082A" w:rsidRPr="005F5E3B" w:rsidRDefault="0061082A" w:rsidP="0061082A">
            <w:pPr>
              <w:pStyle w:val="NoSpacing"/>
            </w:pPr>
            <w:r w:rsidRPr="005F5E3B">
              <w:t>249 (19%)</w:t>
            </w:r>
          </w:p>
        </w:tc>
        <w:tc>
          <w:tcPr>
            <w:tcW w:w="1276" w:type="dxa"/>
          </w:tcPr>
          <w:p w14:paraId="3617FD08" w14:textId="77777777" w:rsidR="0061082A" w:rsidRPr="005F5E3B" w:rsidRDefault="0061082A" w:rsidP="0061082A">
            <w:pPr>
              <w:pStyle w:val="NoSpacing"/>
            </w:pPr>
            <w:r w:rsidRPr="005F5E3B">
              <w:t>70 (13%)</w:t>
            </w:r>
          </w:p>
        </w:tc>
        <w:tc>
          <w:tcPr>
            <w:tcW w:w="850" w:type="dxa"/>
          </w:tcPr>
          <w:p w14:paraId="5152F42C" w14:textId="77777777" w:rsidR="0061082A" w:rsidRPr="005F5E3B" w:rsidRDefault="0061082A" w:rsidP="0061082A">
            <w:pPr>
              <w:pStyle w:val="NoSpacing"/>
            </w:pPr>
          </w:p>
        </w:tc>
        <w:tc>
          <w:tcPr>
            <w:tcW w:w="1276" w:type="dxa"/>
          </w:tcPr>
          <w:p w14:paraId="766E14C5" w14:textId="77777777" w:rsidR="0061082A" w:rsidRPr="005F5E3B" w:rsidRDefault="0061082A" w:rsidP="0061082A">
            <w:pPr>
              <w:pStyle w:val="NoSpacing"/>
            </w:pPr>
            <w:r w:rsidRPr="005F5E3B">
              <w:t>66 (12%)</w:t>
            </w:r>
          </w:p>
        </w:tc>
        <w:tc>
          <w:tcPr>
            <w:tcW w:w="1220" w:type="dxa"/>
          </w:tcPr>
          <w:p w14:paraId="781FD322" w14:textId="77777777" w:rsidR="0061082A" w:rsidRPr="005F5E3B" w:rsidRDefault="0061082A" w:rsidP="0061082A">
            <w:pPr>
              <w:pStyle w:val="NoSpacing"/>
            </w:pPr>
            <w:r w:rsidRPr="005F5E3B">
              <w:t>70 (13%)</w:t>
            </w:r>
          </w:p>
        </w:tc>
        <w:tc>
          <w:tcPr>
            <w:tcW w:w="855" w:type="dxa"/>
          </w:tcPr>
          <w:p w14:paraId="77F3AC12" w14:textId="77777777" w:rsidR="0061082A" w:rsidRPr="005F5E3B" w:rsidRDefault="0061082A" w:rsidP="0061082A">
            <w:pPr>
              <w:pStyle w:val="NoSpacing"/>
            </w:pPr>
          </w:p>
        </w:tc>
      </w:tr>
      <w:tr w:rsidR="005F5E3B" w:rsidRPr="005F5E3B" w14:paraId="75AA1433" w14:textId="77777777" w:rsidTr="002F1753">
        <w:tc>
          <w:tcPr>
            <w:tcW w:w="2263" w:type="dxa"/>
          </w:tcPr>
          <w:p w14:paraId="2A131DBE" w14:textId="77777777" w:rsidR="0061082A" w:rsidRPr="005F5E3B" w:rsidRDefault="0061082A" w:rsidP="0061082A">
            <w:pPr>
              <w:pStyle w:val="NoSpacing"/>
            </w:pPr>
            <w:r w:rsidRPr="005F5E3B">
              <w:t>-Northern</w:t>
            </w:r>
          </w:p>
        </w:tc>
        <w:tc>
          <w:tcPr>
            <w:tcW w:w="1276" w:type="dxa"/>
          </w:tcPr>
          <w:p w14:paraId="3A68BE6B" w14:textId="77777777" w:rsidR="0061082A" w:rsidRPr="005F5E3B" w:rsidRDefault="0061082A" w:rsidP="0061082A">
            <w:pPr>
              <w:pStyle w:val="NoSpacing"/>
            </w:pPr>
            <w:r w:rsidRPr="005F5E3B">
              <w:t>132 (10%)</w:t>
            </w:r>
          </w:p>
        </w:tc>
        <w:tc>
          <w:tcPr>
            <w:tcW w:w="1276" w:type="dxa"/>
          </w:tcPr>
          <w:p w14:paraId="5F5DD1C8" w14:textId="77777777" w:rsidR="0061082A" w:rsidRPr="005F5E3B" w:rsidRDefault="0061082A" w:rsidP="0061082A">
            <w:pPr>
              <w:pStyle w:val="NoSpacing"/>
            </w:pPr>
            <w:r w:rsidRPr="005F5E3B">
              <w:t>71 (13%)</w:t>
            </w:r>
          </w:p>
        </w:tc>
        <w:tc>
          <w:tcPr>
            <w:tcW w:w="850" w:type="dxa"/>
          </w:tcPr>
          <w:p w14:paraId="2D45C75D" w14:textId="77777777" w:rsidR="0061082A" w:rsidRPr="005F5E3B" w:rsidRDefault="0061082A" w:rsidP="0061082A">
            <w:pPr>
              <w:pStyle w:val="NoSpacing"/>
            </w:pPr>
          </w:p>
        </w:tc>
        <w:tc>
          <w:tcPr>
            <w:tcW w:w="1276" w:type="dxa"/>
          </w:tcPr>
          <w:p w14:paraId="68FE0F3A" w14:textId="77777777" w:rsidR="0061082A" w:rsidRPr="005F5E3B" w:rsidRDefault="0061082A" w:rsidP="0061082A">
            <w:pPr>
              <w:pStyle w:val="NoSpacing"/>
            </w:pPr>
            <w:r w:rsidRPr="005F5E3B">
              <w:t>75 (14%)</w:t>
            </w:r>
          </w:p>
        </w:tc>
        <w:tc>
          <w:tcPr>
            <w:tcW w:w="1220" w:type="dxa"/>
          </w:tcPr>
          <w:p w14:paraId="759B191B" w14:textId="77777777" w:rsidR="0061082A" w:rsidRPr="005F5E3B" w:rsidRDefault="0061082A" w:rsidP="0061082A">
            <w:pPr>
              <w:pStyle w:val="NoSpacing"/>
            </w:pPr>
            <w:r w:rsidRPr="005F5E3B">
              <w:t>71 (13%)</w:t>
            </w:r>
          </w:p>
        </w:tc>
        <w:tc>
          <w:tcPr>
            <w:tcW w:w="855" w:type="dxa"/>
          </w:tcPr>
          <w:p w14:paraId="5A1F165F" w14:textId="77777777" w:rsidR="0061082A" w:rsidRPr="005F5E3B" w:rsidRDefault="0061082A" w:rsidP="0061082A">
            <w:pPr>
              <w:pStyle w:val="NoSpacing"/>
            </w:pPr>
          </w:p>
        </w:tc>
      </w:tr>
      <w:tr w:rsidR="005F5E3B" w:rsidRPr="005F5E3B" w14:paraId="3B0A05A2" w14:textId="77777777" w:rsidTr="002F1753">
        <w:tc>
          <w:tcPr>
            <w:tcW w:w="2263" w:type="dxa"/>
          </w:tcPr>
          <w:p w14:paraId="18D5D2A1" w14:textId="77777777" w:rsidR="0061082A" w:rsidRPr="005F5E3B" w:rsidRDefault="0061082A" w:rsidP="0061082A">
            <w:pPr>
              <w:pStyle w:val="NoSpacing"/>
            </w:pPr>
            <w:r w:rsidRPr="005F5E3B">
              <w:t xml:space="preserve">Year of diagnosis </w:t>
            </w:r>
          </w:p>
        </w:tc>
        <w:tc>
          <w:tcPr>
            <w:tcW w:w="1276" w:type="dxa"/>
          </w:tcPr>
          <w:p w14:paraId="5DFE25C1" w14:textId="77777777" w:rsidR="0061082A" w:rsidRPr="005F5E3B" w:rsidRDefault="0061082A" w:rsidP="0061082A">
            <w:pPr>
              <w:pStyle w:val="NoSpacing"/>
            </w:pPr>
          </w:p>
        </w:tc>
        <w:tc>
          <w:tcPr>
            <w:tcW w:w="1276" w:type="dxa"/>
          </w:tcPr>
          <w:p w14:paraId="79FB50F3" w14:textId="77777777" w:rsidR="0061082A" w:rsidRPr="005F5E3B" w:rsidRDefault="0061082A" w:rsidP="0061082A">
            <w:pPr>
              <w:pStyle w:val="NoSpacing"/>
            </w:pPr>
          </w:p>
        </w:tc>
        <w:tc>
          <w:tcPr>
            <w:tcW w:w="850" w:type="dxa"/>
          </w:tcPr>
          <w:p w14:paraId="395D7370" w14:textId="77777777" w:rsidR="0061082A" w:rsidRPr="005F5E3B" w:rsidRDefault="0061082A" w:rsidP="0061082A">
            <w:pPr>
              <w:pStyle w:val="NoSpacing"/>
            </w:pPr>
            <w:r w:rsidRPr="005F5E3B">
              <w:t>0.000</w:t>
            </w:r>
          </w:p>
        </w:tc>
        <w:tc>
          <w:tcPr>
            <w:tcW w:w="1276" w:type="dxa"/>
          </w:tcPr>
          <w:p w14:paraId="51225E96" w14:textId="77777777" w:rsidR="0061082A" w:rsidRPr="005F5E3B" w:rsidRDefault="0061082A" w:rsidP="0061082A">
            <w:pPr>
              <w:pStyle w:val="NoSpacing"/>
            </w:pPr>
          </w:p>
        </w:tc>
        <w:tc>
          <w:tcPr>
            <w:tcW w:w="1220" w:type="dxa"/>
          </w:tcPr>
          <w:p w14:paraId="2E938499" w14:textId="77777777" w:rsidR="0061082A" w:rsidRPr="005F5E3B" w:rsidRDefault="0061082A" w:rsidP="0061082A">
            <w:pPr>
              <w:pStyle w:val="NoSpacing"/>
            </w:pPr>
          </w:p>
        </w:tc>
        <w:tc>
          <w:tcPr>
            <w:tcW w:w="855" w:type="dxa"/>
          </w:tcPr>
          <w:p w14:paraId="6C52AED5" w14:textId="77777777" w:rsidR="0061082A" w:rsidRPr="005F5E3B" w:rsidRDefault="0061082A" w:rsidP="0061082A">
            <w:pPr>
              <w:pStyle w:val="NoSpacing"/>
            </w:pPr>
            <w:r w:rsidRPr="005F5E3B">
              <w:t>0.00</w:t>
            </w:r>
          </w:p>
        </w:tc>
      </w:tr>
      <w:tr w:rsidR="005F5E3B" w:rsidRPr="005F5E3B" w14:paraId="5AD29FE9" w14:textId="77777777" w:rsidTr="002F1753">
        <w:tc>
          <w:tcPr>
            <w:tcW w:w="2263" w:type="dxa"/>
          </w:tcPr>
          <w:p w14:paraId="0A86F30B" w14:textId="77777777" w:rsidR="0061082A" w:rsidRPr="005F5E3B" w:rsidRDefault="0061082A" w:rsidP="0061082A">
            <w:pPr>
              <w:pStyle w:val="NoSpacing"/>
            </w:pPr>
            <w:r w:rsidRPr="005F5E3B">
              <w:t>-1999-2005</w:t>
            </w:r>
          </w:p>
        </w:tc>
        <w:tc>
          <w:tcPr>
            <w:tcW w:w="1276" w:type="dxa"/>
          </w:tcPr>
          <w:p w14:paraId="7626A2A4" w14:textId="77777777" w:rsidR="0061082A" w:rsidRPr="005F5E3B" w:rsidRDefault="0061082A" w:rsidP="0061082A">
            <w:pPr>
              <w:pStyle w:val="NoSpacing"/>
            </w:pPr>
            <w:r w:rsidRPr="005F5E3B">
              <w:t>474 (37%)</w:t>
            </w:r>
          </w:p>
        </w:tc>
        <w:tc>
          <w:tcPr>
            <w:tcW w:w="1276" w:type="dxa"/>
          </w:tcPr>
          <w:p w14:paraId="433A6FE1" w14:textId="77777777" w:rsidR="0061082A" w:rsidRPr="005F5E3B" w:rsidRDefault="0061082A" w:rsidP="0061082A">
            <w:pPr>
              <w:pStyle w:val="NoSpacing"/>
            </w:pPr>
            <w:r w:rsidRPr="005F5E3B">
              <w:t>9 (2%)</w:t>
            </w:r>
          </w:p>
        </w:tc>
        <w:tc>
          <w:tcPr>
            <w:tcW w:w="850" w:type="dxa"/>
          </w:tcPr>
          <w:p w14:paraId="33E2DFC8" w14:textId="77777777" w:rsidR="0061082A" w:rsidRPr="005F5E3B" w:rsidRDefault="0061082A" w:rsidP="0061082A">
            <w:pPr>
              <w:pStyle w:val="NoSpacing"/>
            </w:pPr>
          </w:p>
        </w:tc>
        <w:tc>
          <w:tcPr>
            <w:tcW w:w="1276" w:type="dxa"/>
          </w:tcPr>
          <w:p w14:paraId="21AFDBB7" w14:textId="77777777" w:rsidR="0061082A" w:rsidRPr="005F5E3B" w:rsidRDefault="0061082A" w:rsidP="0061082A">
            <w:pPr>
              <w:pStyle w:val="NoSpacing"/>
            </w:pPr>
            <w:r w:rsidRPr="005F5E3B">
              <w:t>199 (36%)</w:t>
            </w:r>
          </w:p>
        </w:tc>
        <w:tc>
          <w:tcPr>
            <w:tcW w:w="1220" w:type="dxa"/>
          </w:tcPr>
          <w:p w14:paraId="728CD012" w14:textId="77777777" w:rsidR="0061082A" w:rsidRPr="005F5E3B" w:rsidRDefault="0061082A" w:rsidP="0061082A">
            <w:pPr>
              <w:pStyle w:val="NoSpacing"/>
            </w:pPr>
            <w:r w:rsidRPr="005F5E3B">
              <w:t>9 (2%)</w:t>
            </w:r>
          </w:p>
        </w:tc>
        <w:tc>
          <w:tcPr>
            <w:tcW w:w="855" w:type="dxa"/>
          </w:tcPr>
          <w:p w14:paraId="1F174584" w14:textId="77777777" w:rsidR="0061082A" w:rsidRPr="005F5E3B" w:rsidRDefault="0061082A" w:rsidP="0061082A">
            <w:pPr>
              <w:pStyle w:val="NoSpacing"/>
            </w:pPr>
          </w:p>
        </w:tc>
      </w:tr>
      <w:tr w:rsidR="005F5E3B" w:rsidRPr="005F5E3B" w14:paraId="0A0D774B" w14:textId="77777777" w:rsidTr="002F1753">
        <w:tc>
          <w:tcPr>
            <w:tcW w:w="2263" w:type="dxa"/>
          </w:tcPr>
          <w:p w14:paraId="5D4D8802" w14:textId="77777777" w:rsidR="0061082A" w:rsidRPr="005F5E3B" w:rsidRDefault="0061082A" w:rsidP="0061082A">
            <w:pPr>
              <w:pStyle w:val="NoSpacing"/>
            </w:pPr>
            <w:r w:rsidRPr="005F5E3B">
              <w:t>-2006-2011</w:t>
            </w:r>
          </w:p>
        </w:tc>
        <w:tc>
          <w:tcPr>
            <w:tcW w:w="1276" w:type="dxa"/>
          </w:tcPr>
          <w:p w14:paraId="026790D1" w14:textId="77777777" w:rsidR="0061082A" w:rsidRPr="005F5E3B" w:rsidRDefault="0061082A" w:rsidP="0061082A">
            <w:pPr>
              <w:pStyle w:val="NoSpacing"/>
            </w:pPr>
            <w:r w:rsidRPr="005F5E3B">
              <w:t>418 (32%)</w:t>
            </w:r>
          </w:p>
        </w:tc>
        <w:tc>
          <w:tcPr>
            <w:tcW w:w="1276" w:type="dxa"/>
          </w:tcPr>
          <w:p w14:paraId="5A2B5E77" w14:textId="77777777" w:rsidR="0061082A" w:rsidRPr="005F5E3B" w:rsidRDefault="0061082A" w:rsidP="0061082A">
            <w:pPr>
              <w:pStyle w:val="NoSpacing"/>
            </w:pPr>
            <w:r w:rsidRPr="005F5E3B">
              <w:t>79 (14%)</w:t>
            </w:r>
          </w:p>
        </w:tc>
        <w:tc>
          <w:tcPr>
            <w:tcW w:w="850" w:type="dxa"/>
          </w:tcPr>
          <w:p w14:paraId="4CD3F271" w14:textId="77777777" w:rsidR="0061082A" w:rsidRPr="005F5E3B" w:rsidRDefault="0061082A" w:rsidP="0061082A">
            <w:pPr>
              <w:pStyle w:val="NoSpacing"/>
            </w:pPr>
          </w:p>
        </w:tc>
        <w:tc>
          <w:tcPr>
            <w:tcW w:w="1276" w:type="dxa"/>
          </w:tcPr>
          <w:p w14:paraId="7A08C984" w14:textId="77777777" w:rsidR="0061082A" w:rsidRPr="005F5E3B" w:rsidRDefault="0061082A" w:rsidP="0061082A">
            <w:pPr>
              <w:pStyle w:val="NoSpacing"/>
            </w:pPr>
            <w:r w:rsidRPr="005F5E3B">
              <w:t>193 (35%)</w:t>
            </w:r>
          </w:p>
        </w:tc>
        <w:tc>
          <w:tcPr>
            <w:tcW w:w="1220" w:type="dxa"/>
          </w:tcPr>
          <w:p w14:paraId="3E27BF72" w14:textId="77777777" w:rsidR="0061082A" w:rsidRPr="005F5E3B" w:rsidRDefault="0061082A" w:rsidP="0061082A">
            <w:pPr>
              <w:pStyle w:val="NoSpacing"/>
            </w:pPr>
            <w:r w:rsidRPr="005F5E3B">
              <w:t>79 (14%)</w:t>
            </w:r>
          </w:p>
        </w:tc>
        <w:tc>
          <w:tcPr>
            <w:tcW w:w="855" w:type="dxa"/>
          </w:tcPr>
          <w:p w14:paraId="15E840DF" w14:textId="77777777" w:rsidR="0061082A" w:rsidRPr="005F5E3B" w:rsidRDefault="0061082A" w:rsidP="0061082A">
            <w:pPr>
              <w:pStyle w:val="NoSpacing"/>
            </w:pPr>
          </w:p>
        </w:tc>
      </w:tr>
      <w:tr w:rsidR="005F5E3B" w:rsidRPr="005F5E3B" w14:paraId="04BEC81F" w14:textId="77777777" w:rsidTr="002F1753">
        <w:tc>
          <w:tcPr>
            <w:tcW w:w="2263" w:type="dxa"/>
          </w:tcPr>
          <w:p w14:paraId="41A62846" w14:textId="77777777" w:rsidR="0061082A" w:rsidRPr="005F5E3B" w:rsidRDefault="0061082A" w:rsidP="0061082A">
            <w:pPr>
              <w:pStyle w:val="NoSpacing"/>
            </w:pPr>
            <w:r w:rsidRPr="005F5E3B">
              <w:t>-2012-2016</w:t>
            </w:r>
          </w:p>
        </w:tc>
        <w:tc>
          <w:tcPr>
            <w:tcW w:w="1276" w:type="dxa"/>
          </w:tcPr>
          <w:p w14:paraId="1E63EFD5" w14:textId="77777777" w:rsidR="0061082A" w:rsidRPr="005F5E3B" w:rsidRDefault="0061082A" w:rsidP="0061082A">
            <w:pPr>
              <w:pStyle w:val="NoSpacing"/>
            </w:pPr>
            <w:r w:rsidRPr="005F5E3B">
              <w:t>243 (19%)</w:t>
            </w:r>
          </w:p>
        </w:tc>
        <w:tc>
          <w:tcPr>
            <w:tcW w:w="1276" w:type="dxa"/>
          </w:tcPr>
          <w:p w14:paraId="7AF46F27" w14:textId="77777777" w:rsidR="0061082A" w:rsidRPr="005F5E3B" w:rsidRDefault="0061082A" w:rsidP="0061082A">
            <w:pPr>
              <w:pStyle w:val="NoSpacing"/>
            </w:pPr>
            <w:r w:rsidRPr="005F5E3B">
              <w:t>299 (54%)</w:t>
            </w:r>
          </w:p>
        </w:tc>
        <w:tc>
          <w:tcPr>
            <w:tcW w:w="850" w:type="dxa"/>
          </w:tcPr>
          <w:p w14:paraId="0E5934E4" w14:textId="77777777" w:rsidR="0061082A" w:rsidRPr="005F5E3B" w:rsidRDefault="0061082A" w:rsidP="0061082A">
            <w:pPr>
              <w:pStyle w:val="NoSpacing"/>
            </w:pPr>
          </w:p>
        </w:tc>
        <w:tc>
          <w:tcPr>
            <w:tcW w:w="1276" w:type="dxa"/>
          </w:tcPr>
          <w:p w14:paraId="0F4EBCC3" w14:textId="77777777" w:rsidR="0061082A" w:rsidRPr="005F5E3B" w:rsidRDefault="0061082A" w:rsidP="0061082A">
            <w:pPr>
              <w:pStyle w:val="NoSpacing"/>
            </w:pPr>
            <w:r w:rsidRPr="005F5E3B">
              <w:t>94 (17%)</w:t>
            </w:r>
          </w:p>
        </w:tc>
        <w:tc>
          <w:tcPr>
            <w:tcW w:w="1220" w:type="dxa"/>
          </w:tcPr>
          <w:p w14:paraId="5AAC4594" w14:textId="77777777" w:rsidR="0061082A" w:rsidRPr="005F5E3B" w:rsidRDefault="0061082A" w:rsidP="0061082A">
            <w:pPr>
              <w:pStyle w:val="NoSpacing"/>
            </w:pPr>
            <w:r w:rsidRPr="005F5E3B">
              <w:t>299 (54%)</w:t>
            </w:r>
          </w:p>
        </w:tc>
        <w:tc>
          <w:tcPr>
            <w:tcW w:w="855" w:type="dxa"/>
          </w:tcPr>
          <w:p w14:paraId="1DF61636" w14:textId="77777777" w:rsidR="0061082A" w:rsidRPr="005F5E3B" w:rsidRDefault="0061082A" w:rsidP="0061082A">
            <w:pPr>
              <w:pStyle w:val="NoSpacing"/>
            </w:pPr>
          </w:p>
        </w:tc>
      </w:tr>
      <w:tr w:rsidR="005F5E3B" w:rsidRPr="005F5E3B" w14:paraId="7853D138" w14:textId="77777777" w:rsidTr="002F1753">
        <w:tc>
          <w:tcPr>
            <w:tcW w:w="2263" w:type="dxa"/>
          </w:tcPr>
          <w:p w14:paraId="26101113" w14:textId="77777777" w:rsidR="0061082A" w:rsidRPr="005F5E3B" w:rsidRDefault="0061082A" w:rsidP="0061082A">
            <w:pPr>
              <w:pStyle w:val="NoSpacing"/>
            </w:pPr>
            <w:r w:rsidRPr="005F5E3B">
              <w:t>-2017-2019</w:t>
            </w:r>
          </w:p>
        </w:tc>
        <w:tc>
          <w:tcPr>
            <w:tcW w:w="1276" w:type="dxa"/>
          </w:tcPr>
          <w:p w14:paraId="516BC823" w14:textId="77777777" w:rsidR="0061082A" w:rsidRPr="005F5E3B" w:rsidRDefault="0061082A" w:rsidP="0061082A">
            <w:pPr>
              <w:pStyle w:val="NoSpacing"/>
            </w:pPr>
            <w:r w:rsidRPr="005F5E3B">
              <w:t>162 (12%)</w:t>
            </w:r>
          </w:p>
        </w:tc>
        <w:tc>
          <w:tcPr>
            <w:tcW w:w="1276" w:type="dxa"/>
          </w:tcPr>
          <w:p w14:paraId="2EE9D66F" w14:textId="77777777" w:rsidR="0061082A" w:rsidRPr="005F5E3B" w:rsidRDefault="0061082A" w:rsidP="0061082A">
            <w:pPr>
              <w:pStyle w:val="NoSpacing"/>
            </w:pPr>
            <w:r w:rsidRPr="005F5E3B">
              <w:t>166 (30%)</w:t>
            </w:r>
          </w:p>
        </w:tc>
        <w:tc>
          <w:tcPr>
            <w:tcW w:w="850" w:type="dxa"/>
          </w:tcPr>
          <w:p w14:paraId="5BD4337E" w14:textId="77777777" w:rsidR="0061082A" w:rsidRPr="005F5E3B" w:rsidRDefault="0061082A" w:rsidP="0061082A">
            <w:pPr>
              <w:pStyle w:val="NoSpacing"/>
            </w:pPr>
          </w:p>
        </w:tc>
        <w:tc>
          <w:tcPr>
            <w:tcW w:w="1276" w:type="dxa"/>
          </w:tcPr>
          <w:p w14:paraId="76C85A70" w14:textId="77777777" w:rsidR="0061082A" w:rsidRPr="005F5E3B" w:rsidRDefault="0061082A" w:rsidP="0061082A">
            <w:pPr>
              <w:pStyle w:val="NoSpacing"/>
            </w:pPr>
            <w:r w:rsidRPr="005F5E3B">
              <w:t>67 (12%)</w:t>
            </w:r>
          </w:p>
        </w:tc>
        <w:tc>
          <w:tcPr>
            <w:tcW w:w="1220" w:type="dxa"/>
          </w:tcPr>
          <w:p w14:paraId="7F426994" w14:textId="77777777" w:rsidR="0061082A" w:rsidRPr="005F5E3B" w:rsidRDefault="0061082A" w:rsidP="0061082A">
            <w:pPr>
              <w:pStyle w:val="NoSpacing"/>
            </w:pPr>
            <w:r w:rsidRPr="005F5E3B">
              <w:t>166 (30%)</w:t>
            </w:r>
          </w:p>
        </w:tc>
        <w:tc>
          <w:tcPr>
            <w:tcW w:w="855" w:type="dxa"/>
          </w:tcPr>
          <w:p w14:paraId="31D94C60" w14:textId="77777777" w:rsidR="0061082A" w:rsidRPr="005F5E3B" w:rsidRDefault="0061082A" w:rsidP="0061082A">
            <w:pPr>
              <w:pStyle w:val="NoSpacing"/>
            </w:pPr>
          </w:p>
        </w:tc>
      </w:tr>
    </w:tbl>
    <w:p w14:paraId="428E4316" w14:textId="77777777" w:rsidR="0061082A" w:rsidRPr="005F5E3B" w:rsidRDefault="0061082A" w:rsidP="0061082A">
      <w:pPr>
        <w:rPr>
          <w:rFonts w:cs="Times New Roman"/>
        </w:rPr>
      </w:pPr>
      <w:r w:rsidRPr="005F5E3B">
        <w:rPr>
          <w:rFonts w:cs="Times New Roman"/>
          <w:vertAlign w:val="superscript"/>
        </w:rPr>
        <w:t>*</w:t>
      </w:r>
      <w:r w:rsidRPr="005F5E3B">
        <w:rPr>
          <w:rFonts w:cs="Times New Roman"/>
        </w:rPr>
        <w:t>T-test was used for the continuous variables and chi-square test was used for categorized variables</w:t>
      </w:r>
    </w:p>
    <w:p w14:paraId="4DDF865B" w14:textId="135C5DC6" w:rsidR="00C70F7F" w:rsidRPr="005F5E3B" w:rsidRDefault="00C70F7F" w:rsidP="00D25C9A">
      <w:pPr>
        <w:pStyle w:val="Heading2"/>
        <w:numPr>
          <w:ilvl w:val="0"/>
          <w:numId w:val="0"/>
        </w:numPr>
        <w:ind w:left="567"/>
        <w:rPr>
          <w:i/>
          <w:iCs/>
        </w:rPr>
      </w:pPr>
      <w:r w:rsidRPr="005F5E3B">
        <w:rPr>
          <w:i/>
          <w:iCs/>
        </w:rPr>
        <w:t>3.3 Third scenario analysis</w:t>
      </w:r>
    </w:p>
    <w:p w14:paraId="4E81B345" w14:textId="61C37D3F" w:rsidR="00D25C9A" w:rsidRPr="005F5E3B" w:rsidRDefault="00D25C9A" w:rsidP="00D25C9A">
      <w:pPr>
        <w:spacing w:before="0" w:after="0" w:line="360" w:lineRule="auto"/>
        <w:jc w:val="both"/>
        <w:rPr>
          <w:rFonts w:eastAsia="Times New Roman" w:cs="Times New Roman"/>
          <w:szCs w:val="24"/>
        </w:rPr>
      </w:pPr>
      <w:r w:rsidRPr="005F5E3B">
        <w:rPr>
          <w:rFonts w:eastAsia="Times New Roman" w:cs="Times New Roman"/>
          <w:szCs w:val="24"/>
        </w:rPr>
        <w:t xml:space="preserve">In our base case analysis, we excluded the costs and disutility associated with the three-course </w:t>
      </w:r>
      <w:proofErr w:type="spellStart"/>
      <w:r w:rsidRPr="005F5E3B">
        <w:rPr>
          <w:rFonts w:eastAsia="Times New Roman" w:cs="Times New Roman"/>
          <w:szCs w:val="24"/>
        </w:rPr>
        <w:t>ddMVAC</w:t>
      </w:r>
      <w:proofErr w:type="spellEnd"/>
      <w:r w:rsidRPr="005F5E3B">
        <w:rPr>
          <w:rFonts w:eastAsia="Times New Roman" w:cs="Times New Roman"/>
          <w:szCs w:val="24"/>
        </w:rPr>
        <w:t xml:space="preserve"> in the neoadjuvant situation and the four-course </w:t>
      </w:r>
      <w:proofErr w:type="spellStart"/>
      <w:r w:rsidRPr="005F5E3B">
        <w:rPr>
          <w:rFonts w:eastAsia="Times New Roman" w:cs="Times New Roman"/>
          <w:szCs w:val="24"/>
        </w:rPr>
        <w:t>ddMVAC</w:t>
      </w:r>
      <w:proofErr w:type="spellEnd"/>
      <w:r w:rsidRPr="005F5E3B">
        <w:rPr>
          <w:rFonts w:eastAsia="Times New Roman" w:cs="Times New Roman"/>
          <w:szCs w:val="24"/>
        </w:rPr>
        <w:t xml:space="preserve"> in the adjuvant condition. The primary reason for this was the insufficient studies identifying the prevalence of side effects following the th</w:t>
      </w:r>
      <w:r w:rsidR="0020231E" w:rsidRPr="005F5E3B">
        <w:rPr>
          <w:rFonts w:eastAsia="Times New Roman" w:cs="Times New Roman"/>
          <w:szCs w:val="24"/>
        </w:rPr>
        <w:t>ree</w:t>
      </w:r>
      <w:r w:rsidRPr="005F5E3B">
        <w:rPr>
          <w:rFonts w:eastAsia="Times New Roman" w:cs="Times New Roman"/>
          <w:szCs w:val="24"/>
        </w:rPr>
        <w:t xml:space="preserve"> and four courses of </w:t>
      </w:r>
      <w:proofErr w:type="spellStart"/>
      <w:r w:rsidRPr="005F5E3B">
        <w:rPr>
          <w:rFonts w:eastAsia="Times New Roman" w:cs="Times New Roman"/>
          <w:szCs w:val="24"/>
        </w:rPr>
        <w:t>ddMVAC</w:t>
      </w:r>
      <w:proofErr w:type="spellEnd"/>
      <w:r w:rsidRPr="005F5E3B">
        <w:rPr>
          <w:rFonts w:eastAsia="Times New Roman" w:cs="Times New Roman"/>
          <w:szCs w:val="24"/>
        </w:rPr>
        <w:t xml:space="preserve"> for MIBC patients included in this study. The second reason </w:t>
      </w:r>
      <w:r w:rsidR="0020231E" w:rsidRPr="005F5E3B">
        <w:rPr>
          <w:rFonts w:eastAsia="Times New Roman" w:cs="Times New Roman"/>
          <w:szCs w:val="24"/>
        </w:rPr>
        <w:t>was</w:t>
      </w:r>
      <w:r w:rsidRPr="005F5E3B">
        <w:rPr>
          <w:rFonts w:eastAsia="Times New Roman" w:cs="Times New Roman"/>
          <w:szCs w:val="24"/>
        </w:rPr>
        <w:t xml:space="preserve"> the insufficient research estimating the disutility and the toll associated with the side effects.</w:t>
      </w:r>
      <w:r w:rsidRPr="005F5E3B">
        <w:rPr>
          <w:rFonts w:eastAsia="Times New Roman" w:cs="Times New Roman"/>
          <w:szCs w:val="24"/>
        </w:rPr>
        <w:br/>
        <w:t xml:space="preserve">This scenario analysis utilized the study by </w:t>
      </w:r>
      <w:proofErr w:type="spellStart"/>
      <w:r w:rsidRPr="005F5E3B">
        <w:rPr>
          <w:rFonts w:eastAsia="Times New Roman" w:cs="Times New Roman"/>
          <w:szCs w:val="24"/>
        </w:rPr>
        <w:t>Pilmack</w:t>
      </w:r>
      <w:proofErr w:type="spellEnd"/>
      <w:r w:rsidRPr="005F5E3B">
        <w:rPr>
          <w:rFonts w:eastAsia="Times New Roman" w:cs="Times New Roman"/>
          <w:szCs w:val="24"/>
        </w:rPr>
        <w:t xml:space="preserve"> et al.</w:t>
      </w:r>
      <w:r w:rsidRPr="005F5E3B">
        <w:rPr>
          <w:rFonts w:eastAsia="Times New Roman" w:cs="Times New Roman"/>
          <w:szCs w:val="24"/>
        </w:rPr>
        <w:fldChar w:fldCharType="begin">
          <w:fldData xml:space="preserve">PEVuZE5vdGU+PENpdGU+PEF1dGhvcj5QbGltYWNrPC9BdXRob3I+PFllYXI+MjAxNDwvWWVhcj48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</w:fldData>
        </w:fldChar>
      </w:r>
      <w:r w:rsidRPr="005F5E3B">
        <w:rPr>
          <w:rFonts w:eastAsia="Times New Roman" w:cs="Times New Roman"/>
          <w:szCs w:val="24"/>
        </w:rPr>
        <w:instrText xml:space="preserve"> ADDIN EN.CITE </w:instrText>
      </w:r>
      <w:r w:rsidRPr="005F5E3B">
        <w:rPr>
          <w:rFonts w:eastAsia="Times New Roman" w:cs="Times New Roman"/>
          <w:szCs w:val="24"/>
        </w:rPr>
        <w:fldChar w:fldCharType="begin">
          <w:fldData xml:space="preserve">PEVuZE5vdGU+PENpdGU+PEF1dGhvcj5QbGltYWNrPC9BdXRob3I+PFllYXI+MjAxNDwvWWVhcj48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</w:fldData>
        </w:fldChar>
      </w:r>
      <w:r w:rsidRPr="005F5E3B">
        <w:rPr>
          <w:rFonts w:eastAsia="Times New Roman" w:cs="Times New Roman"/>
          <w:szCs w:val="24"/>
        </w:rPr>
        <w:instrText xml:space="preserve"> ADDIN EN.CITE.DATA </w:instrText>
      </w:r>
      <w:r w:rsidRPr="005F5E3B">
        <w:rPr>
          <w:rFonts w:eastAsia="Times New Roman" w:cs="Times New Roman"/>
          <w:szCs w:val="24"/>
        </w:rPr>
      </w:r>
      <w:r w:rsidRPr="005F5E3B">
        <w:rPr>
          <w:rFonts w:eastAsia="Times New Roman" w:cs="Times New Roman"/>
          <w:szCs w:val="24"/>
        </w:rPr>
        <w:fldChar w:fldCharType="end"/>
      </w:r>
      <w:r w:rsidRPr="005F5E3B">
        <w:rPr>
          <w:rFonts w:eastAsia="Times New Roman" w:cs="Times New Roman"/>
          <w:szCs w:val="24"/>
        </w:rPr>
      </w:r>
      <w:r w:rsidRPr="005F5E3B">
        <w:rPr>
          <w:rFonts w:eastAsia="Times New Roman" w:cs="Times New Roman"/>
          <w:szCs w:val="24"/>
        </w:rPr>
        <w:fldChar w:fldCharType="separate"/>
      </w:r>
      <w:r w:rsidRPr="005F5E3B">
        <w:rPr>
          <w:rFonts w:eastAsia="Times New Roman" w:cs="Times New Roman"/>
          <w:noProof/>
          <w:szCs w:val="24"/>
        </w:rPr>
        <w:t>(</w:t>
      </w:r>
      <w:proofErr w:type="spellStart"/>
      <w:r w:rsidRPr="005F5E3B">
        <w:rPr>
          <w:rFonts w:eastAsia="Times New Roman" w:cs="Times New Roman"/>
          <w:noProof/>
          <w:szCs w:val="24"/>
        </w:rPr>
        <w:t>Plimack</w:t>
      </w:r>
      <w:proofErr w:type="spellEnd"/>
      <w:r w:rsidRPr="005F5E3B">
        <w:rPr>
          <w:rFonts w:eastAsia="Times New Roman" w:cs="Times New Roman"/>
          <w:noProof/>
          <w:szCs w:val="24"/>
        </w:rPr>
        <w:t xml:space="preserve"> et al. 2014)</w:t>
      </w:r>
      <w:r w:rsidRPr="005F5E3B">
        <w:rPr>
          <w:rFonts w:eastAsia="Times New Roman" w:cs="Times New Roman"/>
          <w:szCs w:val="24"/>
        </w:rPr>
        <w:fldChar w:fldCharType="end"/>
      </w:r>
      <w:r w:rsidRPr="005F5E3B">
        <w:rPr>
          <w:rFonts w:eastAsia="Times New Roman" w:cs="Times New Roman"/>
          <w:szCs w:val="24"/>
        </w:rPr>
        <w:t xml:space="preserve">, which indicated that 12% experienced grade 3 or grade 4 adverse events following three doses of </w:t>
      </w:r>
      <w:proofErr w:type="spellStart"/>
      <w:r w:rsidRPr="005F5E3B">
        <w:rPr>
          <w:rFonts w:eastAsia="Times New Roman" w:cs="Times New Roman"/>
          <w:szCs w:val="24"/>
        </w:rPr>
        <w:t>ddMAVC</w:t>
      </w:r>
      <w:proofErr w:type="spellEnd"/>
      <w:r w:rsidRPr="005F5E3B">
        <w:rPr>
          <w:rFonts w:eastAsia="Times New Roman" w:cs="Times New Roman"/>
          <w:szCs w:val="24"/>
        </w:rPr>
        <w:t xml:space="preserve">, whereas 18% experienced such </w:t>
      </w:r>
      <w:r w:rsidR="005C2492" w:rsidRPr="005F5E3B">
        <w:rPr>
          <w:rFonts w:eastAsia="Times New Roman" w:cs="Times New Roman"/>
          <w:szCs w:val="24"/>
        </w:rPr>
        <w:t xml:space="preserve">toxicities </w:t>
      </w:r>
      <w:r w:rsidRPr="005F5E3B">
        <w:rPr>
          <w:rFonts w:eastAsia="Times New Roman" w:cs="Times New Roman"/>
          <w:szCs w:val="24"/>
        </w:rPr>
        <w:t xml:space="preserve">after four </w:t>
      </w:r>
      <w:r w:rsidR="005C2492" w:rsidRPr="005F5E3B">
        <w:rPr>
          <w:rFonts w:eastAsia="Times New Roman" w:cs="Times New Roman"/>
          <w:szCs w:val="24"/>
        </w:rPr>
        <w:t>courses</w:t>
      </w:r>
      <w:r w:rsidRPr="005F5E3B">
        <w:rPr>
          <w:rFonts w:eastAsia="Times New Roman" w:cs="Times New Roman"/>
          <w:szCs w:val="24"/>
        </w:rPr>
        <w:t xml:space="preserve"> of </w:t>
      </w:r>
      <w:proofErr w:type="spellStart"/>
      <w:r w:rsidRPr="005F5E3B">
        <w:rPr>
          <w:rFonts w:eastAsia="Times New Roman" w:cs="Times New Roman"/>
          <w:szCs w:val="24"/>
        </w:rPr>
        <w:t>ddMVAC</w:t>
      </w:r>
      <w:proofErr w:type="spellEnd"/>
      <w:r w:rsidRPr="005F5E3B">
        <w:rPr>
          <w:rFonts w:eastAsia="Times New Roman" w:cs="Times New Roman"/>
          <w:szCs w:val="24"/>
        </w:rPr>
        <w:t xml:space="preserve">. The healthcare costs and the disutility associated with the side effects </w:t>
      </w:r>
      <w:r w:rsidR="005C2492" w:rsidRPr="005F5E3B">
        <w:rPr>
          <w:rFonts w:eastAsia="Times New Roman" w:cs="Times New Roman"/>
          <w:szCs w:val="24"/>
        </w:rPr>
        <w:t xml:space="preserve">were </w:t>
      </w:r>
      <w:r w:rsidRPr="005F5E3B">
        <w:rPr>
          <w:rFonts w:eastAsia="Times New Roman" w:cs="Times New Roman"/>
          <w:szCs w:val="24"/>
        </w:rPr>
        <w:t xml:space="preserve">derived from the Joyce et al. study </w:t>
      </w:r>
      <w:r w:rsidRPr="005F5E3B">
        <w:rPr>
          <w:rFonts w:eastAsia="Times New Roman" w:cs="Times New Roman"/>
          <w:szCs w:val="24"/>
        </w:rPr>
        <w:fldChar w:fldCharType="begin">
          <w:fldData xml:space="preserve">PEVuZE5vdGU+PENpdGU+PEF1dGhvcj5Kb3ljZTwvQXV0aG9yPjxZZWFyPjIwMjI8L1llYXI+PFJl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=
</w:fldData>
        </w:fldChar>
      </w:r>
      <w:r w:rsidRPr="005F5E3B">
        <w:rPr>
          <w:rFonts w:eastAsia="Times New Roman" w:cs="Times New Roman"/>
          <w:szCs w:val="24"/>
        </w:rPr>
        <w:instrText xml:space="preserve"> ADDIN EN.CITE </w:instrText>
      </w:r>
      <w:r w:rsidRPr="005F5E3B">
        <w:rPr>
          <w:rFonts w:eastAsia="Times New Roman" w:cs="Times New Roman"/>
          <w:szCs w:val="24"/>
        </w:rPr>
        <w:fldChar w:fldCharType="begin">
          <w:fldData xml:space="preserve">PEVuZE5vdGU+PENpdGU+PEF1dGhvcj5Kb3ljZTwvQXV0aG9yPjxZZWFyPjIwMjI8L1llYXI+PFJl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=
</w:fldData>
        </w:fldChar>
      </w:r>
      <w:r w:rsidRPr="005F5E3B">
        <w:rPr>
          <w:rFonts w:eastAsia="Times New Roman" w:cs="Times New Roman"/>
          <w:szCs w:val="24"/>
        </w:rPr>
        <w:instrText xml:space="preserve"> ADDIN EN.CITE.DATA </w:instrText>
      </w:r>
      <w:r w:rsidRPr="005F5E3B">
        <w:rPr>
          <w:rFonts w:eastAsia="Times New Roman" w:cs="Times New Roman"/>
          <w:szCs w:val="24"/>
        </w:rPr>
      </w:r>
      <w:r w:rsidRPr="005F5E3B">
        <w:rPr>
          <w:rFonts w:eastAsia="Times New Roman" w:cs="Times New Roman"/>
          <w:szCs w:val="24"/>
        </w:rPr>
        <w:fldChar w:fldCharType="end"/>
      </w:r>
      <w:r w:rsidRPr="005F5E3B">
        <w:rPr>
          <w:rFonts w:eastAsia="Times New Roman" w:cs="Times New Roman"/>
          <w:szCs w:val="24"/>
        </w:rPr>
      </w:r>
      <w:r w:rsidRPr="005F5E3B">
        <w:rPr>
          <w:rFonts w:eastAsia="Times New Roman" w:cs="Times New Roman"/>
          <w:szCs w:val="24"/>
        </w:rPr>
        <w:fldChar w:fldCharType="separate"/>
      </w:r>
      <w:r w:rsidRPr="005F5E3B">
        <w:rPr>
          <w:rFonts w:eastAsia="Times New Roman" w:cs="Times New Roman"/>
          <w:noProof/>
          <w:szCs w:val="24"/>
        </w:rPr>
        <w:t>(Joyce et al. 2022)</w:t>
      </w:r>
      <w:r w:rsidRPr="005F5E3B">
        <w:rPr>
          <w:rFonts w:eastAsia="Times New Roman" w:cs="Times New Roman"/>
          <w:szCs w:val="24"/>
        </w:rPr>
        <w:fldChar w:fldCharType="end"/>
      </w:r>
      <w:r w:rsidRPr="005F5E3B">
        <w:rPr>
          <w:rFonts w:eastAsia="Times New Roman" w:cs="Times New Roman"/>
          <w:szCs w:val="24"/>
        </w:rPr>
        <w:t>.</w:t>
      </w:r>
    </w:p>
    <w:p w14:paraId="752F8A59" w14:textId="77777777" w:rsidR="00C70F7F" w:rsidRPr="005F5E3B" w:rsidRDefault="00C70F7F" w:rsidP="0061082A">
      <w:pPr>
        <w:rPr>
          <w:rFonts w:cs="Times New Roman"/>
        </w:rPr>
      </w:pPr>
    </w:p>
    <w:p w14:paraId="1C85BC34" w14:textId="23525951" w:rsidR="0061082A" w:rsidRPr="005F5E3B" w:rsidRDefault="0061082A" w:rsidP="00013076">
      <w:pPr>
        <w:pStyle w:val="Heading2"/>
        <w:numPr>
          <w:ilvl w:val="0"/>
          <w:numId w:val="0"/>
        </w:numPr>
        <w:ind w:left="360"/>
        <w:rPr>
          <w:i/>
          <w:iCs/>
        </w:rPr>
      </w:pPr>
      <w:r w:rsidRPr="005F5E3B">
        <w:rPr>
          <w:i/>
          <w:iCs/>
        </w:rPr>
        <w:lastRenderedPageBreak/>
        <w:t>3.</w:t>
      </w:r>
      <w:r w:rsidR="00013076" w:rsidRPr="005F5E3B">
        <w:rPr>
          <w:i/>
          <w:iCs/>
        </w:rPr>
        <w:t xml:space="preserve">1 </w:t>
      </w:r>
      <w:r w:rsidRPr="005F5E3B">
        <w:rPr>
          <w:i/>
          <w:iCs/>
        </w:rPr>
        <w:t>Result of the first scenario analysis</w:t>
      </w:r>
    </w:p>
    <w:p w14:paraId="630FD2AB" w14:textId="77777777" w:rsidR="0061082A" w:rsidRPr="005F5E3B" w:rsidRDefault="0061082A" w:rsidP="0061082A">
      <w:pPr>
        <w:rPr>
          <w:rFonts w:cs="Times New Roman"/>
        </w:rPr>
      </w:pPr>
      <w:r w:rsidRPr="005F5E3B">
        <w:rPr>
          <w:rFonts w:cs="Times New Roman"/>
        </w:rPr>
        <w:t>Table S8. Incremental cost-effectiveness ratio (ICER) at 2-year, 3-year and 5-year by current treatment scenario and de-escalated molecular subtype-based use of perioperative chemotherapy, respectively</w:t>
      </w:r>
    </w:p>
    <w:tbl>
      <w:tblPr>
        <w:tblStyle w:val="TableGrid"/>
        <w:tblW w:w="0" w:type="auto"/>
        <w:tblLook w:val="04A0" w:firstRow="1" w:lastRow="0" w:firstColumn="1" w:lastColumn="0" w:noHBand="0" w:noVBand="1"/>
      </w:tblPr>
      <w:tblGrid>
        <w:gridCol w:w="1388"/>
        <w:gridCol w:w="1726"/>
        <w:gridCol w:w="1417"/>
        <w:gridCol w:w="1276"/>
        <w:gridCol w:w="1559"/>
        <w:gridCol w:w="1496"/>
      </w:tblGrid>
      <w:tr w:rsidR="005F5E3B" w:rsidRPr="005F5E3B" w14:paraId="425C9A78" w14:textId="77777777" w:rsidTr="00013076">
        <w:tc>
          <w:tcPr>
            <w:tcW w:w="1388" w:type="dxa"/>
          </w:tcPr>
          <w:p w14:paraId="55F5B3BB" w14:textId="77777777" w:rsidR="0061082A" w:rsidRPr="005F5E3B" w:rsidRDefault="0061082A" w:rsidP="00013076">
            <w:pPr>
              <w:pStyle w:val="NoSpacing"/>
            </w:pPr>
            <w:r w:rsidRPr="005F5E3B">
              <w:t>Time duration</w:t>
            </w:r>
          </w:p>
        </w:tc>
        <w:tc>
          <w:tcPr>
            <w:tcW w:w="1726" w:type="dxa"/>
          </w:tcPr>
          <w:p w14:paraId="4DFCEE91" w14:textId="77777777" w:rsidR="0061082A" w:rsidRPr="005F5E3B" w:rsidRDefault="0061082A" w:rsidP="00013076">
            <w:pPr>
              <w:pStyle w:val="NoSpacing"/>
            </w:pPr>
            <w:r w:rsidRPr="005F5E3B">
              <w:t>Cost (std)</w:t>
            </w:r>
          </w:p>
        </w:tc>
        <w:tc>
          <w:tcPr>
            <w:tcW w:w="1417" w:type="dxa"/>
          </w:tcPr>
          <w:p w14:paraId="7B58FE26" w14:textId="77777777" w:rsidR="0061082A" w:rsidRPr="005F5E3B" w:rsidRDefault="0061082A" w:rsidP="00013076">
            <w:pPr>
              <w:pStyle w:val="NoSpacing"/>
            </w:pPr>
            <w:r w:rsidRPr="005F5E3B">
              <w:t>Incremental cost</w:t>
            </w:r>
          </w:p>
        </w:tc>
        <w:tc>
          <w:tcPr>
            <w:tcW w:w="1276" w:type="dxa"/>
          </w:tcPr>
          <w:p w14:paraId="201AF0F7" w14:textId="77777777" w:rsidR="0061082A" w:rsidRPr="005F5E3B" w:rsidRDefault="0061082A" w:rsidP="00013076">
            <w:pPr>
              <w:pStyle w:val="NoSpacing"/>
            </w:pPr>
            <w:r w:rsidRPr="005F5E3B">
              <w:t>QALYs (std)</w:t>
            </w:r>
          </w:p>
        </w:tc>
        <w:tc>
          <w:tcPr>
            <w:tcW w:w="1559" w:type="dxa"/>
          </w:tcPr>
          <w:p w14:paraId="449B02A1" w14:textId="77777777" w:rsidR="0061082A" w:rsidRPr="005F5E3B" w:rsidRDefault="0061082A" w:rsidP="00013076">
            <w:pPr>
              <w:pStyle w:val="NoSpacing"/>
            </w:pPr>
            <w:r w:rsidRPr="005F5E3B">
              <w:t>Incremental benefit</w:t>
            </w:r>
          </w:p>
        </w:tc>
        <w:tc>
          <w:tcPr>
            <w:tcW w:w="1496" w:type="dxa"/>
          </w:tcPr>
          <w:p w14:paraId="09C0BE99" w14:textId="77777777" w:rsidR="0061082A" w:rsidRPr="005F5E3B" w:rsidRDefault="0061082A" w:rsidP="00013076">
            <w:pPr>
              <w:pStyle w:val="NoSpacing"/>
            </w:pPr>
            <w:r w:rsidRPr="005F5E3B">
              <w:t>ICER (cost/QALY)</w:t>
            </w:r>
          </w:p>
        </w:tc>
      </w:tr>
      <w:tr w:rsidR="005F5E3B" w:rsidRPr="005F5E3B" w14:paraId="68E54D05" w14:textId="77777777" w:rsidTr="00013076">
        <w:tc>
          <w:tcPr>
            <w:tcW w:w="8862" w:type="dxa"/>
            <w:gridSpan w:val="6"/>
          </w:tcPr>
          <w:p w14:paraId="759ED1D8" w14:textId="77777777" w:rsidR="0061082A" w:rsidRPr="005F5E3B" w:rsidRDefault="0061082A" w:rsidP="00013076">
            <w:pPr>
              <w:pStyle w:val="NoSpacing"/>
              <w:rPr>
                <w:i/>
                <w:iCs/>
              </w:rPr>
            </w:pPr>
            <w:r w:rsidRPr="005F5E3B">
              <w:rPr>
                <w:i/>
                <w:iCs/>
              </w:rPr>
              <w:t>2-year</w:t>
            </w:r>
          </w:p>
        </w:tc>
      </w:tr>
      <w:tr w:rsidR="005F5E3B" w:rsidRPr="005F5E3B" w14:paraId="5B4B3F28" w14:textId="77777777" w:rsidTr="00013076">
        <w:tc>
          <w:tcPr>
            <w:tcW w:w="1388" w:type="dxa"/>
          </w:tcPr>
          <w:p w14:paraId="3FC894E7" w14:textId="77777777" w:rsidR="0061082A" w:rsidRPr="005F5E3B" w:rsidRDefault="0061082A" w:rsidP="00013076">
            <w:pPr>
              <w:pStyle w:val="NoSpacing"/>
            </w:pPr>
            <w:r w:rsidRPr="005F5E3B">
              <w:t>Current treatment</w:t>
            </w:r>
          </w:p>
        </w:tc>
        <w:tc>
          <w:tcPr>
            <w:tcW w:w="1726" w:type="dxa"/>
          </w:tcPr>
          <w:p w14:paraId="0D0544D4" w14:textId="77777777" w:rsidR="0061082A" w:rsidRPr="005F5E3B" w:rsidRDefault="0061082A" w:rsidP="00013076">
            <w:pPr>
              <w:pStyle w:val="NoSpacing"/>
            </w:pPr>
            <w:r w:rsidRPr="005F5E3B">
              <w:t>17,024 (1,189)</w:t>
            </w:r>
          </w:p>
        </w:tc>
        <w:tc>
          <w:tcPr>
            <w:tcW w:w="1417" w:type="dxa"/>
          </w:tcPr>
          <w:p w14:paraId="1E2E2381" w14:textId="77777777" w:rsidR="0061082A" w:rsidRPr="005F5E3B" w:rsidRDefault="0061082A" w:rsidP="00013076">
            <w:pPr>
              <w:pStyle w:val="NoSpacing"/>
            </w:pPr>
          </w:p>
        </w:tc>
        <w:tc>
          <w:tcPr>
            <w:tcW w:w="1276" w:type="dxa"/>
          </w:tcPr>
          <w:p w14:paraId="6B14BEF6" w14:textId="77777777" w:rsidR="0061082A" w:rsidRPr="005F5E3B" w:rsidRDefault="0061082A" w:rsidP="00013076">
            <w:pPr>
              <w:pStyle w:val="NoSpacing"/>
            </w:pPr>
            <w:r w:rsidRPr="005F5E3B">
              <w:t>2.20 (0.67)</w:t>
            </w:r>
          </w:p>
        </w:tc>
        <w:tc>
          <w:tcPr>
            <w:tcW w:w="1559" w:type="dxa"/>
          </w:tcPr>
          <w:p w14:paraId="15EEDEED" w14:textId="77777777" w:rsidR="0061082A" w:rsidRPr="005F5E3B" w:rsidRDefault="0061082A" w:rsidP="00013076">
            <w:pPr>
              <w:pStyle w:val="NoSpacing"/>
            </w:pPr>
          </w:p>
        </w:tc>
        <w:tc>
          <w:tcPr>
            <w:tcW w:w="1496" w:type="dxa"/>
          </w:tcPr>
          <w:p w14:paraId="07EAF1CF" w14:textId="77777777" w:rsidR="0061082A" w:rsidRPr="005F5E3B" w:rsidRDefault="0061082A" w:rsidP="00013076">
            <w:pPr>
              <w:pStyle w:val="NoSpacing"/>
            </w:pPr>
          </w:p>
        </w:tc>
      </w:tr>
      <w:tr w:rsidR="005F5E3B" w:rsidRPr="005F5E3B" w14:paraId="1E15D37E" w14:textId="77777777" w:rsidTr="00013076">
        <w:tc>
          <w:tcPr>
            <w:tcW w:w="1388" w:type="dxa"/>
          </w:tcPr>
          <w:p w14:paraId="70C2BAC5" w14:textId="77777777" w:rsidR="0061082A" w:rsidRPr="005F5E3B" w:rsidRDefault="0061082A" w:rsidP="00013076">
            <w:pPr>
              <w:pStyle w:val="NoSpacing"/>
            </w:pPr>
            <w:r w:rsidRPr="005F5E3B">
              <w:t>Molecular subtype-</w:t>
            </w:r>
          </w:p>
        </w:tc>
        <w:tc>
          <w:tcPr>
            <w:tcW w:w="1726" w:type="dxa"/>
          </w:tcPr>
          <w:p w14:paraId="7983FE37" w14:textId="77777777" w:rsidR="0061082A" w:rsidRPr="005F5E3B" w:rsidRDefault="0061082A" w:rsidP="00013076">
            <w:pPr>
              <w:pStyle w:val="NoSpacing"/>
            </w:pPr>
            <w:r w:rsidRPr="005F5E3B">
              <w:t>17,934 (701)</w:t>
            </w:r>
          </w:p>
        </w:tc>
        <w:tc>
          <w:tcPr>
            <w:tcW w:w="1417" w:type="dxa"/>
          </w:tcPr>
          <w:p w14:paraId="57BC7E56" w14:textId="77777777" w:rsidR="0061082A" w:rsidRPr="005F5E3B" w:rsidRDefault="0061082A" w:rsidP="00013076">
            <w:pPr>
              <w:pStyle w:val="NoSpacing"/>
            </w:pPr>
            <w:r w:rsidRPr="005F5E3B">
              <w:t>909</w:t>
            </w:r>
          </w:p>
        </w:tc>
        <w:tc>
          <w:tcPr>
            <w:tcW w:w="1276" w:type="dxa"/>
          </w:tcPr>
          <w:p w14:paraId="75479AE8" w14:textId="77777777" w:rsidR="0061082A" w:rsidRPr="005F5E3B" w:rsidRDefault="0061082A" w:rsidP="00013076">
            <w:pPr>
              <w:pStyle w:val="NoSpacing"/>
            </w:pPr>
            <w:r w:rsidRPr="005F5E3B">
              <w:t>2.33 (0.59)</w:t>
            </w:r>
          </w:p>
        </w:tc>
        <w:tc>
          <w:tcPr>
            <w:tcW w:w="1559" w:type="dxa"/>
          </w:tcPr>
          <w:p w14:paraId="570EA52D" w14:textId="77777777" w:rsidR="0061082A" w:rsidRPr="005F5E3B" w:rsidRDefault="0061082A" w:rsidP="00013076">
            <w:pPr>
              <w:pStyle w:val="NoSpacing"/>
            </w:pPr>
            <w:r w:rsidRPr="005F5E3B">
              <w:t>0.13</w:t>
            </w:r>
          </w:p>
        </w:tc>
        <w:tc>
          <w:tcPr>
            <w:tcW w:w="1496" w:type="dxa"/>
          </w:tcPr>
          <w:p w14:paraId="67E38297" w14:textId="77777777" w:rsidR="0061082A" w:rsidRPr="005F5E3B" w:rsidRDefault="0061082A" w:rsidP="00013076">
            <w:pPr>
              <w:pStyle w:val="NoSpacing"/>
            </w:pPr>
            <w:r w:rsidRPr="005F5E3B">
              <w:t>6,865</w:t>
            </w:r>
          </w:p>
        </w:tc>
      </w:tr>
      <w:tr w:rsidR="005F5E3B" w:rsidRPr="005F5E3B" w14:paraId="5120D7B2" w14:textId="77777777" w:rsidTr="00013076">
        <w:tc>
          <w:tcPr>
            <w:tcW w:w="8862" w:type="dxa"/>
            <w:gridSpan w:val="6"/>
          </w:tcPr>
          <w:p w14:paraId="465F4D2F" w14:textId="77777777" w:rsidR="0061082A" w:rsidRPr="005F5E3B" w:rsidRDefault="0061082A" w:rsidP="00013076">
            <w:pPr>
              <w:pStyle w:val="NoSpacing"/>
              <w:rPr>
                <w:i/>
                <w:iCs/>
              </w:rPr>
            </w:pPr>
            <w:r w:rsidRPr="005F5E3B">
              <w:rPr>
                <w:i/>
                <w:iCs/>
              </w:rPr>
              <w:t>3-year</w:t>
            </w:r>
          </w:p>
        </w:tc>
      </w:tr>
      <w:tr w:rsidR="005F5E3B" w:rsidRPr="005F5E3B" w14:paraId="3F0886FC" w14:textId="77777777" w:rsidTr="00013076">
        <w:tc>
          <w:tcPr>
            <w:tcW w:w="1388" w:type="dxa"/>
          </w:tcPr>
          <w:p w14:paraId="73FF9669" w14:textId="77777777" w:rsidR="0061082A" w:rsidRPr="005F5E3B" w:rsidRDefault="0061082A" w:rsidP="00013076">
            <w:pPr>
              <w:pStyle w:val="NoSpacing"/>
            </w:pPr>
            <w:r w:rsidRPr="005F5E3B">
              <w:t>Current treatment</w:t>
            </w:r>
          </w:p>
        </w:tc>
        <w:tc>
          <w:tcPr>
            <w:tcW w:w="1726" w:type="dxa"/>
          </w:tcPr>
          <w:p w14:paraId="2F3A36AD" w14:textId="77777777" w:rsidR="0061082A" w:rsidRPr="005F5E3B" w:rsidRDefault="0061082A" w:rsidP="00013076">
            <w:pPr>
              <w:pStyle w:val="NoSpacing"/>
            </w:pPr>
            <w:r w:rsidRPr="005F5E3B">
              <w:t>17,201 (1,222)</w:t>
            </w:r>
          </w:p>
        </w:tc>
        <w:tc>
          <w:tcPr>
            <w:tcW w:w="1417" w:type="dxa"/>
          </w:tcPr>
          <w:p w14:paraId="67506057" w14:textId="77777777" w:rsidR="0061082A" w:rsidRPr="005F5E3B" w:rsidRDefault="0061082A" w:rsidP="00013076">
            <w:pPr>
              <w:pStyle w:val="NoSpacing"/>
            </w:pPr>
          </w:p>
        </w:tc>
        <w:tc>
          <w:tcPr>
            <w:tcW w:w="1276" w:type="dxa"/>
          </w:tcPr>
          <w:p w14:paraId="118CCD1D" w14:textId="77777777" w:rsidR="0061082A" w:rsidRPr="005F5E3B" w:rsidRDefault="0061082A" w:rsidP="00013076">
            <w:pPr>
              <w:pStyle w:val="NoSpacing"/>
            </w:pPr>
            <w:r w:rsidRPr="005F5E3B">
              <w:t>2.56 (0.97)</w:t>
            </w:r>
          </w:p>
        </w:tc>
        <w:tc>
          <w:tcPr>
            <w:tcW w:w="1559" w:type="dxa"/>
          </w:tcPr>
          <w:p w14:paraId="61A58D67" w14:textId="77777777" w:rsidR="0061082A" w:rsidRPr="005F5E3B" w:rsidRDefault="0061082A" w:rsidP="00013076">
            <w:pPr>
              <w:pStyle w:val="NoSpacing"/>
            </w:pPr>
          </w:p>
        </w:tc>
        <w:tc>
          <w:tcPr>
            <w:tcW w:w="1496" w:type="dxa"/>
          </w:tcPr>
          <w:p w14:paraId="272E8747" w14:textId="77777777" w:rsidR="0061082A" w:rsidRPr="005F5E3B" w:rsidRDefault="0061082A" w:rsidP="00013076">
            <w:pPr>
              <w:pStyle w:val="NoSpacing"/>
            </w:pPr>
          </w:p>
        </w:tc>
      </w:tr>
      <w:tr w:rsidR="005F5E3B" w:rsidRPr="005F5E3B" w14:paraId="77748462" w14:textId="77777777" w:rsidTr="00013076">
        <w:tc>
          <w:tcPr>
            <w:tcW w:w="1388" w:type="dxa"/>
          </w:tcPr>
          <w:p w14:paraId="452F435E" w14:textId="77777777" w:rsidR="0061082A" w:rsidRPr="005F5E3B" w:rsidRDefault="0061082A" w:rsidP="00013076">
            <w:pPr>
              <w:pStyle w:val="NoSpacing"/>
            </w:pPr>
            <w:r w:rsidRPr="005F5E3B">
              <w:t>Molecular subtype-</w:t>
            </w:r>
          </w:p>
        </w:tc>
        <w:tc>
          <w:tcPr>
            <w:tcW w:w="1726" w:type="dxa"/>
          </w:tcPr>
          <w:p w14:paraId="4138547A" w14:textId="77777777" w:rsidR="0061082A" w:rsidRPr="005F5E3B" w:rsidRDefault="0061082A" w:rsidP="00013076">
            <w:pPr>
              <w:pStyle w:val="NoSpacing"/>
            </w:pPr>
            <w:r w:rsidRPr="005F5E3B">
              <w:t>18,166 (771)</w:t>
            </w:r>
          </w:p>
        </w:tc>
        <w:tc>
          <w:tcPr>
            <w:tcW w:w="1417" w:type="dxa"/>
          </w:tcPr>
          <w:p w14:paraId="290D924E" w14:textId="77777777" w:rsidR="0061082A" w:rsidRPr="005F5E3B" w:rsidRDefault="0061082A" w:rsidP="00013076">
            <w:pPr>
              <w:pStyle w:val="NoSpacing"/>
            </w:pPr>
            <w:r w:rsidRPr="005F5E3B">
              <w:t>964</w:t>
            </w:r>
          </w:p>
        </w:tc>
        <w:tc>
          <w:tcPr>
            <w:tcW w:w="1276" w:type="dxa"/>
          </w:tcPr>
          <w:p w14:paraId="08B286D7" w14:textId="77777777" w:rsidR="0061082A" w:rsidRPr="005F5E3B" w:rsidRDefault="0061082A" w:rsidP="00013076">
            <w:pPr>
              <w:pStyle w:val="NoSpacing"/>
            </w:pPr>
            <w:r w:rsidRPr="005F5E3B">
              <w:t>2.81 (0.89)</w:t>
            </w:r>
          </w:p>
        </w:tc>
        <w:tc>
          <w:tcPr>
            <w:tcW w:w="1559" w:type="dxa"/>
          </w:tcPr>
          <w:p w14:paraId="43EBAB0A" w14:textId="77777777" w:rsidR="0061082A" w:rsidRPr="005F5E3B" w:rsidRDefault="0061082A" w:rsidP="00013076">
            <w:pPr>
              <w:pStyle w:val="NoSpacing"/>
            </w:pPr>
            <w:r w:rsidRPr="005F5E3B">
              <w:t>0.24</w:t>
            </w:r>
          </w:p>
        </w:tc>
        <w:tc>
          <w:tcPr>
            <w:tcW w:w="1496" w:type="dxa"/>
          </w:tcPr>
          <w:p w14:paraId="430D7CAB" w14:textId="77777777" w:rsidR="0061082A" w:rsidRPr="005F5E3B" w:rsidRDefault="0061082A" w:rsidP="00013076">
            <w:pPr>
              <w:pStyle w:val="NoSpacing"/>
            </w:pPr>
            <w:r w:rsidRPr="005F5E3B">
              <w:t>3,937</w:t>
            </w:r>
          </w:p>
        </w:tc>
      </w:tr>
      <w:tr w:rsidR="005F5E3B" w:rsidRPr="005F5E3B" w14:paraId="5BFBA964" w14:textId="77777777" w:rsidTr="00013076">
        <w:tc>
          <w:tcPr>
            <w:tcW w:w="8862" w:type="dxa"/>
            <w:gridSpan w:val="6"/>
          </w:tcPr>
          <w:p w14:paraId="4C07A2C1" w14:textId="77777777" w:rsidR="0061082A" w:rsidRPr="005F5E3B" w:rsidRDefault="0061082A" w:rsidP="00013076">
            <w:pPr>
              <w:pStyle w:val="NoSpacing"/>
              <w:rPr>
                <w:i/>
                <w:iCs/>
              </w:rPr>
            </w:pPr>
            <w:r w:rsidRPr="005F5E3B">
              <w:rPr>
                <w:i/>
                <w:iCs/>
              </w:rPr>
              <w:t>5-year</w:t>
            </w:r>
          </w:p>
        </w:tc>
      </w:tr>
      <w:tr w:rsidR="005F5E3B" w:rsidRPr="005F5E3B" w14:paraId="0BA7B4BC" w14:textId="77777777" w:rsidTr="00013076">
        <w:tc>
          <w:tcPr>
            <w:tcW w:w="1388" w:type="dxa"/>
          </w:tcPr>
          <w:p w14:paraId="609E5504" w14:textId="77777777" w:rsidR="0061082A" w:rsidRPr="005F5E3B" w:rsidRDefault="0061082A" w:rsidP="00013076">
            <w:pPr>
              <w:pStyle w:val="NoSpacing"/>
            </w:pPr>
            <w:r w:rsidRPr="005F5E3B">
              <w:t>Current treatment</w:t>
            </w:r>
          </w:p>
        </w:tc>
        <w:tc>
          <w:tcPr>
            <w:tcW w:w="1726" w:type="dxa"/>
          </w:tcPr>
          <w:p w14:paraId="353065AD" w14:textId="77777777" w:rsidR="0061082A" w:rsidRPr="005F5E3B" w:rsidRDefault="0061082A" w:rsidP="00013076">
            <w:pPr>
              <w:pStyle w:val="NoSpacing"/>
            </w:pPr>
            <w:r w:rsidRPr="005F5E3B">
              <w:t>17,363 (1,287)</w:t>
            </w:r>
          </w:p>
        </w:tc>
        <w:tc>
          <w:tcPr>
            <w:tcW w:w="1417" w:type="dxa"/>
          </w:tcPr>
          <w:p w14:paraId="1CB974EB" w14:textId="77777777" w:rsidR="0061082A" w:rsidRPr="005F5E3B" w:rsidRDefault="0061082A" w:rsidP="00013076">
            <w:pPr>
              <w:pStyle w:val="NoSpacing"/>
            </w:pPr>
          </w:p>
        </w:tc>
        <w:tc>
          <w:tcPr>
            <w:tcW w:w="1276" w:type="dxa"/>
          </w:tcPr>
          <w:p w14:paraId="11C71166" w14:textId="77777777" w:rsidR="0061082A" w:rsidRPr="005F5E3B" w:rsidRDefault="0061082A" w:rsidP="00013076">
            <w:pPr>
              <w:pStyle w:val="NoSpacing"/>
            </w:pPr>
            <w:r w:rsidRPr="005F5E3B">
              <w:t xml:space="preserve">2.89 (1.37) </w:t>
            </w:r>
          </w:p>
        </w:tc>
        <w:tc>
          <w:tcPr>
            <w:tcW w:w="1559" w:type="dxa"/>
          </w:tcPr>
          <w:p w14:paraId="1CF3281C" w14:textId="77777777" w:rsidR="0061082A" w:rsidRPr="005F5E3B" w:rsidRDefault="0061082A" w:rsidP="00013076">
            <w:pPr>
              <w:pStyle w:val="NoSpacing"/>
            </w:pPr>
          </w:p>
        </w:tc>
        <w:tc>
          <w:tcPr>
            <w:tcW w:w="1496" w:type="dxa"/>
          </w:tcPr>
          <w:p w14:paraId="37567A89" w14:textId="77777777" w:rsidR="0061082A" w:rsidRPr="005F5E3B" w:rsidRDefault="0061082A" w:rsidP="00013076">
            <w:pPr>
              <w:pStyle w:val="NoSpacing"/>
            </w:pPr>
          </w:p>
        </w:tc>
      </w:tr>
      <w:tr w:rsidR="005F5E3B" w:rsidRPr="005F5E3B" w14:paraId="3F0A2F0D" w14:textId="77777777" w:rsidTr="00013076">
        <w:tc>
          <w:tcPr>
            <w:tcW w:w="1388" w:type="dxa"/>
          </w:tcPr>
          <w:p w14:paraId="3BCD5768" w14:textId="77777777" w:rsidR="0061082A" w:rsidRPr="005F5E3B" w:rsidRDefault="0061082A" w:rsidP="00013076">
            <w:pPr>
              <w:pStyle w:val="NoSpacing"/>
            </w:pPr>
            <w:r w:rsidRPr="005F5E3B">
              <w:t>Molecular subtype-</w:t>
            </w:r>
          </w:p>
        </w:tc>
        <w:tc>
          <w:tcPr>
            <w:tcW w:w="1726" w:type="dxa"/>
          </w:tcPr>
          <w:p w14:paraId="4F9EF2B8" w14:textId="77777777" w:rsidR="0061082A" w:rsidRPr="005F5E3B" w:rsidRDefault="0061082A" w:rsidP="00013076">
            <w:pPr>
              <w:pStyle w:val="NoSpacing"/>
            </w:pPr>
            <w:r w:rsidRPr="005F5E3B">
              <w:t xml:space="preserve">18,405 (919) </w:t>
            </w:r>
          </w:p>
        </w:tc>
        <w:tc>
          <w:tcPr>
            <w:tcW w:w="1417" w:type="dxa"/>
          </w:tcPr>
          <w:p w14:paraId="1FD250B1" w14:textId="77777777" w:rsidR="0061082A" w:rsidRPr="005F5E3B" w:rsidRDefault="0061082A" w:rsidP="00013076">
            <w:pPr>
              <w:pStyle w:val="NoSpacing"/>
            </w:pPr>
            <w:r w:rsidRPr="005F5E3B">
              <w:t>1,042</w:t>
            </w:r>
          </w:p>
        </w:tc>
        <w:tc>
          <w:tcPr>
            <w:tcW w:w="1276" w:type="dxa"/>
          </w:tcPr>
          <w:p w14:paraId="626E5397" w14:textId="77777777" w:rsidR="0061082A" w:rsidRPr="005F5E3B" w:rsidRDefault="0061082A" w:rsidP="00013076">
            <w:pPr>
              <w:pStyle w:val="NoSpacing"/>
            </w:pPr>
            <w:r w:rsidRPr="005F5E3B">
              <w:t>3.30 (1.38)</w:t>
            </w:r>
          </w:p>
        </w:tc>
        <w:tc>
          <w:tcPr>
            <w:tcW w:w="1559" w:type="dxa"/>
          </w:tcPr>
          <w:p w14:paraId="3D89B806" w14:textId="77777777" w:rsidR="0061082A" w:rsidRPr="005F5E3B" w:rsidRDefault="0061082A" w:rsidP="00013076">
            <w:pPr>
              <w:pStyle w:val="NoSpacing"/>
            </w:pPr>
            <w:r w:rsidRPr="005F5E3B">
              <w:t>0.41</w:t>
            </w:r>
          </w:p>
        </w:tc>
        <w:tc>
          <w:tcPr>
            <w:tcW w:w="1496" w:type="dxa"/>
          </w:tcPr>
          <w:p w14:paraId="676594CB" w14:textId="77777777" w:rsidR="0061082A" w:rsidRPr="005F5E3B" w:rsidRDefault="0061082A" w:rsidP="00013076">
            <w:pPr>
              <w:pStyle w:val="NoSpacing"/>
            </w:pPr>
            <w:r w:rsidRPr="005F5E3B">
              <w:t>2,572</w:t>
            </w:r>
          </w:p>
        </w:tc>
      </w:tr>
    </w:tbl>
    <w:p w14:paraId="04BBD081" w14:textId="77777777" w:rsidR="0061082A" w:rsidRPr="005F5E3B" w:rsidRDefault="0061082A" w:rsidP="0061082A">
      <w:pPr>
        <w:rPr>
          <w:rFonts w:cs="Times New Roman"/>
        </w:rPr>
      </w:pPr>
      <w:r w:rsidRPr="005F5E3B">
        <w:rPr>
          <w:rFonts w:cs="Times New Roman"/>
        </w:rPr>
        <w:t>Std=Standard deviation</w:t>
      </w:r>
    </w:p>
    <w:p w14:paraId="343AA2FB" w14:textId="77777777" w:rsidR="0061082A" w:rsidRPr="005F5E3B" w:rsidRDefault="0061082A" w:rsidP="0061082A">
      <w:pPr>
        <w:rPr>
          <w:rFonts w:cs="Times New Roman"/>
        </w:rPr>
      </w:pPr>
    </w:p>
    <w:p w14:paraId="214620A9" w14:textId="54DE94A8" w:rsidR="0061082A" w:rsidRPr="005F5E3B" w:rsidRDefault="0061082A" w:rsidP="00D25C9A">
      <w:pPr>
        <w:pStyle w:val="Heading2"/>
        <w:numPr>
          <w:ilvl w:val="1"/>
          <w:numId w:val="28"/>
        </w:numPr>
        <w:rPr>
          <w:i/>
          <w:iCs/>
        </w:rPr>
      </w:pPr>
      <w:r w:rsidRPr="005F5E3B">
        <w:rPr>
          <w:i/>
          <w:iCs/>
        </w:rPr>
        <w:t>Result of the second scenario analysis</w:t>
      </w:r>
    </w:p>
    <w:p w14:paraId="630D251F" w14:textId="77777777" w:rsidR="0061082A" w:rsidRPr="005F5E3B" w:rsidRDefault="0061082A" w:rsidP="0061082A">
      <w:pPr>
        <w:rPr>
          <w:rFonts w:cs="Times New Roman"/>
        </w:rPr>
      </w:pPr>
      <w:r w:rsidRPr="005F5E3B">
        <w:rPr>
          <w:rFonts w:cs="Times New Roman"/>
        </w:rPr>
        <w:t>Table S9: Incremental cost-effectiveness ratio (ICER) at 2-year, 3-year and 5-year by current treatment scenario and de-escalated molecular subtype-based use of perioperative chemotherapy, respectively</w:t>
      </w:r>
    </w:p>
    <w:tbl>
      <w:tblPr>
        <w:tblStyle w:val="TableGrid"/>
        <w:tblW w:w="0" w:type="auto"/>
        <w:tblLook w:val="04A0" w:firstRow="1" w:lastRow="0" w:firstColumn="1" w:lastColumn="0" w:noHBand="0" w:noVBand="1"/>
      </w:tblPr>
      <w:tblGrid>
        <w:gridCol w:w="1372"/>
        <w:gridCol w:w="1884"/>
        <w:gridCol w:w="1417"/>
        <w:gridCol w:w="1276"/>
        <w:gridCol w:w="1417"/>
        <w:gridCol w:w="1576"/>
      </w:tblGrid>
      <w:tr w:rsidR="005F5E3B" w:rsidRPr="005F5E3B" w14:paraId="5CF3E035" w14:textId="77777777" w:rsidTr="00013076">
        <w:tc>
          <w:tcPr>
            <w:tcW w:w="1372" w:type="dxa"/>
          </w:tcPr>
          <w:p w14:paraId="20082EAD" w14:textId="77777777" w:rsidR="0061082A" w:rsidRPr="005F5E3B" w:rsidRDefault="0061082A" w:rsidP="00013076">
            <w:pPr>
              <w:pStyle w:val="NoSpacing"/>
            </w:pPr>
            <w:r w:rsidRPr="005F5E3B">
              <w:t>Time duration</w:t>
            </w:r>
          </w:p>
        </w:tc>
        <w:tc>
          <w:tcPr>
            <w:tcW w:w="1884" w:type="dxa"/>
          </w:tcPr>
          <w:p w14:paraId="74F3709F" w14:textId="77777777" w:rsidR="0061082A" w:rsidRPr="005F5E3B" w:rsidRDefault="0061082A" w:rsidP="00013076">
            <w:pPr>
              <w:pStyle w:val="NoSpacing"/>
            </w:pPr>
            <w:r w:rsidRPr="005F5E3B">
              <w:t>Cost (Euro) (std)</w:t>
            </w:r>
          </w:p>
        </w:tc>
        <w:tc>
          <w:tcPr>
            <w:tcW w:w="1417" w:type="dxa"/>
          </w:tcPr>
          <w:p w14:paraId="3A34726E" w14:textId="77777777" w:rsidR="0061082A" w:rsidRPr="005F5E3B" w:rsidRDefault="0061082A" w:rsidP="00013076">
            <w:pPr>
              <w:pStyle w:val="NoSpacing"/>
            </w:pPr>
            <w:r w:rsidRPr="005F5E3B">
              <w:t>Incremental cost</w:t>
            </w:r>
          </w:p>
        </w:tc>
        <w:tc>
          <w:tcPr>
            <w:tcW w:w="1276" w:type="dxa"/>
          </w:tcPr>
          <w:p w14:paraId="0916CABE" w14:textId="77777777" w:rsidR="0061082A" w:rsidRPr="005F5E3B" w:rsidRDefault="0061082A" w:rsidP="00013076">
            <w:pPr>
              <w:pStyle w:val="NoSpacing"/>
            </w:pPr>
            <w:r w:rsidRPr="005F5E3B">
              <w:t>QALYs (std)</w:t>
            </w:r>
          </w:p>
        </w:tc>
        <w:tc>
          <w:tcPr>
            <w:tcW w:w="1417" w:type="dxa"/>
          </w:tcPr>
          <w:p w14:paraId="4A6C9A43" w14:textId="77777777" w:rsidR="0061082A" w:rsidRPr="005F5E3B" w:rsidRDefault="0061082A" w:rsidP="00013076">
            <w:pPr>
              <w:pStyle w:val="NoSpacing"/>
            </w:pPr>
            <w:r w:rsidRPr="005F5E3B">
              <w:t>Incremental benefit</w:t>
            </w:r>
          </w:p>
        </w:tc>
        <w:tc>
          <w:tcPr>
            <w:tcW w:w="1576" w:type="dxa"/>
          </w:tcPr>
          <w:p w14:paraId="4366E1DE" w14:textId="77777777" w:rsidR="0061082A" w:rsidRPr="005F5E3B" w:rsidRDefault="0061082A" w:rsidP="00013076">
            <w:pPr>
              <w:pStyle w:val="NoSpacing"/>
            </w:pPr>
            <w:r w:rsidRPr="005F5E3B">
              <w:t>ICER (Euro/QALY)</w:t>
            </w:r>
          </w:p>
        </w:tc>
      </w:tr>
      <w:tr w:rsidR="005F5E3B" w:rsidRPr="005F5E3B" w14:paraId="30EE3A22" w14:textId="77777777" w:rsidTr="00013076">
        <w:tc>
          <w:tcPr>
            <w:tcW w:w="8942" w:type="dxa"/>
            <w:gridSpan w:val="6"/>
          </w:tcPr>
          <w:p w14:paraId="12ED33F0" w14:textId="77777777" w:rsidR="0061082A" w:rsidRPr="005F5E3B" w:rsidRDefault="0061082A" w:rsidP="00013076">
            <w:pPr>
              <w:pStyle w:val="NoSpacing"/>
              <w:rPr>
                <w:i/>
                <w:iCs/>
              </w:rPr>
            </w:pPr>
            <w:r w:rsidRPr="005F5E3B">
              <w:rPr>
                <w:i/>
                <w:iCs/>
              </w:rPr>
              <w:t>2-year</w:t>
            </w:r>
          </w:p>
        </w:tc>
      </w:tr>
      <w:tr w:rsidR="005F5E3B" w:rsidRPr="005F5E3B" w14:paraId="0FB90AAA" w14:textId="77777777" w:rsidTr="00013076">
        <w:tc>
          <w:tcPr>
            <w:tcW w:w="1372" w:type="dxa"/>
          </w:tcPr>
          <w:p w14:paraId="3E38E9D1" w14:textId="77777777" w:rsidR="0061082A" w:rsidRPr="005F5E3B" w:rsidRDefault="0061082A" w:rsidP="00013076">
            <w:pPr>
              <w:pStyle w:val="NoSpacing"/>
            </w:pPr>
            <w:r w:rsidRPr="005F5E3B">
              <w:t>Current treatment</w:t>
            </w:r>
          </w:p>
        </w:tc>
        <w:tc>
          <w:tcPr>
            <w:tcW w:w="1884" w:type="dxa"/>
          </w:tcPr>
          <w:p w14:paraId="286ECAFF" w14:textId="77777777" w:rsidR="0061082A" w:rsidRPr="005F5E3B" w:rsidRDefault="0061082A" w:rsidP="00013076">
            <w:pPr>
              <w:pStyle w:val="NoSpacing"/>
            </w:pPr>
            <w:r w:rsidRPr="005F5E3B">
              <w:t>17,011 (1,143)</w:t>
            </w:r>
          </w:p>
        </w:tc>
        <w:tc>
          <w:tcPr>
            <w:tcW w:w="1417" w:type="dxa"/>
          </w:tcPr>
          <w:p w14:paraId="3D6E6AD5" w14:textId="77777777" w:rsidR="0061082A" w:rsidRPr="005F5E3B" w:rsidRDefault="0061082A" w:rsidP="00013076">
            <w:pPr>
              <w:pStyle w:val="NoSpacing"/>
            </w:pPr>
          </w:p>
        </w:tc>
        <w:tc>
          <w:tcPr>
            <w:tcW w:w="1276" w:type="dxa"/>
          </w:tcPr>
          <w:p w14:paraId="5005512F" w14:textId="77777777" w:rsidR="0061082A" w:rsidRPr="005F5E3B" w:rsidRDefault="0061082A" w:rsidP="00013076">
            <w:pPr>
              <w:pStyle w:val="NoSpacing"/>
            </w:pPr>
            <w:r w:rsidRPr="005F5E3B">
              <w:t>2.29 (0.63)</w:t>
            </w:r>
          </w:p>
        </w:tc>
        <w:tc>
          <w:tcPr>
            <w:tcW w:w="1417" w:type="dxa"/>
          </w:tcPr>
          <w:p w14:paraId="77084FD0" w14:textId="77777777" w:rsidR="0061082A" w:rsidRPr="005F5E3B" w:rsidRDefault="0061082A" w:rsidP="00013076">
            <w:pPr>
              <w:pStyle w:val="NoSpacing"/>
            </w:pPr>
          </w:p>
        </w:tc>
        <w:tc>
          <w:tcPr>
            <w:tcW w:w="1576" w:type="dxa"/>
          </w:tcPr>
          <w:p w14:paraId="14EAD34E" w14:textId="77777777" w:rsidR="0061082A" w:rsidRPr="005F5E3B" w:rsidRDefault="0061082A" w:rsidP="00013076">
            <w:pPr>
              <w:pStyle w:val="NoSpacing"/>
            </w:pPr>
          </w:p>
        </w:tc>
      </w:tr>
      <w:tr w:rsidR="005F5E3B" w:rsidRPr="005F5E3B" w14:paraId="6054E69F" w14:textId="77777777" w:rsidTr="00013076">
        <w:tc>
          <w:tcPr>
            <w:tcW w:w="1372" w:type="dxa"/>
          </w:tcPr>
          <w:p w14:paraId="48DADF7E" w14:textId="77777777" w:rsidR="0061082A" w:rsidRPr="005F5E3B" w:rsidRDefault="0061082A" w:rsidP="00013076">
            <w:pPr>
              <w:pStyle w:val="NoSpacing"/>
            </w:pPr>
            <w:r w:rsidRPr="005F5E3B">
              <w:t>Molecular subtype-</w:t>
            </w:r>
          </w:p>
        </w:tc>
        <w:tc>
          <w:tcPr>
            <w:tcW w:w="1884" w:type="dxa"/>
          </w:tcPr>
          <w:p w14:paraId="0FBCC669" w14:textId="77777777" w:rsidR="0061082A" w:rsidRPr="005F5E3B" w:rsidRDefault="0061082A" w:rsidP="00013076">
            <w:pPr>
              <w:pStyle w:val="NoSpacing"/>
            </w:pPr>
            <w:r w:rsidRPr="005F5E3B">
              <w:t>17,934 (669)</w:t>
            </w:r>
          </w:p>
        </w:tc>
        <w:tc>
          <w:tcPr>
            <w:tcW w:w="1417" w:type="dxa"/>
          </w:tcPr>
          <w:p w14:paraId="58145142" w14:textId="77777777" w:rsidR="0061082A" w:rsidRPr="005F5E3B" w:rsidRDefault="0061082A" w:rsidP="00013076">
            <w:pPr>
              <w:pStyle w:val="NoSpacing"/>
            </w:pPr>
            <w:r w:rsidRPr="005F5E3B">
              <w:t>932</w:t>
            </w:r>
          </w:p>
        </w:tc>
        <w:tc>
          <w:tcPr>
            <w:tcW w:w="1276" w:type="dxa"/>
          </w:tcPr>
          <w:p w14:paraId="1E7E23C6" w14:textId="77777777" w:rsidR="0061082A" w:rsidRPr="005F5E3B" w:rsidRDefault="0061082A" w:rsidP="00013076">
            <w:pPr>
              <w:pStyle w:val="NoSpacing"/>
            </w:pPr>
            <w:r w:rsidRPr="005F5E3B">
              <w:t>2.35 (0.57)</w:t>
            </w:r>
          </w:p>
        </w:tc>
        <w:tc>
          <w:tcPr>
            <w:tcW w:w="1417" w:type="dxa"/>
          </w:tcPr>
          <w:p w14:paraId="682F31C1" w14:textId="77777777" w:rsidR="0061082A" w:rsidRPr="005F5E3B" w:rsidRDefault="0061082A" w:rsidP="00013076">
            <w:pPr>
              <w:pStyle w:val="NoSpacing"/>
            </w:pPr>
            <w:r w:rsidRPr="005F5E3B">
              <w:t>0.06</w:t>
            </w:r>
          </w:p>
        </w:tc>
        <w:tc>
          <w:tcPr>
            <w:tcW w:w="1576" w:type="dxa"/>
          </w:tcPr>
          <w:p w14:paraId="7594963F" w14:textId="77777777" w:rsidR="0061082A" w:rsidRPr="005F5E3B" w:rsidRDefault="0061082A" w:rsidP="00013076">
            <w:pPr>
              <w:pStyle w:val="NoSpacing"/>
            </w:pPr>
            <w:r w:rsidRPr="005F5E3B">
              <w:t>15,587</w:t>
            </w:r>
          </w:p>
        </w:tc>
      </w:tr>
      <w:tr w:rsidR="005F5E3B" w:rsidRPr="005F5E3B" w14:paraId="551C8349" w14:textId="77777777" w:rsidTr="00013076">
        <w:tc>
          <w:tcPr>
            <w:tcW w:w="8942" w:type="dxa"/>
            <w:gridSpan w:val="6"/>
          </w:tcPr>
          <w:p w14:paraId="342045A4" w14:textId="77777777" w:rsidR="0061082A" w:rsidRPr="005F5E3B" w:rsidRDefault="0061082A" w:rsidP="00013076">
            <w:pPr>
              <w:pStyle w:val="NoSpacing"/>
              <w:rPr>
                <w:i/>
                <w:iCs/>
              </w:rPr>
            </w:pPr>
            <w:r w:rsidRPr="005F5E3B">
              <w:rPr>
                <w:i/>
                <w:iCs/>
              </w:rPr>
              <w:t>3-year</w:t>
            </w:r>
          </w:p>
        </w:tc>
      </w:tr>
      <w:tr w:rsidR="005F5E3B" w:rsidRPr="005F5E3B" w14:paraId="07C47930" w14:textId="77777777" w:rsidTr="00013076">
        <w:tc>
          <w:tcPr>
            <w:tcW w:w="1372" w:type="dxa"/>
          </w:tcPr>
          <w:p w14:paraId="41E57823" w14:textId="77777777" w:rsidR="0061082A" w:rsidRPr="005F5E3B" w:rsidRDefault="0061082A" w:rsidP="00013076">
            <w:pPr>
              <w:pStyle w:val="NoSpacing"/>
            </w:pPr>
            <w:r w:rsidRPr="005F5E3B">
              <w:t>Current treatment</w:t>
            </w:r>
          </w:p>
        </w:tc>
        <w:tc>
          <w:tcPr>
            <w:tcW w:w="1884" w:type="dxa"/>
          </w:tcPr>
          <w:p w14:paraId="1B3EB0C8" w14:textId="77777777" w:rsidR="0061082A" w:rsidRPr="005F5E3B" w:rsidRDefault="0061082A" w:rsidP="00013076">
            <w:pPr>
              <w:pStyle w:val="NoSpacing"/>
            </w:pPr>
            <w:r w:rsidRPr="005F5E3B">
              <w:t>17,230 (1,122)</w:t>
            </w:r>
          </w:p>
        </w:tc>
        <w:tc>
          <w:tcPr>
            <w:tcW w:w="1417" w:type="dxa"/>
          </w:tcPr>
          <w:p w14:paraId="4F10A8DF" w14:textId="77777777" w:rsidR="0061082A" w:rsidRPr="005F5E3B" w:rsidRDefault="0061082A" w:rsidP="00013076">
            <w:pPr>
              <w:pStyle w:val="NoSpacing"/>
            </w:pPr>
          </w:p>
        </w:tc>
        <w:tc>
          <w:tcPr>
            <w:tcW w:w="1276" w:type="dxa"/>
          </w:tcPr>
          <w:p w14:paraId="4D2B400A" w14:textId="77777777" w:rsidR="0061082A" w:rsidRPr="005F5E3B" w:rsidRDefault="0061082A" w:rsidP="00013076">
            <w:pPr>
              <w:pStyle w:val="NoSpacing"/>
            </w:pPr>
            <w:r w:rsidRPr="005F5E3B">
              <w:t>2.74 (0.93)</w:t>
            </w:r>
          </w:p>
        </w:tc>
        <w:tc>
          <w:tcPr>
            <w:tcW w:w="1417" w:type="dxa"/>
          </w:tcPr>
          <w:p w14:paraId="0F448EFC" w14:textId="77777777" w:rsidR="0061082A" w:rsidRPr="005F5E3B" w:rsidRDefault="0061082A" w:rsidP="00013076">
            <w:pPr>
              <w:pStyle w:val="NoSpacing"/>
            </w:pPr>
          </w:p>
        </w:tc>
        <w:tc>
          <w:tcPr>
            <w:tcW w:w="1576" w:type="dxa"/>
          </w:tcPr>
          <w:p w14:paraId="542E1ABC" w14:textId="77777777" w:rsidR="0061082A" w:rsidRPr="005F5E3B" w:rsidRDefault="0061082A" w:rsidP="00013076">
            <w:pPr>
              <w:pStyle w:val="NoSpacing"/>
            </w:pPr>
          </w:p>
        </w:tc>
      </w:tr>
      <w:tr w:rsidR="005F5E3B" w:rsidRPr="005F5E3B" w14:paraId="657C4A33" w14:textId="77777777" w:rsidTr="00013076">
        <w:tc>
          <w:tcPr>
            <w:tcW w:w="1372" w:type="dxa"/>
          </w:tcPr>
          <w:p w14:paraId="1769E694" w14:textId="77777777" w:rsidR="0061082A" w:rsidRPr="005F5E3B" w:rsidRDefault="0061082A" w:rsidP="00013076">
            <w:pPr>
              <w:pStyle w:val="NoSpacing"/>
            </w:pPr>
            <w:r w:rsidRPr="005F5E3B">
              <w:t>Molecular subtype-</w:t>
            </w:r>
          </w:p>
        </w:tc>
        <w:tc>
          <w:tcPr>
            <w:tcW w:w="1884" w:type="dxa"/>
          </w:tcPr>
          <w:p w14:paraId="54BF81D3" w14:textId="77777777" w:rsidR="0061082A" w:rsidRPr="005F5E3B" w:rsidRDefault="0061082A" w:rsidP="00013076">
            <w:pPr>
              <w:pStyle w:val="NoSpacing"/>
            </w:pPr>
            <w:r w:rsidRPr="005F5E3B">
              <w:t>18,184 (715)</w:t>
            </w:r>
          </w:p>
        </w:tc>
        <w:tc>
          <w:tcPr>
            <w:tcW w:w="1417" w:type="dxa"/>
          </w:tcPr>
          <w:p w14:paraId="51E44F1F" w14:textId="77777777" w:rsidR="0061082A" w:rsidRPr="005F5E3B" w:rsidRDefault="0061082A" w:rsidP="00013076">
            <w:pPr>
              <w:pStyle w:val="NoSpacing"/>
            </w:pPr>
            <w:r w:rsidRPr="005F5E3B">
              <w:t>954</w:t>
            </w:r>
          </w:p>
        </w:tc>
        <w:tc>
          <w:tcPr>
            <w:tcW w:w="1276" w:type="dxa"/>
          </w:tcPr>
          <w:p w14:paraId="3EBC3F70" w14:textId="77777777" w:rsidR="0061082A" w:rsidRPr="005F5E3B" w:rsidRDefault="0061082A" w:rsidP="00013076">
            <w:pPr>
              <w:pStyle w:val="NoSpacing"/>
            </w:pPr>
            <w:r w:rsidRPr="005F5E3B">
              <w:t>2.85 (0.88)</w:t>
            </w:r>
          </w:p>
        </w:tc>
        <w:tc>
          <w:tcPr>
            <w:tcW w:w="1417" w:type="dxa"/>
          </w:tcPr>
          <w:p w14:paraId="56DA8A19" w14:textId="77777777" w:rsidR="0061082A" w:rsidRPr="005F5E3B" w:rsidRDefault="0061082A" w:rsidP="00013076">
            <w:pPr>
              <w:pStyle w:val="NoSpacing"/>
            </w:pPr>
            <w:r w:rsidRPr="005F5E3B">
              <w:t>0.10</w:t>
            </w:r>
          </w:p>
        </w:tc>
        <w:tc>
          <w:tcPr>
            <w:tcW w:w="1576" w:type="dxa"/>
          </w:tcPr>
          <w:p w14:paraId="18F0B5D4" w14:textId="77777777" w:rsidR="0061082A" w:rsidRPr="005F5E3B" w:rsidRDefault="0061082A" w:rsidP="00013076">
            <w:pPr>
              <w:pStyle w:val="NoSpacing"/>
            </w:pPr>
            <w:r w:rsidRPr="005F5E3B">
              <w:t>9,112</w:t>
            </w:r>
          </w:p>
        </w:tc>
      </w:tr>
      <w:tr w:rsidR="005F5E3B" w:rsidRPr="005F5E3B" w14:paraId="2527F46C" w14:textId="77777777" w:rsidTr="00013076">
        <w:tc>
          <w:tcPr>
            <w:tcW w:w="8942" w:type="dxa"/>
            <w:gridSpan w:val="6"/>
          </w:tcPr>
          <w:p w14:paraId="6C376B9A" w14:textId="77777777" w:rsidR="0061082A" w:rsidRPr="005F5E3B" w:rsidRDefault="0061082A" w:rsidP="00013076">
            <w:pPr>
              <w:pStyle w:val="NoSpacing"/>
              <w:rPr>
                <w:i/>
                <w:iCs/>
              </w:rPr>
            </w:pPr>
            <w:r w:rsidRPr="005F5E3B">
              <w:rPr>
                <w:i/>
                <w:iCs/>
              </w:rPr>
              <w:t>5-year</w:t>
            </w:r>
          </w:p>
        </w:tc>
      </w:tr>
      <w:tr w:rsidR="005F5E3B" w:rsidRPr="005F5E3B" w14:paraId="6296B0E1" w14:textId="77777777" w:rsidTr="00013076">
        <w:tc>
          <w:tcPr>
            <w:tcW w:w="1372" w:type="dxa"/>
          </w:tcPr>
          <w:p w14:paraId="08D8A848" w14:textId="77777777" w:rsidR="0061082A" w:rsidRPr="005F5E3B" w:rsidRDefault="0061082A" w:rsidP="00013076">
            <w:pPr>
              <w:pStyle w:val="NoSpacing"/>
            </w:pPr>
            <w:r w:rsidRPr="005F5E3B">
              <w:lastRenderedPageBreak/>
              <w:t>Current treatment</w:t>
            </w:r>
          </w:p>
        </w:tc>
        <w:tc>
          <w:tcPr>
            <w:tcW w:w="1884" w:type="dxa"/>
          </w:tcPr>
          <w:p w14:paraId="7ABC8BD9" w14:textId="77777777" w:rsidR="0061082A" w:rsidRPr="005F5E3B" w:rsidRDefault="0061082A" w:rsidP="00013076">
            <w:pPr>
              <w:pStyle w:val="NoSpacing"/>
            </w:pPr>
            <w:r w:rsidRPr="005F5E3B">
              <w:t>17,459 (1,123)</w:t>
            </w:r>
          </w:p>
        </w:tc>
        <w:tc>
          <w:tcPr>
            <w:tcW w:w="1417" w:type="dxa"/>
          </w:tcPr>
          <w:p w14:paraId="2E4DFECA" w14:textId="77777777" w:rsidR="0061082A" w:rsidRPr="005F5E3B" w:rsidRDefault="0061082A" w:rsidP="00013076">
            <w:pPr>
              <w:pStyle w:val="NoSpacing"/>
            </w:pPr>
          </w:p>
        </w:tc>
        <w:tc>
          <w:tcPr>
            <w:tcW w:w="1276" w:type="dxa"/>
          </w:tcPr>
          <w:p w14:paraId="01346813" w14:textId="77777777" w:rsidR="0061082A" w:rsidRPr="005F5E3B" w:rsidRDefault="0061082A" w:rsidP="00013076">
            <w:pPr>
              <w:pStyle w:val="NoSpacing"/>
            </w:pPr>
            <w:r w:rsidRPr="005F5E3B">
              <w:t xml:space="preserve">3.21 (1.42) </w:t>
            </w:r>
          </w:p>
        </w:tc>
        <w:tc>
          <w:tcPr>
            <w:tcW w:w="1417" w:type="dxa"/>
          </w:tcPr>
          <w:p w14:paraId="52894877" w14:textId="77777777" w:rsidR="0061082A" w:rsidRPr="005F5E3B" w:rsidRDefault="0061082A" w:rsidP="00013076">
            <w:pPr>
              <w:pStyle w:val="NoSpacing"/>
            </w:pPr>
          </w:p>
        </w:tc>
        <w:tc>
          <w:tcPr>
            <w:tcW w:w="1576" w:type="dxa"/>
          </w:tcPr>
          <w:p w14:paraId="77ADD379" w14:textId="77777777" w:rsidR="0061082A" w:rsidRPr="005F5E3B" w:rsidRDefault="0061082A" w:rsidP="00013076">
            <w:pPr>
              <w:pStyle w:val="NoSpacing"/>
            </w:pPr>
          </w:p>
        </w:tc>
      </w:tr>
      <w:tr w:rsidR="005F5E3B" w:rsidRPr="005F5E3B" w14:paraId="729E1F86" w14:textId="77777777" w:rsidTr="00013076">
        <w:tc>
          <w:tcPr>
            <w:tcW w:w="1372" w:type="dxa"/>
          </w:tcPr>
          <w:p w14:paraId="4A0CA58B" w14:textId="77777777" w:rsidR="0061082A" w:rsidRPr="005F5E3B" w:rsidRDefault="0061082A" w:rsidP="00013076">
            <w:pPr>
              <w:pStyle w:val="NoSpacing"/>
            </w:pPr>
            <w:r w:rsidRPr="005F5E3B">
              <w:t>Molecular subtype-</w:t>
            </w:r>
          </w:p>
        </w:tc>
        <w:tc>
          <w:tcPr>
            <w:tcW w:w="1884" w:type="dxa"/>
          </w:tcPr>
          <w:p w14:paraId="62379E5C" w14:textId="77777777" w:rsidR="0061082A" w:rsidRPr="005F5E3B" w:rsidRDefault="0061082A" w:rsidP="00013076">
            <w:pPr>
              <w:pStyle w:val="NoSpacing"/>
            </w:pPr>
            <w:r w:rsidRPr="005F5E3B">
              <w:t>18,437</w:t>
            </w:r>
          </w:p>
          <w:p w14:paraId="0AC31999" w14:textId="77777777" w:rsidR="0061082A" w:rsidRPr="005F5E3B" w:rsidRDefault="0061082A" w:rsidP="00013076">
            <w:pPr>
              <w:pStyle w:val="NoSpacing"/>
            </w:pPr>
            <w:r w:rsidRPr="005F5E3B">
              <w:t xml:space="preserve">(839) </w:t>
            </w:r>
          </w:p>
        </w:tc>
        <w:tc>
          <w:tcPr>
            <w:tcW w:w="1417" w:type="dxa"/>
          </w:tcPr>
          <w:p w14:paraId="79B9C4D1" w14:textId="77777777" w:rsidR="0061082A" w:rsidRPr="005F5E3B" w:rsidRDefault="0061082A" w:rsidP="00013076">
            <w:pPr>
              <w:pStyle w:val="NoSpacing"/>
            </w:pPr>
            <w:r w:rsidRPr="005F5E3B">
              <w:t>978</w:t>
            </w:r>
          </w:p>
        </w:tc>
        <w:tc>
          <w:tcPr>
            <w:tcW w:w="1276" w:type="dxa"/>
          </w:tcPr>
          <w:p w14:paraId="66C075A4" w14:textId="77777777" w:rsidR="0061082A" w:rsidRPr="005F5E3B" w:rsidRDefault="0061082A" w:rsidP="00013076">
            <w:pPr>
              <w:pStyle w:val="NoSpacing"/>
            </w:pPr>
            <w:r w:rsidRPr="005F5E3B">
              <w:t>3.37 (1.38)</w:t>
            </w:r>
          </w:p>
        </w:tc>
        <w:tc>
          <w:tcPr>
            <w:tcW w:w="1417" w:type="dxa"/>
          </w:tcPr>
          <w:p w14:paraId="006E0E31" w14:textId="77777777" w:rsidR="0061082A" w:rsidRPr="005F5E3B" w:rsidRDefault="0061082A" w:rsidP="00013076">
            <w:pPr>
              <w:pStyle w:val="NoSpacing"/>
            </w:pPr>
            <w:r w:rsidRPr="005F5E3B">
              <w:t>0.16</w:t>
            </w:r>
          </w:p>
        </w:tc>
        <w:tc>
          <w:tcPr>
            <w:tcW w:w="1576" w:type="dxa"/>
          </w:tcPr>
          <w:p w14:paraId="192319B6" w14:textId="77777777" w:rsidR="0061082A" w:rsidRPr="005F5E3B" w:rsidRDefault="0061082A" w:rsidP="00013076">
            <w:pPr>
              <w:pStyle w:val="NoSpacing"/>
            </w:pPr>
            <w:r w:rsidRPr="005F5E3B">
              <w:t>6,282</w:t>
            </w:r>
          </w:p>
        </w:tc>
      </w:tr>
    </w:tbl>
    <w:p w14:paraId="372C5D2A" w14:textId="77777777" w:rsidR="0061082A" w:rsidRPr="005F5E3B" w:rsidRDefault="0061082A" w:rsidP="0061082A">
      <w:pPr>
        <w:rPr>
          <w:rFonts w:cs="Times New Roman"/>
        </w:rPr>
      </w:pPr>
      <w:r w:rsidRPr="005F5E3B">
        <w:rPr>
          <w:rFonts w:cs="Times New Roman"/>
        </w:rPr>
        <w:t>Std=Standard deviation</w:t>
      </w:r>
    </w:p>
    <w:p w14:paraId="3BFEF1B2" w14:textId="77777777" w:rsidR="0061082A" w:rsidRPr="005F5E3B" w:rsidRDefault="0061082A" w:rsidP="0061082A">
      <w:pPr>
        <w:rPr>
          <w:lang w:val="en-GB"/>
        </w:rPr>
      </w:pPr>
    </w:p>
    <w:p w14:paraId="296F9D91" w14:textId="436ADA21" w:rsidR="00D25C9A" w:rsidRPr="005F5E3B" w:rsidRDefault="00D25C9A" w:rsidP="00381F4E">
      <w:pPr>
        <w:pStyle w:val="Heading2"/>
        <w:numPr>
          <w:ilvl w:val="1"/>
          <w:numId w:val="28"/>
        </w:numPr>
        <w:rPr>
          <w:i/>
          <w:iCs/>
        </w:rPr>
      </w:pPr>
      <w:r w:rsidRPr="005F5E3B">
        <w:rPr>
          <w:i/>
          <w:iCs/>
        </w:rPr>
        <w:t>Result of the third scenario analysis</w:t>
      </w:r>
    </w:p>
    <w:p w14:paraId="39FC8012" w14:textId="77777777" w:rsidR="00D25C9A" w:rsidRPr="005F5E3B" w:rsidRDefault="00D25C9A" w:rsidP="00D25C9A">
      <w:pPr>
        <w:rPr>
          <w:rFonts w:cs="Times New Roman"/>
        </w:rPr>
      </w:pPr>
      <w:r w:rsidRPr="005F5E3B">
        <w:rPr>
          <w:rFonts w:cs="Times New Roman"/>
        </w:rPr>
        <w:t>Table S9: Incremental cost-effectiveness ratio (ICER) at 2-year, 3-year and 5-year by current treatment scenario and de-escalated molecular subtype-based use of perioperative chemotherapy, respectively</w:t>
      </w:r>
    </w:p>
    <w:tbl>
      <w:tblPr>
        <w:tblStyle w:val="TableGrid"/>
        <w:tblW w:w="0" w:type="auto"/>
        <w:tblLook w:val="04A0" w:firstRow="1" w:lastRow="0" w:firstColumn="1" w:lastColumn="0" w:noHBand="0" w:noVBand="1"/>
      </w:tblPr>
      <w:tblGrid>
        <w:gridCol w:w="1372"/>
        <w:gridCol w:w="1884"/>
        <w:gridCol w:w="1417"/>
        <w:gridCol w:w="1276"/>
        <w:gridCol w:w="1417"/>
        <w:gridCol w:w="1576"/>
      </w:tblGrid>
      <w:tr w:rsidR="005F5E3B" w:rsidRPr="005F5E3B" w14:paraId="3B345E74" w14:textId="77777777" w:rsidTr="0023471F">
        <w:tc>
          <w:tcPr>
            <w:tcW w:w="1372" w:type="dxa"/>
          </w:tcPr>
          <w:p w14:paraId="26C9F574" w14:textId="77777777" w:rsidR="00D25C9A" w:rsidRPr="005F5E3B" w:rsidRDefault="00D25C9A" w:rsidP="0023471F">
            <w:pPr>
              <w:pStyle w:val="NoSpacing"/>
            </w:pPr>
            <w:r w:rsidRPr="005F5E3B">
              <w:t>Time duration</w:t>
            </w:r>
          </w:p>
        </w:tc>
        <w:tc>
          <w:tcPr>
            <w:tcW w:w="1884" w:type="dxa"/>
          </w:tcPr>
          <w:p w14:paraId="2CDA1E7C" w14:textId="77777777" w:rsidR="00D25C9A" w:rsidRPr="005F5E3B" w:rsidRDefault="00D25C9A" w:rsidP="0023471F">
            <w:pPr>
              <w:pStyle w:val="NoSpacing"/>
            </w:pPr>
            <w:r w:rsidRPr="005F5E3B">
              <w:t>Cost (Euro) (std)</w:t>
            </w:r>
          </w:p>
        </w:tc>
        <w:tc>
          <w:tcPr>
            <w:tcW w:w="1417" w:type="dxa"/>
          </w:tcPr>
          <w:p w14:paraId="46D04F7E" w14:textId="77777777" w:rsidR="00D25C9A" w:rsidRPr="005F5E3B" w:rsidRDefault="00D25C9A" w:rsidP="0023471F">
            <w:pPr>
              <w:pStyle w:val="NoSpacing"/>
            </w:pPr>
            <w:r w:rsidRPr="005F5E3B">
              <w:t>Incremental cost</w:t>
            </w:r>
          </w:p>
        </w:tc>
        <w:tc>
          <w:tcPr>
            <w:tcW w:w="1276" w:type="dxa"/>
          </w:tcPr>
          <w:p w14:paraId="40866373" w14:textId="77777777" w:rsidR="00D25C9A" w:rsidRPr="005F5E3B" w:rsidRDefault="00D25C9A" w:rsidP="0023471F">
            <w:pPr>
              <w:pStyle w:val="NoSpacing"/>
            </w:pPr>
            <w:r w:rsidRPr="005F5E3B">
              <w:t>QALYs (std)</w:t>
            </w:r>
          </w:p>
        </w:tc>
        <w:tc>
          <w:tcPr>
            <w:tcW w:w="1417" w:type="dxa"/>
          </w:tcPr>
          <w:p w14:paraId="7EA201F9" w14:textId="77777777" w:rsidR="00D25C9A" w:rsidRPr="005F5E3B" w:rsidRDefault="00D25C9A" w:rsidP="0023471F">
            <w:pPr>
              <w:pStyle w:val="NoSpacing"/>
            </w:pPr>
            <w:r w:rsidRPr="005F5E3B">
              <w:t>Incremental benefit</w:t>
            </w:r>
          </w:p>
        </w:tc>
        <w:tc>
          <w:tcPr>
            <w:tcW w:w="1576" w:type="dxa"/>
          </w:tcPr>
          <w:p w14:paraId="2832AD70" w14:textId="77777777" w:rsidR="00D25C9A" w:rsidRPr="005F5E3B" w:rsidRDefault="00D25C9A" w:rsidP="0023471F">
            <w:pPr>
              <w:pStyle w:val="NoSpacing"/>
            </w:pPr>
            <w:r w:rsidRPr="005F5E3B">
              <w:t>ICER (Euro/QALY)</w:t>
            </w:r>
          </w:p>
        </w:tc>
      </w:tr>
      <w:tr w:rsidR="005F5E3B" w:rsidRPr="005F5E3B" w14:paraId="3B3CB74B" w14:textId="77777777" w:rsidTr="0023471F">
        <w:tc>
          <w:tcPr>
            <w:tcW w:w="8942" w:type="dxa"/>
            <w:gridSpan w:val="6"/>
          </w:tcPr>
          <w:p w14:paraId="63186DE4" w14:textId="77777777" w:rsidR="00D25C9A" w:rsidRPr="005F5E3B" w:rsidRDefault="00D25C9A" w:rsidP="0023471F">
            <w:pPr>
              <w:pStyle w:val="NoSpacing"/>
              <w:rPr>
                <w:i/>
                <w:iCs/>
              </w:rPr>
            </w:pPr>
            <w:r w:rsidRPr="005F5E3B">
              <w:rPr>
                <w:i/>
                <w:iCs/>
              </w:rPr>
              <w:t>2-year</w:t>
            </w:r>
          </w:p>
        </w:tc>
      </w:tr>
      <w:tr w:rsidR="005F5E3B" w:rsidRPr="005F5E3B" w14:paraId="6A01E522" w14:textId="77777777" w:rsidTr="0023471F">
        <w:tc>
          <w:tcPr>
            <w:tcW w:w="1372" w:type="dxa"/>
          </w:tcPr>
          <w:p w14:paraId="23508E91" w14:textId="77777777" w:rsidR="00D25C9A" w:rsidRPr="005F5E3B" w:rsidRDefault="00D25C9A" w:rsidP="0023471F">
            <w:pPr>
              <w:pStyle w:val="NoSpacing"/>
            </w:pPr>
            <w:r w:rsidRPr="005F5E3B">
              <w:t>Current treatment</w:t>
            </w:r>
          </w:p>
        </w:tc>
        <w:tc>
          <w:tcPr>
            <w:tcW w:w="1884" w:type="dxa"/>
          </w:tcPr>
          <w:p w14:paraId="647A0DBE" w14:textId="7FA7B06D" w:rsidR="00D25C9A" w:rsidRPr="005F5E3B" w:rsidRDefault="00D25C9A" w:rsidP="0023471F">
            <w:pPr>
              <w:pStyle w:val="NoSpacing"/>
            </w:pPr>
            <w:r w:rsidRPr="005F5E3B">
              <w:t>1</w:t>
            </w:r>
            <w:r w:rsidR="009955F1" w:rsidRPr="005F5E3B">
              <w:t>6</w:t>
            </w:r>
            <w:r w:rsidRPr="005F5E3B">
              <w:t>,</w:t>
            </w:r>
            <w:r w:rsidR="009955F1" w:rsidRPr="005F5E3B">
              <w:t>359</w:t>
            </w:r>
            <w:r w:rsidRPr="005F5E3B">
              <w:t xml:space="preserve"> (1,</w:t>
            </w:r>
            <w:r w:rsidR="009955F1" w:rsidRPr="005F5E3B">
              <w:t>635</w:t>
            </w:r>
            <w:r w:rsidRPr="005F5E3B">
              <w:t>)</w:t>
            </w:r>
          </w:p>
        </w:tc>
        <w:tc>
          <w:tcPr>
            <w:tcW w:w="1417" w:type="dxa"/>
          </w:tcPr>
          <w:p w14:paraId="396E0D49" w14:textId="77777777" w:rsidR="00D25C9A" w:rsidRPr="005F5E3B" w:rsidRDefault="00D25C9A" w:rsidP="0023471F">
            <w:pPr>
              <w:pStyle w:val="NoSpacing"/>
            </w:pPr>
          </w:p>
        </w:tc>
        <w:tc>
          <w:tcPr>
            <w:tcW w:w="1276" w:type="dxa"/>
          </w:tcPr>
          <w:p w14:paraId="4E008C80" w14:textId="7083F99B" w:rsidR="00D25C9A" w:rsidRPr="005F5E3B" w:rsidRDefault="00D25C9A" w:rsidP="0023471F">
            <w:pPr>
              <w:pStyle w:val="NoSpacing"/>
            </w:pPr>
            <w:r w:rsidRPr="005F5E3B">
              <w:t>2.</w:t>
            </w:r>
            <w:r w:rsidR="009955F1" w:rsidRPr="005F5E3B">
              <w:t>16</w:t>
            </w:r>
            <w:r w:rsidRPr="005F5E3B">
              <w:t xml:space="preserve"> (0.6</w:t>
            </w:r>
            <w:r w:rsidR="009955F1" w:rsidRPr="005F5E3B">
              <w:t>9</w:t>
            </w:r>
            <w:r w:rsidRPr="005F5E3B">
              <w:t>)</w:t>
            </w:r>
          </w:p>
        </w:tc>
        <w:tc>
          <w:tcPr>
            <w:tcW w:w="1417" w:type="dxa"/>
          </w:tcPr>
          <w:p w14:paraId="061AE252" w14:textId="77777777" w:rsidR="00D25C9A" w:rsidRPr="005F5E3B" w:rsidRDefault="00D25C9A" w:rsidP="0023471F">
            <w:pPr>
              <w:pStyle w:val="NoSpacing"/>
            </w:pPr>
          </w:p>
        </w:tc>
        <w:tc>
          <w:tcPr>
            <w:tcW w:w="1576" w:type="dxa"/>
          </w:tcPr>
          <w:p w14:paraId="506912C5" w14:textId="77777777" w:rsidR="00D25C9A" w:rsidRPr="005F5E3B" w:rsidRDefault="00D25C9A" w:rsidP="0023471F">
            <w:pPr>
              <w:pStyle w:val="NoSpacing"/>
            </w:pPr>
          </w:p>
        </w:tc>
      </w:tr>
      <w:tr w:rsidR="005F5E3B" w:rsidRPr="005F5E3B" w14:paraId="48A1EA52" w14:textId="77777777" w:rsidTr="0023471F">
        <w:tc>
          <w:tcPr>
            <w:tcW w:w="1372" w:type="dxa"/>
          </w:tcPr>
          <w:p w14:paraId="65C033D3" w14:textId="77777777" w:rsidR="00D25C9A" w:rsidRPr="005F5E3B" w:rsidRDefault="00D25C9A" w:rsidP="0023471F">
            <w:pPr>
              <w:pStyle w:val="NoSpacing"/>
            </w:pPr>
            <w:r w:rsidRPr="005F5E3B">
              <w:t>Molecular subtype-</w:t>
            </w:r>
          </w:p>
        </w:tc>
        <w:tc>
          <w:tcPr>
            <w:tcW w:w="1884" w:type="dxa"/>
          </w:tcPr>
          <w:p w14:paraId="199103C4" w14:textId="0D5FBF80" w:rsidR="00D25C9A" w:rsidRPr="005F5E3B" w:rsidRDefault="00D25C9A" w:rsidP="0023471F">
            <w:pPr>
              <w:pStyle w:val="NoSpacing"/>
            </w:pPr>
            <w:r w:rsidRPr="005F5E3B">
              <w:t>1</w:t>
            </w:r>
            <w:r w:rsidR="009955F1" w:rsidRPr="005F5E3B">
              <w:t>8</w:t>
            </w:r>
            <w:r w:rsidRPr="005F5E3B">
              <w:t>,</w:t>
            </w:r>
            <w:r w:rsidR="009955F1" w:rsidRPr="005F5E3B">
              <w:t>874</w:t>
            </w:r>
            <w:r w:rsidRPr="005F5E3B">
              <w:t xml:space="preserve"> (</w:t>
            </w:r>
            <w:r w:rsidR="009955F1" w:rsidRPr="005F5E3B">
              <w:t>1,156</w:t>
            </w:r>
            <w:r w:rsidRPr="005F5E3B">
              <w:t>)</w:t>
            </w:r>
          </w:p>
        </w:tc>
        <w:tc>
          <w:tcPr>
            <w:tcW w:w="1417" w:type="dxa"/>
          </w:tcPr>
          <w:p w14:paraId="6B4A2F12" w14:textId="2D42589C" w:rsidR="00D25C9A" w:rsidRPr="005F5E3B" w:rsidRDefault="009955F1" w:rsidP="0023471F">
            <w:pPr>
              <w:pStyle w:val="NoSpacing"/>
            </w:pPr>
            <w:r w:rsidRPr="005F5E3B">
              <w:t>2,515</w:t>
            </w:r>
          </w:p>
        </w:tc>
        <w:tc>
          <w:tcPr>
            <w:tcW w:w="1276" w:type="dxa"/>
          </w:tcPr>
          <w:p w14:paraId="17FCC093" w14:textId="62F1F03F" w:rsidR="00D25C9A" w:rsidRPr="005F5E3B" w:rsidRDefault="00D25C9A" w:rsidP="0023471F">
            <w:pPr>
              <w:pStyle w:val="NoSpacing"/>
            </w:pPr>
            <w:r w:rsidRPr="005F5E3B">
              <w:t>2.3</w:t>
            </w:r>
            <w:r w:rsidR="009955F1" w:rsidRPr="005F5E3B">
              <w:t>2</w:t>
            </w:r>
            <w:r w:rsidRPr="005F5E3B">
              <w:t xml:space="preserve"> (0.5</w:t>
            </w:r>
            <w:r w:rsidR="009955F1" w:rsidRPr="005F5E3B">
              <w:t>8</w:t>
            </w:r>
            <w:r w:rsidRPr="005F5E3B">
              <w:t>)</w:t>
            </w:r>
          </w:p>
        </w:tc>
        <w:tc>
          <w:tcPr>
            <w:tcW w:w="1417" w:type="dxa"/>
          </w:tcPr>
          <w:p w14:paraId="5674849E" w14:textId="4F12B217" w:rsidR="00D25C9A" w:rsidRPr="005F5E3B" w:rsidRDefault="00D25C9A" w:rsidP="0023471F">
            <w:pPr>
              <w:pStyle w:val="NoSpacing"/>
            </w:pPr>
            <w:r w:rsidRPr="005F5E3B">
              <w:t>0.</w:t>
            </w:r>
            <w:r w:rsidR="009955F1" w:rsidRPr="005F5E3B">
              <w:t>17</w:t>
            </w:r>
          </w:p>
        </w:tc>
        <w:tc>
          <w:tcPr>
            <w:tcW w:w="1576" w:type="dxa"/>
          </w:tcPr>
          <w:p w14:paraId="4F108A99" w14:textId="508736E6" w:rsidR="00D25C9A" w:rsidRPr="005F5E3B" w:rsidRDefault="00D25C9A" w:rsidP="0023471F">
            <w:pPr>
              <w:pStyle w:val="NoSpacing"/>
            </w:pPr>
            <w:r w:rsidRPr="005F5E3B">
              <w:t>15,</w:t>
            </w:r>
            <w:r w:rsidR="009955F1" w:rsidRPr="005F5E3B">
              <w:t>225</w:t>
            </w:r>
          </w:p>
        </w:tc>
      </w:tr>
      <w:tr w:rsidR="005F5E3B" w:rsidRPr="005F5E3B" w14:paraId="552A855C" w14:textId="77777777" w:rsidTr="0023471F">
        <w:tc>
          <w:tcPr>
            <w:tcW w:w="8942" w:type="dxa"/>
            <w:gridSpan w:val="6"/>
          </w:tcPr>
          <w:p w14:paraId="06A7245C" w14:textId="77777777" w:rsidR="00D25C9A" w:rsidRPr="005F5E3B" w:rsidRDefault="00D25C9A" w:rsidP="0023471F">
            <w:pPr>
              <w:pStyle w:val="NoSpacing"/>
              <w:rPr>
                <w:i/>
                <w:iCs/>
              </w:rPr>
            </w:pPr>
            <w:r w:rsidRPr="005F5E3B">
              <w:rPr>
                <w:i/>
                <w:iCs/>
              </w:rPr>
              <w:t>3-year</w:t>
            </w:r>
          </w:p>
        </w:tc>
      </w:tr>
      <w:tr w:rsidR="005F5E3B" w:rsidRPr="005F5E3B" w14:paraId="09004DE1" w14:textId="77777777" w:rsidTr="0023471F">
        <w:tc>
          <w:tcPr>
            <w:tcW w:w="1372" w:type="dxa"/>
          </w:tcPr>
          <w:p w14:paraId="5B4AED24" w14:textId="77777777" w:rsidR="00D25C9A" w:rsidRPr="005F5E3B" w:rsidRDefault="00D25C9A" w:rsidP="0023471F">
            <w:pPr>
              <w:pStyle w:val="NoSpacing"/>
            </w:pPr>
            <w:r w:rsidRPr="005F5E3B">
              <w:t>Current treatment</w:t>
            </w:r>
          </w:p>
        </w:tc>
        <w:tc>
          <w:tcPr>
            <w:tcW w:w="1884" w:type="dxa"/>
          </w:tcPr>
          <w:p w14:paraId="64786C4C" w14:textId="2F9E0AFD" w:rsidR="00D25C9A" w:rsidRPr="005F5E3B" w:rsidRDefault="00D25C9A" w:rsidP="0023471F">
            <w:pPr>
              <w:pStyle w:val="NoSpacing"/>
            </w:pPr>
            <w:r w:rsidRPr="005F5E3B">
              <w:t>1</w:t>
            </w:r>
            <w:r w:rsidR="009955F1" w:rsidRPr="005F5E3B">
              <w:t>6</w:t>
            </w:r>
            <w:r w:rsidRPr="005F5E3B">
              <w:t>,</w:t>
            </w:r>
            <w:r w:rsidR="009955F1" w:rsidRPr="005F5E3B">
              <w:t>635</w:t>
            </w:r>
            <w:r w:rsidRPr="005F5E3B">
              <w:t xml:space="preserve"> (1,</w:t>
            </w:r>
            <w:r w:rsidR="009955F1" w:rsidRPr="005F5E3B">
              <w:t>876</w:t>
            </w:r>
            <w:r w:rsidRPr="005F5E3B">
              <w:t>)</w:t>
            </w:r>
          </w:p>
        </w:tc>
        <w:tc>
          <w:tcPr>
            <w:tcW w:w="1417" w:type="dxa"/>
          </w:tcPr>
          <w:p w14:paraId="7ADF80DD" w14:textId="77777777" w:rsidR="00D25C9A" w:rsidRPr="005F5E3B" w:rsidRDefault="00D25C9A" w:rsidP="0023471F">
            <w:pPr>
              <w:pStyle w:val="NoSpacing"/>
            </w:pPr>
          </w:p>
        </w:tc>
        <w:tc>
          <w:tcPr>
            <w:tcW w:w="1276" w:type="dxa"/>
          </w:tcPr>
          <w:p w14:paraId="6B5F95A5" w14:textId="727D37F7" w:rsidR="00D25C9A" w:rsidRPr="005F5E3B" w:rsidRDefault="00D25C9A" w:rsidP="0023471F">
            <w:pPr>
              <w:pStyle w:val="NoSpacing"/>
            </w:pPr>
            <w:r w:rsidRPr="005F5E3B">
              <w:t>2.</w:t>
            </w:r>
            <w:r w:rsidR="009955F1" w:rsidRPr="005F5E3B">
              <w:t>53</w:t>
            </w:r>
            <w:r w:rsidRPr="005F5E3B">
              <w:t xml:space="preserve"> (0.9</w:t>
            </w:r>
            <w:r w:rsidR="009955F1" w:rsidRPr="005F5E3B">
              <w:t>9</w:t>
            </w:r>
            <w:r w:rsidRPr="005F5E3B">
              <w:t>)</w:t>
            </w:r>
          </w:p>
        </w:tc>
        <w:tc>
          <w:tcPr>
            <w:tcW w:w="1417" w:type="dxa"/>
          </w:tcPr>
          <w:p w14:paraId="4CFCC26B" w14:textId="77777777" w:rsidR="00D25C9A" w:rsidRPr="005F5E3B" w:rsidRDefault="00D25C9A" w:rsidP="0023471F">
            <w:pPr>
              <w:pStyle w:val="NoSpacing"/>
            </w:pPr>
          </w:p>
        </w:tc>
        <w:tc>
          <w:tcPr>
            <w:tcW w:w="1576" w:type="dxa"/>
          </w:tcPr>
          <w:p w14:paraId="17BB56DE" w14:textId="77777777" w:rsidR="00D25C9A" w:rsidRPr="005F5E3B" w:rsidRDefault="00D25C9A" w:rsidP="0023471F">
            <w:pPr>
              <w:pStyle w:val="NoSpacing"/>
            </w:pPr>
          </w:p>
        </w:tc>
      </w:tr>
      <w:tr w:rsidR="005F5E3B" w:rsidRPr="005F5E3B" w14:paraId="4A119EA8" w14:textId="77777777" w:rsidTr="0023471F">
        <w:tc>
          <w:tcPr>
            <w:tcW w:w="1372" w:type="dxa"/>
          </w:tcPr>
          <w:p w14:paraId="6BB8724C" w14:textId="77777777" w:rsidR="00D25C9A" w:rsidRPr="005F5E3B" w:rsidRDefault="00D25C9A" w:rsidP="0023471F">
            <w:pPr>
              <w:pStyle w:val="NoSpacing"/>
            </w:pPr>
            <w:r w:rsidRPr="005F5E3B">
              <w:t>Molecular subtype-</w:t>
            </w:r>
          </w:p>
        </w:tc>
        <w:tc>
          <w:tcPr>
            <w:tcW w:w="1884" w:type="dxa"/>
          </w:tcPr>
          <w:p w14:paraId="1E05CB57" w14:textId="021D3996" w:rsidR="00D25C9A" w:rsidRPr="005F5E3B" w:rsidRDefault="00D25C9A" w:rsidP="0023471F">
            <w:pPr>
              <w:pStyle w:val="NoSpacing"/>
            </w:pPr>
            <w:r w:rsidRPr="005F5E3B">
              <w:t>1</w:t>
            </w:r>
            <w:r w:rsidR="009955F1" w:rsidRPr="005F5E3B">
              <w:t>9</w:t>
            </w:r>
            <w:r w:rsidRPr="005F5E3B">
              <w:t>,</w:t>
            </w:r>
            <w:r w:rsidR="009955F1" w:rsidRPr="005F5E3B">
              <w:t>404</w:t>
            </w:r>
            <w:r w:rsidRPr="005F5E3B">
              <w:t xml:space="preserve"> (</w:t>
            </w:r>
            <w:r w:rsidR="009955F1" w:rsidRPr="005F5E3B">
              <w:t>1,431</w:t>
            </w:r>
            <w:r w:rsidRPr="005F5E3B">
              <w:t>)</w:t>
            </w:r>
          </w:p>
        </w:tc>
        <w:tc>
          <w:tcPr>
            <w:tcW w:w="1417" w:type="dxa"/>
          </w:tcPr>
          <w:p w14:paraId="5F569A80" w14:textId="654E1A9B" w:rsidR="00D25C9A" w:rsidRPr="005F5E3B" w:rsidRDefault="009955F1" w:rsidP="0023471F">
            <w:pPr>
              <w:pStyle w:val="NoSpacing"/>
            </w:pPr>
            <w:r w:rsidRPr="005F5E3B">
              <w:t>2,768</w:t>
            </w:r>
          </w:p>
        </w:tc>
        <w:tc>
          <w:tcPr>
            <w:tcW w:w="1276" w:type="dxa"/>
          </w:tcPr>
          <w:p w14:paraId="18720ECC" w14:textId="445A8F5E" w:rsidR="00D25C9A" w:rsidRPr="005F5E3B" w:rsidRDefault="00D25C9A" w:rsidP="0023471F">
            <w:pPr>
              <w:pStyle w:val="NoSpacing"/>
            </w:pPr>
            <w:r w:rsidRPr="005F5E3B">
              <w:t>2.</w:t>
            </w:r>
            <w:r w:rsidR="009955F1" w:rsidRPr="005F5E3B">
              <w:t>79</w:t>
            </w:r>
            <w:r w:rsidRPr="005F5E3B">
              <w:t xml:space="preserve"> (0.8</w:t>
            </w:r>
            <w:r w:rsidR="009955F1" w:rsidRPr="005F5E3B">
              <w:t>9</w:t>
            </w:r>
            <w:r w:rsidRPr="005F5E3B">
              <w:t>)</w:t>
            </w:r>
          </w:p>
        </w:tc>
        <w:tc>
          <w:tcPr>
            <w:tcW w:w="1417" w:type="dxa"/>
          </w:tcPr>
          <w:p w14:paraId="6AAE69F8" w14:textId="35081C07" w:rsidR="00D25C9A" w:rsidRPr="005F5E3B" w:rsidRDefault="00D25C9A" w:rsidP="0023471F">
            <w:pPr>
              <w:pStyle w:val="NoSpacing"/>
            </w:pPr>
            <w:r w:rsidRPr="005F5E3B">
              <w:t>0.</w:t>
            </w:r>
            <w:r w:rsidR="009955F1" w:rsidRPr="005F5E3B">
              <w:t>26</w:t>
            </w:r>
          </w:p>
        </w:tc>
        <w:tc>
          <w:tcPr>
            <w:tcW w:w="1576" w:type="dxa"/>
          </w:tcPr>
          <w:p w14:paraId="40244255" w14:textId="77C9A45A" w:rsidR="00D25C9A" w:rsidRPr="005F5E3B" w:rsidRDefault="009955F1" w:rsidP="0023471F">
            <w:pPr>
              <w:pStyle w:val="NoSpacing"/>
            </w:pPr>
            <w:r w:rsidRPr="005F5E3B">
              <w:t>10.463</w:t>
            </w:r>
          </w:p>
        </w:tc>
      </w:tr>
      <w:tr w:rsidR="005F5E3B" w:rsidRPr="005F5E3B" w14:paraId="25E7F502" w14:textId="77777777" w:rsidTr="0023471F">
        <w:tc>
          <w:tcPr>
            <w:tcW w:w="8942" w:type="dxa"/>
            <w:gridSpan w:val="6"/>
          </w:tcPr>
          <w:p w14:paraId="21005C77" w14:textId="77777777" w:rsidR="00D25C9A" w:rsidRPr="005F5E3B" w:rsidRDefault="00D25C9A" w:rsidP="0023471F">
            <w:pPr>
              <w:pStyle w:val="NoSpacing"/>
              <w:rPr>
                <w:i/>
                <w:iCs/>
              </w:rPr>
            </w:pPr>
            <w:r w:rsidRPr="005F5E3B">
              <w:rPr>
                <w:i/>
                <w:iCs/>
              </w:rPr>
              <w:t>5-year</w:t>
            </w:r>
          </w:p>
        </w:tc>
      </w:tr>
      <w:tr w:rsidR="005F5E3B" w:rsidRPr="005F5E3B" w14:paraId="0E39CEF3" w14:textId="77777777" w:rsidTr="0023471F">
        <w:tc>
          <w:tcPr>
            <w:tcW w:w="1372" w:type="dxa"/>
          </w:tcPr>
          <w:p w14:paraId="4EAF14E8" w14:textId="77777777" w:rsidR="00D25C9A" w:rsidRPr="005F5E3B" w:rsidRDefault="00D25C9A" w:rsidP="0023471F">
            <w:pPr>
              <w:pStyle w:val="NoSpacing"/>
            </w:pPr>
            <w:r w:rsidRPr="005F5E3B">
              <w:t>Current treatment</w:t>
            </w:r>
          </w:p>
        </w:tc>
        <w:tc>
          <w:tcPr>
            <w:tcW w:w="1884" w:type="dxa"/>
          </w:tcPr>
          <w:p w14:paraId="2DC1F78D" w14:textId="40D27093" w:rsidR="00D25C9A" w:rsidRPr="005F5E3B" w:rsidRDefault="00D25C9A" w:rsidP="0023471F">
            <w:pPr>
              <w:pStyle w:val="NoSpacing"/>
            </w:pPr>
            <w:r w:rsidRPr="005F5E3B">
              <w:t>1</w:t>
            </w:r>
            <w:r w:rsidR="009955F1" w:rsidRPr="005F5E3B">
              <w:t>6</w:t>
            </w:r>
            <w:r w:rsidRPr="005F5E3B">
              <w:t>,9</w:t>
            </w:r>
            <w:r w:rsidR="009955F1" w:rsidRPr="005F5E3B">
              <w:t>09</w:t>
            </w:r>
            <w:r w:rsidRPr="005F5E3B">
              <w:t xml:space="preserve"> (</w:t>
            </w:r>
            <w:r w:rsidR="009955F1" w:rsidRPr="005F5E3B">
              <w:t>2</w:t>
            </w:r>
            <w:r w:rsidRPr="005F5E3B">
              <w:t>,</w:t>
            </w:r>
            <w:r w:rsidR="009955F1" w:rsidRPr="005F5E3B">
              <w:t>215</w:t>
            </w:r>
            <w:r w:rsidRPr="005F5E3B">
              <w:t>)</w:t>
            </w:r>
          </w:p>
        </w:tc>
        <w:tc>
          <w:tcPr>
            <w:tcW w:w="1417" w:type="dxa"/>
          </w:tcPr>
          <w:p w14:paraId="0542ABF3" w14:textId="77777777" w:rsidR="00D25C9A" w:rsidRPr="005F5E3B" w:rsidRDefault="00D25C9A" w:rsidP="0023471F">
            <w:pPr>
              <w:pStyle w:val="NoSpacing"/>
            </w:pPr>
          </w:p>
        </w:tc>
        <w:tc>
          <w:tcPr>
            <w:tcW w:w="1276" w:type="dxa"/>
          </w:tcPr>
          <w:p w14:paraId="69CB46F1" w14:textId="6D3034C5" w:rsidR="00D25C9A" w:rsidRPr="005F5E3B" w:rsidRDefault="009955F1" w:rsidP="0023471F">
            <w:pPr>
              <w:pStyle w:val="NoSpacing"/>
            </w:pPr>
            <w:r w:rsidRPr="005F5E3B">
              <w:t>2</w:t>
            </w:r>
            <w:r w:rsidR="00D25C9A" w:rsidRPr="005F5E3B">
              <w:t>.</w:t>
            </w:r>
            <w:r w:rsidRPr="005F5E3B">
              <w:t>88</w:t>
            </w:r>
            <w:r w:rsidR="00D25C9A" w:rsidRPr="005F5E3B">
              <w:t xml:space="preserve"> (1.42) </w:t>
            </w:r>
          </w:p>
        </w:tc>
        <w:tc>
          <w:tcPr>
            <w:tcW w:w="1417" w:type="dxa"/>
          </w:tcPr>
          <w:p w14:paraId="366D7833" w14:textId="77777777" w:rsidR="00D25C9A" w:rsidRPr="005F5E3B" w:rsidRDefault="00D25C9A" w:rsidP="0023471F">
            <w:pPr>
              <w:pStyle w:val="NoSpacing"/>
            </w:pPr>
          </w:p>
        </w:tc>
        <w:tc>
          <w:tcPr>
            <w:tcW w:w="1576" w:type="dxa"/>
          </w:tcPr>
          <w:p w14:paraId="20A8FE8B" w14:textId="77777777" w:rsidR="00D25C9A" w:rsidRPr="005F5E3B" w:rsidRDefault="00D25C9A" w:rsidP="0023471F">
            <w:pPr>
              <w:pStyle w:val="NoSpacing"/>
            </w:pPr>
          </w:p>
        </w:tc>
      </w:tr>
      <w:tr w:rsidR="005F5E3B" w:rsidRPr="005F5E3B" w14:paraId="25781165" w14:textId="77777777" w:rsidTr="0023471F">
        <w:tc>
          <w:tcPr>
            <w:tcW w:w="1372" w:type="dxa"/>
          </w:tcPr>
          <w:p w14:paraId="5AC4F972" w14:textId="77777777" w:rsidR="00D25C9A" w:rsidRPr="005F5E3B" w:rsidRDefault="00D25C9A" w:rsidP="0023471F">
            <w:pPr>
              <w:pStyle w:val="NoSpacing"/>
            </w:pPr>
            <w:r w:rsidRPr="005F5E3B">
              <w:t>Molecular subtype-</w:t>
            </w:r>
          </w:p>
        </w:tc>
        <w:tc>
          <w:tcPr>
            <w:tcW w:w="1884" w:type="dxa"/>
          </w:tcPr>
          <w:p w14:paraId="51A27AF5" w14:textId="5BD0E275" w:rsidR="00D25C9A" w:rsidRPr="005F5E3B" w:rsidRDefault="00D25C9A" w:rsidP="0023471F">
            <w:pPr>
              <w:pStyle w:val="NoSpacing"/>
            </w:pPr>
            <w:r w:rsidRPr="005F5E3B">
              <w:t>1</w:t>
            </w:r>
            <w:r w:rsidR="009955F1" w:rsidRPr="005F5E3B">
              <w:t>9</w:t>
            </w:r>
            <w:r w:rsidRPr="005F5E3B">
              <w:t>,</w:t>
            </w:r>
            <w:r w:rsidR="009955F1" w:rsidRPr="005F5E3B">
              <w:t>940</w:t>
            </w:r>
          </w:p>
          <w:p w14:paraId="6153DC19" w14:textId="55913121" w:rsidR="00D25C9A" w:rsidRPr="005F5E3B" w:rsidRDefault="00D25C9A" w:rsidP="0023471F">
            <w:pPr>
              <w:pStyle w:val="NoSpacing"/>
            </w:pPr>
            <w:r w:rsidRPr="005F5E3B">
              <w:t>(</w:t>
            </w:r>
            <w:r w:rsidR="009955F1" w:rsidRPr="005F5E3B">
              <w:t>1,875</w:t>
            </w:r>
            <w:r w:rsidRPr="005F5E3B">
              <w:t xml:space="preserve">) </w:t>
            </w:r>
          </w:p>
        </w:tc>
        <w:tc>
          <w:tcPr>
            <w:tcW w:w="1417" w:type="dxa"/>
          </w:tcPr>
          <w:p w14:paraId="692F95C7" w14:textId="3E16AC62" w:rsidR="00D25C9A" w:rsidRPr="005F5E3B" w:rsidRDefault="009955F1" w:rsidP="0023471F">
            <w:pPr>
              <w:pStyle w:val="NoSpacing"/>
            </w:pPr>
            <w:r w:rsidRPr="005F5E3B">
              <w:t>3,030</w:t>
            </w:r>
          </w:p>
        </w:tc>
        <w:tc>
          <w:tcPr>
            <w:tcW w:w="1276" w:type="dxa"/>
          </w:tcPr>
          <w:p w14:paraId="6191E64E" w14:textId="5C5D04CA" w:rsidR="00D25C9A" w:rsidRPr="005F5E3B" w:rsidRDefault="009955F1" w:rsidP="0023471F">
            <w:pPr>
              <w:pStyle w:val="NoSpacing"/>
            </w:pPr>
            <w:r w:rsidRPr="005F5E3B">
              <w:t>3</w:t>
            </w:r>
            <w:r w:rsidR="00D25C9A" w:rsidRPr="005F5E3B">
              <w:t>.</w:t>
            </w:r>
            <w:r w:rsidRPr="005F5E3B">
              <w:t>28</w:t>
            </w:r>
            <w:r w:rsidR="00D25C9A" w:rsidRPr="005F5E3B">
              <w:t xml:space="preserve"> (1.3</w:t>
            </w:r>
            <w:r w:rsidRPr="005F5E3B">
              <w:t>7</w:t>
            </w:r>
            <w:r w:rsidR="00D25C9A" w:rsidRPr="005F5E3B">
              <w:t>)</w:t>
            </w:r>
          </w:p>
        </w:tc>
        <w:tc>
          <w:tcPr>
            <w:tcW w:w="1417" w:type="dxa"/>
          </w:tcPr>
          <w:p w14:paraId="353D3792" w14:textId="118A6969" w:rsidR="00D25C9A" w:rsidRPr="005F5E3B" w:rsidRDefault="00D25C9A" w:rsidP="0023471F">
            <w:pPr>
              <w:pStyle w:val="NoSpacing"/>
            </w:pPr>
            <w:r w:rsidRPr="005F5E3B">
              <w:t>0.</w:t>
            </w:r>
            <w:r w:rsidR="009955F1" w:rsidRPr="005F5E3B">
              <w:t>40</w:t>
            </w:r>
          </w:p>
        </w:tc>
        <w:tc>
          <w:tcPr>
            <w:tcW w:w="1576" w:type="dxa"/>
          </w:tcPr>
          <w:p w14:paraId="0889B1D6" w14:textId="3BEC7992" w:rsidR="00D25C9A" w:rsidRPr="005F5E3B" w:rsidRDefault="009955F1" w:rsidP="0023471F">
            <w:pPr>
              <w:pStyle w:val="NoSpacing"/>
            </w:pPr>
            <w:r w:rsidRPr="005F5E3B">
              <w:t>7,641</w:t>
            </w:r>
          </w:p>
        </w:tc>
      </w:tr>
    </w:tbl>
    <w:p w14:paraId="0A402171" w14:textId="77777777" w:rsidR="00D25C9A" w:rsidRPr="005F5E3B" w:rsidRDefault="00D25C9A" w:rsidP="00D25C9A">
      <w:pPr>
        <w:rPr>
          <w:rFonts w:cs="Times New Roman"/>
        </w:rPr>
      </w:pPr>
      <w:r w:rsidRPr="005F5E3B">
        <w:rPr>
          <w:rFonts w:cs="Times New Roman"/>
        </w:rPr>
        <w:t>Std=Standard deviation</w:t>
      </w:r>
    </w:p>
    <w:p w14:paraId="596F99E4" w14:textId="77777777" w:rsidR="00D25C9A" w:rsidRPr="005F5E3B" w:rsidRDefault="00D25C9A" w:rsidP="0061082A">
      <w:pPr>
        <w:rPr>
          <w:lang w:val="en-GB"/>
        </w:rPr>
      </w:pPr>
    </w:p>
    <w:p w14:paraId="3E8B008C" w14:textId="77777777" w:rsidR="0061082A" w:rsidRPr="005F5E3B" w:rsidRDefault="0061082A" w:rsidP="0061082A">
      <w:pPr>
        <w:spacing w:line="360" w:lineRule="auto"/>
        <w:jc w:val="both"/>
        <w:rPr>
          <w:rFonts w:cs="Times New Roman"/>
          <w:b/>
          <w:bCs/>
        </w:rPr>
      </w:pPr>
      <w:r w:rsidRPr="005F5E3B">
        <w:rPr>
          <w:rFonts w:cs="Times New Roman"/>
          <w:b/>
          <w:bCs/>
        </w:rPr>
        <w:t>References</w:t>
      </w:r>
    </w:p>
    <w:p w14:paraId="0C79FFCC" w14:textId="77777777" w:rsidR="00D25C9A" w:rsidRPr="005F5E3B" w:rsidRDefault="0061082A" w:rsidP="00D25C9A">
      <w:pPr>
        <w:pStyle w:val="EndNoteBibliography"/>
        <w:ind w:left="720" w:hanging="720"/>
        <w:rPr>
          <w:noProof/>
        </w:rPr>
      </w:pPr>
      <w:r w:rsidRPr="005F5E3B">
        <w:rPr>
          <w:rFonts w:ascii="Times New Roman" w:hAnsi="Times New Roman" w:cs="Times New Roman"/>
        </w:rPr>
        <w:fldChar w:fldCharType="begin"/>
      </w:r>
      <w:r w:rsidRPr="005F5E3B">
        <w:rPr>
          <w:rFonts w:ascii="Times New Roman" w:hAnsi="Times New Roman" w:cs="Times New Roman"/>
        </w:rPr>
        <w:instrText xml:space="preserve"> ADDIN EN.REFLIST </w:instrText>
      </w:r>
      <w:r w:rsidRPr="005F5E3B">
        <w:rPr>
          <w:rFonts w:ascii="Times New Roman" w:hAnsi="Times New Roman" w:cs="Times New Roman"/>
        </w:rPr>
        <w:fldChar w:fldCharType="separate"/>
      </w:r>
      <w:r w:rsidR="00D25C9A" w:rsidRPr="005F5E3B">
        <w:rPr>
          <w:noProof/>
        </w:rPr>
        <w:t xml:space="preserve">Balestroni, Gianluigi, and Giorgio Bertolotti. 2012. 'EuroQol-5D (EQ-5D): an instrument for measuring quality of life', </w:t>
      </w:r>
      <w:r w:rsidR="00D25C9A" w:rsidRPr="005F5E3B">
        <w:rPr>
          <w:i/>
          <w:noProof/>
        </w:rPr>
        <w:t>Monaldi Archives for Chest Disease</w:t>
      </w:r>
      <w:r w:rsidR="00D25C9A" w:rsidRPr="005F5E3B">
        <w:rPr>
          <w:noProof/>
        </w:rPr>
        <w:t>, 78.</w:t>
      </w:r>
    </w:p>
    <w:p w14:paraId="7921CDD3" w14:textId="77777777" w:rsidR="00D25C9A" w:rsidRPr="005F5E3B" w:rsidRDefault="00D25C9A" w:rsidP="00D25C9A">
      <w:pPr>
        <w:pStyle w:val="EndNoteBibliography"/>
        <w:ind w:left="720" w:hanging="720"/>
        <w:rPr>
          <w:noProof/>
        </w:rPr>
      </w:pPr>
      <w:r w:rsidRPr="005F5E3B">
        <w:rPr>
          <w:noProof/>
          <w:lang w:val="sv-SE"/>
        </w:rPr>
        <w:t xml:space="preserve">Burström, Kristina, Fitsum Sebsibe Teni, Ulf- G. Gerdtham, Reiner Leidl, Gert Helgesson, Ola Rolfson, and Martin Henriksson. </w:t>
      </w:r>
      <w:r w:rsidRPr="005F5E3B">
        <w:rPr>
          <w:noProof/>
        </w:rPr>
        <w:t xml:space="preserve">2020. 'Experience-Based Swedish TTO and VAS Value Sets for EQ-5D-5L Health States', </w:t>
      </w:r>
      <w:r w:rsidRPr="005F5E3B">
        <w:rPr>
          <w:i/>
          <w:noProof/>
        </w:rPr>
        <w:t>Pharmacoeconomics</w:t>
      </w:r>
      <w:r w:rsidRPr="005F5E3B">
        <w:rPr>
          <w:noProof/>
        </w:rPr>
        <w:t>, 38: 839-56.</w:t>
      </w:r>
    </w:p>
    <w:p w14:paraId="3243A381" w14:textId="77777777" w:rsidR="00D25C9A" w:rsidRPr="005F5E3B" w:rsidRDefault="00D25C9A" w:rsidP="00D25C9A">
      <w:pPr>
        <w:pStyle w:val="EndNoteBibliography"/>
        <w:ind w:left="720" w:hanging="720"/>
        <w:rPr>
          <w:noProof/>
        </w:rPr>
      </w:pPr>
      <w:r w:rsidRPr="005F5E3B">
        <w:rPr>
          <w:noProof/>
        </w:rPr>
        <w:t xml:space="preserve">Joyce, D. D., K. M. Wymer, V. Sharma, J. P. Moriarty, B. J. Borah, D. M. Geynisman, E. R. Plimack, B. A. Costello, L. C. Pagliaro, and S. A. Boorjian. 2022. 'Comparative cost-effectiveness of neoadjuvant chemotherapy regimens for muscle-invasive bladder cancer: Results according to VESPER data', </w:t>
      </w:r>
      <w:r w:rsidRPr="005F5E3B">
        <w:rPr>
          <w:i/>
          <w:noProof/>
        </w:rPr>
        <w:t>Cancer</w:t>
      </w:r>
      <w:r w:rsidRPr="005F5E3B">
        <w:rPr>
          <w:noProof/>
        </w:rPr>
        <w:t>, 128: 4194-202.</w:t>
      </w:r>
    </w:p>
    <w:p w14:paraId="3F18363D" w14:textId="77777777" w:rsidR="00D25C9A" w:rsidRPr="005F5E3B" w:rsidRDefault="00D25C9A" w:rsidP="00D25C9A">
      <w:pPr>
        <w:pStyle w:val="EndNoteBibliography"/>
        <w:ind w:left="720" w:hanging="720"/>
        <w:rPr>
          <w:noProof/>
        </w:rPr>
      </w:pPr>
      <w:r w:rsidRPr="005F5E3B">
        <w:rPr>
          <w:noProof/>
          <w:lang w:val="sv-SE"/>
        </w:rPr>
        <w:lastRenderedPageBreak/>
        <w:t xml:space="preserve">Kollberg, P., G. Chebil, P. Eriksson, G. Sjödahl, and F. Liedberg. </w:t>
      </w:r>
      <w:r w:rsidRPr="005F5E3B">
        <w:rPr>
          <w:noProof/>
        </w:rPr>
        <w:t xml:space="preserve">2019. 'Molecular subtypes applied to a population-based modern cystectomy series do not predict cancer-specific survival', </w:t>
      </w:r>
      <w:r w:rsidRPr="005F5E3B">
        <w:rPr>
          <w:i/>
          <w:noProof/>
        </w:rPr>
        <w:t>Urol Oncol</w:t>
      </w:r>
      <w:r w:rsidRPr="005F5E3B">
        <w:rPr>
          <w:noProof/>
        </w:rPr>
        <w:t>, 37: 791-99.</w:t>
      </w:r>
    </w:p>
    <w:p w14:paraId="4B97BAF9" w14:textId="77777777" w:rsidR="00D25C9A" w:rsidRPr="005F5E3B" w:rsidRDefault="00D25C9A" w:rsidP="00D25C9A">
      <w:pPr>
        <w:pStyle w:val="EndNoteBibliography"/>
        <w:ind w:left="720" w:hanging="720"/>
        <w:rPr>
          <w:noProof/>
        </w:rPr>
      </w:pPr>
      <w:r w:rsidRPr="005F5E3B">
        <w:rPr>
          <w:noProof/>
        </w:rPr>
        <w:t xml:space="preserve">Kulkarni, G. S., S. M. Alibhai, A. Finelli, N. E. Fleshner, M. A. Jewett, S. R. Lopushinsky, and A. M. Bayoumi. 2009. 'Cost-effectiveness analysis of immediate radical cystectomy versus intravesical Bacillus Calmette-Guerin therapy for high-risk, high-grade (T1G3) bladder cancer', </w:t>
      </w:r>
      <w:r w:rsidRPr="005F5E3B">
        <w:rPr>
          <w:i/>
          <w:noProof/>
        </w:rPr>
        <w:t>Cancer</w:t>
      </w:r>
      <w:r w:rsidRPr="005F5E3B">
        <w:rPr>
          <w:noProof/>
        </w:rPr>
        <w:t>, 115: 5450-9.</w:t>
      </w:r>
    </w:p>
    <w:p w14:paraId="632D602B" w14:textId="77777777" w:rsidR="00D25C9A" w:rsidRPr="005F5E3B" w:rsidRDefault="00D25C9A" w:rsidP="00D25C9A">
      <w:pPr>
        <w:pStyle w:val="EndNoteBibliography"/>
        <w:ind w:left="720" w:hanging="720"/>
        <w:rPr>
          <w:noProof/>
        </w:rPr>
      </w:pPr>
      <w:r w:rsidRPr="005F5E3B">
        <w:rPr>
          <w:noProof/>
        </w:rPr>
        <w:t xml:space="preserve">Plimack, E. R., J. H. Hoffman-Censits, R. Viterbo, E. J. Trabulsi, E. A. Ross, R. E. Greenberg, D. Y. Chen, C. D. Lallas, Y. N. Wong, J. Lin, A. Kutikov, E. Dotan, T. A. Brennan, N. Palma, E. Dulaimi, R. Mehrazin, S. A. Boorjian, W. K. Kelly, R. G. Uzzo, and G. R. Hudes. 2014. 'Accelerated methotrexate, vinblastine, doxorubicin, and cisplatin is safe, effective, and efficient neoadjuvant treatment for muscle-invasive bladder cancer: results of a multicenter phase II study with molecular correlates of response and toxicity', </w:t>
      </w:r>
      <w:r w:rsidRPr="005F5E3B">
        <w:rPr>
          <w:i/>
          <w:noProof/>
        </w:rPr>
        <w:t>J Clin Oncol</w:t>
      </w:r>
      <w:r w:rsidRPr="005F5E3B">
        <w:rPr>
          <w:noProof/>
        </w:rPr>
        <w:t>, 32: 1895-901.</w:t>
      </w:r>
    </w:p>
    <w:p w14:paraId="4D333A7F" w14:textId="77777777" w:rsidR="00D25C9A" w:rsidRPr="005F5E3B" w:rsidRDefault="00D25C9A" w:rsidP="00D25C9A">
      <w:pPr>
        <w:pStyle w:val="EndNoteBibliography"/>
        <w:ind w:left="720" w:hanging="720"/>
        <w:rPr>
          <w:noProof/>
        </w:rPr>
      </w:pPr>
      <w:r w:rsidRPr="005F5E3B">
        <w:rPr>
          <w:noProof/>
        </w:rPr>
        <w:t xml:space="preserve">Prieto, L., and J. A. Sacristán. 2003. 'Problems and solutions in calculating quality-adjusted life years (QALYs)', </w:t>
      </w:r>
      <w:r w:rsidRPr="005F5E3B">
        <w:rPr>
          <w:i/>
          <w:noProof/>
        </w:rPr>
        <w:t>Health Qual Life Outcomes</w:t>
      </w:r>
      <w:r w:rsidRPr="005F5E3B">
        <w:rPr>
          <w:noProof/>
        </w:rPr>
        <w:t>, 1: 80.</w:t>
      </w:r>
    </w:p>
    <w:p w14:paraId="1E34136D" w14:textId="372DBA69" w:rsidR="00D25C9A" w:rsidRPr="005F5E3B" w:rsidRDefault="00D25C9A" w:rsidP="00D25C9A">
      <w:pPr>
        <w:pStyle w:val="EndNoteBibliography"/>
        <w:ind w:left="720" w:hanging="720"/>
        <w:rPr>
          <w:noProof/>
        </w:rPr>
      </w:pPr>
      <w:r w:rsidRPr="005F5E3B">
        <w:rPr>
          <w:noProof/>
        </w:rPr>
        <w:t xml:space="preserve">SNRUBC. 2022. 'Svenska nationella kvalitetsregistret för Urinblåse- och urinvägscancer (SNRUBC) (The Swedish National Quality Register for Bladder and Urinary Tract Cancer)'. </w:t>
      </w:r>
      <w:hyperlink r:id="rId15" w:history="1">
        <w:r w:rsidRPr="005F5E3B">
          <w:rPr>
            <w:rStyle w:val="Hyperlink"/>
            <w:noProof/>
            <w:color w:val="auto"/>
          </w:rPr>
          <w:t>https://statistik.incanet.se/Urinblasecancer/</w:t>
        </w:r>
      </w:hyperlink>
      <w:r w:rsidRPr="005F5E3B">
        <w:rPr>
          <w:noProof/>
        </w:rPr>
        <w:t>.</w:t>
      </w:r>
    </w:p>
    <w:p w14:paraId="1FBB8017" w14:textId="77777777" w:rsidR="00D25C9A" w:rsidRPr="005F5E3B" w:rsidRDefault="00D25C9A" w:rsidP="00D25C9A">
      <w:pPr>
        <w:pStyle w:val="EndNoteBibliography"/>
        <w:ind w:left="720" w:hanging="720"/>
        <w:rPr>
          <w:noProof/>
        </w:rPr>
      </w:pPr>
      <w:r w:rsidRPr="005F5E3B">
        <w:rPr>
          <w:noProof/>
        </w:rPr>
        <w:t xml:space="preserve">Whitehead, Sarah J., and Shehzad Ali. 2010. 'Health outcomes in economic evaluation: the QALY and utilities', </w:t>
      </w:r>
      <w:r w:rsidRPr="005F5E3B">
        <w:rPr>
          <w:i/>
          <w:noProof/>
        </w:rPr>
        <w:t>British Medical Bulletin</w:t>
      </w:r>
      <w:r w:rsidRPr="005F5E3B">
        <w:rPr>
          <w:noProof/>
        </w:rPr>
        <w:t>, 96: 5-21.</w:t>
      </w:r>
    </w:p>
    <w:p w14:paraId="4916FCC9" w14:textId="1DD56CCC" w:rsidR="00994A3D" w:rsidRPr="005F5E3B" w:rsidRDefault="0061082A" w:rsidP="00013076">
      <w:pPr>
        <w:pStyle w:val="Title"/>
      </w:pPr>
      <w:r w:rsidRPr="005F5E3B">
        <w:fldChar w:fldCharType="end"/>
      </w:r>
    </w:p>
    <w:p w14:paraId="11EC8DA1" w14:textId="77777777" w:rsidR="00994A3D" w:rsidRPr="005F5E3B" w:rsidRDefault="00994A3D" w:rsidP="00994A3D">
      <w:pPr>
        <w:keepNext/>
        <w:jc w:val="center"/>
        <w:rPr>
          <w:rFonts w:cs="Times New Roman"/>
          <w:szCs w:val="24"/>
        </w:rPr>
      </w:pPr>
      <w:r w:rsidRPr="005F5E3B">
        <w:rPr>
          <w:b/>
          <w:noProof/>
          <w:lang w:val="en-GB" w:eastAsia="en-GB"/>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58F1AED1" w14:textId="77777777" w:rsidR="00DE23E8" w:rsidRPr="005F5E3B" w:rsidRDefault="00DE23E8" w:rsidP="00654E8F">
      <w:pPr>
        <w:spacing w:before="240"/>
      </w:pPr>
    </w:p>
    <w:sectPr w:rsidR="00DE23E8" w:rsidRPr="005F5E3B" w:rsidSect="0093429D">
      <w:headerReference w:type="even" r:id="rId17"/>
      <w:footerReference w:type="even" r:id="rId18"/>
      <w:footerReference w:type="default" r:id="rId19"/>
      <w:headerReference w:type="first" r:id="rId2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C0D" w14:textId="77777777" w:rsidR="00D31279" w:rsidRDefault="00D31279" w:rsidP="00117666">
      <w:pPr>
        <w:spacing w:after="0"/>
      </w:pPr>
      <w:r>
        <w:separator/>
      </w:r>
    </w:p>
  </w:endnote>
  <w:endnote w:type="continuationSeparator" w:id="0">
    <w:p w14:paraId="60E3E594" w14:textId="77777777" w:rsidR="00D31279" w:rsidRDefault="00D3127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öhn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9667A1"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667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9667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9667A1"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667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9667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55FC" w14:textId="77777777" w:rsidR="00D31279" w:rsidRDefault="00D31279" w:rsidP="00117666">
      <w:pPr>
        <w:spacing w:after="0"/>
      </w:pPr>
      <w:r>
        <w:separator/>
      </w:r>
    </w:p>
  </w:footnote>
  <w:footnote w:type="continuationSeparator" w:id="0">
    <w:p w14:paraId="7B1158F1" w14:textId="77777777" w:rsidR="00D31279" w:rsidRDefault="00D3127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9667A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9667A1"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7491D"/>
    <w:multiLevelType w:val="multilevel"/>
    <w:tmpl w:val="5AA261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3B7E20"/>
    <w:multiLevelType w:val="hybridMultilevel"/>
    <w:tmpl w:val="DCBEF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8E344F"/>
    <w:multiLevelType w:val="hybridMultilevel"/>
    <w:tmpl w:val="EE3C03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544A9"/>
    <w:multiLevelType w:val="multilevel"/>
    <w:tmpl w:val="764CD64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08A3408"/>
    <w:multiLevelType w:val="hybridMultilevel"/>
    <w:tmpl w:val="A5BCB0D0"/>
    <w:lvl w:ilvl="0" w:tplc="9DD6AADA">
      <w:start w:val="1"/>
      <w:numFmt w:val="upperLetter"/>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5064D"/>
    <w:multiLevelType w:val="multilevel"/>
    <w:tmpl w:val="E916863C"/>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584F1142"/>
    <w:multiLevelType w:val="hybridMultilevel"/>
    <w:tmpl w:val="09242A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70688"/>
    <w:multiLevelType w:val="hybridMultilevel"/>
    <w:tmpl w:val="EFD438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5" w15:restartNumberingAfterBreak="0">
    <w:nsid w:val="6F402BE6"/>
    <w:multiLevelType w:val="hybridMultilevel"/>
    <w:tmpl w:val="8F481E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0029A"/>
    <w:multiLevelType w:val="multilevel"/>
    <w:tmpl w:val="764CD64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21115517">
    <w:abstractNumId w:val="0"/>
  </w:num>
  <w:num w:numId="2" w16cid:durableId="1683165481">
    <w:abstractNumId w:val="9"/>
  </w:num>
  <w:num w:numId="3" w16cid:durableId="615480040">
    <w:abstractNumId w:val="1"/>
  </w:num>
  <w:num w:numId="4" w16cid:durableId="1566183234">
    <w:abstractNumId w:val="13"/>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4"/>
  </w:num>
  <w:num w:numId="8" w16cid:durableId="1559510671">
    <w:abstractNumId w:val="14"/>
  </w:num>
  <w:num w:numId="9" w16cid:durableId="1734543462">
    <w:abstractNumId w:val="14"/>
  </w:num>
  <w:num w:numId="10" w16cid:durableId="708839681">
    <w:abstractNumId w:val="14"/>
  </w:num>
  <w:num w:numId="11" w16cid:durableId="2046978920">
    <w:abstractNumId w:val="14"/>
  </w:num>
  <w:num w:numId="12" w16cid:durableId="2124614653">
    <w:abstractNumId w:val="14"/>
  </w:num>
  <w:num w:numId="13" w16cid:durableId="150105246">
    <w:abstractNumId w:val="5"/>
  </w:num>
  <w:num w:numId="14" w16cid:durableId="515769853">
    <w:abstractNumId w:val="4"/>
  </w:num>
  <w:num w:numId="15" w16cid:durableId="1753046014">
    <w:abstractNumId w:val="4"/>
  </w:num>
  <w:num w:numId="16" w16cid:durableId="665939894">
    <w:abstractNumId w:val="4"/>
  </w:num>
  <w:num w:numId="17" w16cid:durableId="2078749421">
    <w:abstractNumId w:val="4"/>
  </w:num>
  <w:num w:numId="18" w16cid:durableId="825047625">
    <w:abstractNumId w:val="4"/>
  </w:num>
  <w:num w:numId="19" w16cid:durableId="803810417">
    <w:abstractNumId w:val="4"/>
  </w:num>
  <w:num w:numId="20" w16cid:durableId="933173535">
    <w:abstractNumId w:val="8"/>
  </w:num>
  <w:num w:numId="21" w16cid:durableId="461533891">
    <w:abstractNumId w:val="15"/>
  </w:num>
  <w:num w:numId="22" w16cid:durableId="2085953798">
    <w:abstractNumId w:val="3"/>
  </w:num>
  <w:num w:numId="23" w16cid:durableId="706637059">
    <w:abstractNumId w:val="12"/>
  </w:num>
  <w:num w:numId="24" w16cid:durableId="629282715">
    <w:abstractNumId w:val="11"/>
  </w:num>
  <w:num w:numId="25" w16cid:durableId="300308973">
    <w:abstractNumId w:val="6"/>
  </w:num>
  <w:num w:numId="26" w16cid:durableId="684946350">
    <w:abstractNumId w:val="10"/>
  </w:num>
  <w:num w:numId="27" w16cid:durableId="1048263268">
    <w:abstractNumId w:val="2"/>
  </w:num>
  <w:num w:numId="28" w16cid:durableId="1083721196">
    <w:abstractNumId w:val="7"/>
  </w:num>
  <w:num w:numId="29" w16cid:durableId="19898229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atwdstq9d59wezwsa5aww40v02s9zxs90f&quot;&gt;Library-Converted&lt;record-ids&gt;&lt;item&gt;70&lt;/item&gt;&lt;item&gt;20272&lt;/item&gt;&lt;item&gt;20451&lt;/item&gt;&lt;item&gt;22918&lt;/item&gt;&lt;item&gt;22919&lt;/item&gt;&lt;item&gt;22920&lt;/item&gt;&lt;item&gt;22921&lt;/item&gt;&lt;item&gt;23352&lt;/item&gt;&lt;/record-ids&gt;&lt;/item&gt;&lt;/Libraries&gt;"/>
  </w:docVars>
  <w:rsids>
    <w:rsidRoot w:val="00803D24"/>
    <w:rsid w:val="00013076"/>
    <w:rsid w:val="0001436A"/>
    <w:rsid w:val="00032B0C"/>
    <w:rsid w:val="00034304"/>
    <w:rsid w:val="00035434"/>
    <w:rsid w:val="00052A14"/>
    <w:rsid w:val="00077D53"/>
    <w:rsid w:val="00103B4F"/>
    <w:rsid w:val="00105FD9"/>
    <w:rsid w:val="00117666"/>
    <w:rsid w:val="00117BAD"/>
    <w:rsid w:val="001549D3"/>
    <w:rsid w:val="00160065"/>
    <w:rsid w:val="00160D5B"/>
    <w:rsid w:val="00177D84"/>
    <w:rsid w:val="001C2E01"/>
    <w:rsid w:val="0020231E"/>
    <w:rsid w:val="00267D18"/>
    <w:rsid w:val="002868E2"/>
    <w:rsid w:val="002869C3"/>
    <w:rsid w:val="002936E4"/>
    <w:rsid w:val="002B4A57"/>
    <w:rsid w:val="002C74CA"/>
    <w:rsid w:val="00350F7F"/>
    <w:rsid w:val="00353396"/>
    <w:rsid w:val="003544FB"/>
    <w:rsid w:val="003772A7"/>
    <w:rsid w:val="00381F4E"/>
    <w:rsid w:val="003D2D47"/>
    <w:rsid w:val="003D2F2D"/>
    <w:rsid w:val="00401590"/>
    <w:rsid w:val="00447801"/>
    <w:rsid w:val="00452E9C"/>
    <w:rsid w:val="004565C1"/>
    <w:rsid w:val="004735C8"/>
    <w:rsid w:val="004961FF"/>
    <w:rsid w:val="00517A89"/>
    <w:rsid w:val="005250F2"/>
    <w:rsid w:val="00540628"/>
    <w:rsid w:val="00593EEA"/>
    <w:rsid w:val="005A5EEE"/>
    <w:rsid w:val="005C2492"/>
    <w:rsid w:val="005F5E3B"/>
    <w:rsid w:val="0061082A"/>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D1367"/>
    <w:rsid w:val="009151AA"/>
    <w:rsid w:val="0092330B"/>
    <w:rsid w:val="0093429D"/>
    <w:rsid w:val="00943573"/>
    <w:rsid w:val="009667A1"/>
    <w:rsid w:val="00970F7D"/>
    <w:rsid w:val="00994A3D"/>
    <w:rsid w:val="009955F1"/>
    <w:rsid w:val="009C2B12"/>
    <w:rsid w:val="009C70F3"/>
    <w:rsid w:val="00A174D9"/>
    <w:rsid w:val="00A569CD"/>
    <w:rsid w:val="00AB5EE2"/>
    <w:rsid w:val="00AB6715"/>
    <w:rsid w:val="00B1671E"/>
    <w:rsid w:val="00B25EB8"/>
    <w:rsid w:val="00B354E1"/>
    <w:rsid w:val="00B37F4D"/>
    <w:rsid w:val="00BF0F30"/>
    <w:rsid w:val="00BF6B9B"/>
    <w:rsid w:val="00C52A7B"/>
    <w:rsid w:val="00C56BAF"/>
    <w:rsid w:val="00C679AA"/>
    <w:rsid w:val="00C70F7F"/>
    <w:rsid w:val="00C75972"/>
    <w:rsid w:val="00CA47AE"/>
    <w:rsid w:val="00CC0A3A"/>
    <w:rsid w:val="00CD066B"/>
    <w:rsid w:val="00CE4FEE"/>
    <w:rsid w:val="00D25C9A"/>
    <w:rsid w:val="00D31279"/>
    <w:rsid w:val="00D958B1"/>
    <w:rsid w:val="00DB59C3"/>
    <w:rsid w:val="00DB722F"/>
    <w:rsid w:val="00DC259A"/>
    <w:rsid w:val="00DE23E8"/>
    <w:rsid w:val="00E52377"/>
    <w:rsid w:val="00E64E17"/>
    <w:rsid w:val="00E866C9"/>
    <w:rsid w:val="00EA3D3C"/>
    <w:rsid w:val="00F46900"/>
    <w:rsid w:val="00F61D89"/>
    <w:rsid w:val="00FE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EndNoteBibliography">
    <w:name w:val="EndNote Bibliography"/>
    <w:basedOn w:val="Normal"/>
    <w:link w:val="EndNoteBibliographyChar"/>
    <w:rsid w:val="0061082A"/>
    <w:pPr>
      <w:spacing w:before="0" w:after="0"/>
    </w:pPr>
    <w:rPr>
      <w:rFonts w:ascii="Calibri" w:hAnsi="Calibri" w:cs="Calibri"/>
      <w:kern w:val="2"/>
      <w:szCs w:val="24"/>
      <w14:ligatures w14:val="standardContextual"/>
    </w:rPr>
  </w:style>
  <w:style w:type="character" w:customStyle="1" w:styleId="EndNoteBibliographyChar">
    <w:name w:val="EndNote Bibliography Char"/>
    <w:basedOn w:val="DefaultParagraphFont"/>
    <w:link w:val="EndNoteBibliography"/>
    <w:rsid w:val="0061082A"/>
    <w:rPr>
      <w:rFonts w:ascii="Calibri" w:hAnsi="Calibri" w:cs="Calibri"/>
      <w:kern w:val="2"/>
      <w:sz w:val="24"/>
      <w:szCs w:val="24"/>
      <w14:ligatures w14:val="standardContextual"/>
    </w:rPr>
  </w:style>
  <w:style w:type="table" w:styleId="GridTable4-Accent5">
    <w:name w:val="Grid Table 4 Accent 5"/>
    <w:basedOn w:val="TableNormal"/>
    <w:uiPriority w:val="49"/>
    <w:rsid w:val="0061082A"/>
    <w:pPr>
      <w:spacing w:after="0" w:line="240" w:lineRule="auto"/>
    </w:pPr>
    <w:rPr>
      <w:kern w:val="2"/>
      <w:sz w:val="24"/>
      <w:szCs w:val="24"/>
      <w:lang w:val="sv-SE"/>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61082A"/>
    <w:pPr>
      <w:spacing w:after="0" w:line="240" w:lineRule="auto"/>
    </w:pPr>
    <w:rPr>
      <w:sz w:val="24"/>
      <w:szCs w:val="24"/>
      <w:lang w:val="sv-S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61082A"/>
    <w:pPr>
      <w:spacing w:after="0" w:line="240" w:lineRule="auto"/>
    </w:pPr>
    <w:rPr>
      <w:kern w:val="2"/>
      <w:sz w:val="24"/>
      <w:szCs w:val="24"/>
      <w:lang w:val="sv-SE"/>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61082A"/>
    <w:pPr>
      <w:spacing w:before="0" w:after="0"/>
      <w:jc w:val="center"/>
    </w:pPr>
    <w:rPr>
      <w:rFonts w:ascii="Calibri" w:hAnsi="Calibri" w:cs="Calibri"/>
      <w:kern w:val="2"/>
      <w:szCs w:val="24"/>
      <w14:ligatures w14:val="standardContextual"/>
    </w:rPr>
  </w:style>
  <w:style w:type="character" w:customStyle="1" w:styleId="EndNoteBibliographyTitleChar">
    <w:name w:val="EndNote Bibliography Title Char"/>
    <w:basedOn w:val="DefaultParagraphFont"/>
    <w:link w:val="EndNoteBibliographyTitle"/>
    <w:rsid w:val="0061082A"/>
    <w:rPr>
      <w:rFonts w:ascii="Calibri" w:hAnsi="Calibri" w:cs="Calibri"/>
      <w:kern w:val="2"/>
      <w:sz w:val="24"/>
      <w:szCs w:val="24"/>
      <w14:ligatures w14:val="standardContextual"/>
    </w:rPr>
  </w:style>
  <w:style w:type="character" w:styleId="UnresolvedMention">
    <w:name w:val="Unresolved Mention"/>
    <w:basedOn w:val="DefaultParagraphFont"/>
    <w:uiPriority w:val="99"/>
    <w:semiHidden/>
    <w:unhideWhenUsed/>
    <w:rsid w:val="00610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392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tistik.incanet.se/Urinblasecance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15</TotalTime>
  <Pages>10</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Alessandro Sbordoni</cp:lastModifiedBy>
  <cp:revision>8</cp:revision>
  <cp:lastPrinted>2013-10-03T12:51:00Z</cp:lastPrinted>
  <dcterms:created xsi:type="dcterms:W3CDTF">2025-03-04T13:14:00Z</dcterms:created>
  <dcterms:modified xsi:type="dcterms:W3CDTF">2025-03-07T15:51:00Z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