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6A9EFB" w14:textId="46E8AEE7" w:rsidR="00612A4E" w:rsidRPr="0002724A" w:rsidRDefault="0002724A" w:rsidP="00DC6E71">
      <w:pPr>
        <w:jc w:val="center"/>
        <w:rPr>
          <w:rFonts w:ascii="Times New Roman" w:hAnsi="Times New Roman" w:cs="Times New Roman"/>
          <w:b/>
          <w:bCs/>
          <w:noProof/>
          <w:sz w:val="48"/>
          <w:szCs w:val="52"/>
        </w:rPr>
      </w:pPr>
      <w:r w:rsidRPr="0002724A">
        <w:rPr>
          <w:rFonts w:ascii="Times New Roman" w:hAnsi="Times New Roman" w:cs="Times New Roman"/>
          <w:b/>
          <w:bCs/>
          <w:noProof/>
          <w:sz w:val="48"/>
          <w:szCs w:val="52"/>
        </w:rPr>
        <w:t xml:space="preserve">Supplementary </w:t>
      </w:r>
      <w:r>
        <w:rPr>
          <w:rFonts w:ascii="Times New Roman" w:hAnsi="Times New Roman" w:cs="Times New Roman" w:hint="eastAsia"/>
          <w:b/>
          <w:bCs/>
          <w:noProof/>
          <w:sz w:val="48"/>
          <w:szCs w:val="52"/>
        </w:rPr>
        <w:t>M</w:t>
      </w:r>
      <w:r w:rsidRPr="0002724A">
        <w:rPr>
          <w:rFonts w:ascii="Times New Roman" w:hAnsi="Times New Roman" w:cs="Times New Roman"/>
          <w:b/>
          <w:bCs/>
          <w:noProof/>
          <w:sz w:val="48"/>
          <w:szCs w:val="52"/>
        </w:rPr>
        <w:t>aterial</w:t>
      </w:r>
    </w:p>
    <w:p w14:paraId="21BBBA21" w14:textId="39E0422E" w:rsidR="0002724A" w:rsidRDefault="0002724A" w:rsidP="00DC6E71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6B57AF68" wp14:editId="459915EC">
            <wp:extent cx="7200000" cy="4608000"/>
            <wp:effectExtent l="0" t="0" r="1270" b="2540"/>
            <wp:docPr id="13236695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0" cy="460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EA3AD1" w14:textId="58D9326E" w:rsidR="004D6F5E" w:rsidRDefault="00DC6E71">
      <w:pPr>
        <w:rPr>
          <w:rFonts w:ascii="Times New Roman" w:hAnsi="Times New Roman" w:cs="Times New Roman"/>
        </w:rPr>
      </w:pPr>
      <w:r w:rsidRPr="00DC6E71">
        <w:rPr>
          <w:rFonts w:ascii="Times New Roman" w:hAnsi="Times New Roman" w:cs="Times New Roman" w:hint="eastAsia"/>
          <w:b/>
          <w:bCs/>
        </w:rPr>
        <w:t>Figure S1.</w:t>
      </w:r>
      <w:r>
        <w:rPr>
          <w:rFonts w:ascii="Times New Roman" w:hAnsi="Times New Roman" w:cs="Times New Roman" w:hint="eastAsia"/>
        </w:rPr>
        <w:t xml:space="preserve"> </w:t>
      </w:r>
      <w:r w:rsidR="004D6F5E" w:rsidRPr="004D6F5E">
        <w:rPr>
          <w:rFonts w:ascii="Times New Roman" w:hAnsi="Times New Roman" w:cs="Times New Roman"/>
        </w:rPr>
        <w:t>Case presentation of an 18-year-old patient: Right ankle function at 24 months postoperatively. (A) Walking test in a weight-bearing state. (B) Running test in a weight-bearing state. (C) Jumping and squatting test. (D) Single-leg standing test.</w:t>
      </w:r>
    </w:p>
    <w:p w14:paraId="4825A101" w14:textId="77777777" w:rsidR="00DC6E71" w:rsidRDefault="00DC6E71">
      <w:pPr>
        <w:rPr>
          <w:rFonts w:ascii="Times New Roman" w:hAnsi="Times New Roman" w:cs="Times New Roman"/>
        </w:rPr>
        <w:sectPr w:rsidR="00DC6E71" w:rsidSect="00DC6E71">
          <w:pgSz w:w="16838" w:h="11906" w:orient="landscape"/>
          <w:pgMar w:top="720" w:right="720" w:bottom="720" w:left="720" w:header="851" w:footer="992" w:gutter="0"/>
          <w:cols w:space="425"/>
          <w:docGrid w:type="lines" w:linePitch="312"/>
        </w:sectPr>
      </w:pPr>
    </w:p>
    <w:p w14:paraId="64999AA4" w14:textId="7C2E816F" w:rsidR="00DC6E71" w:rsidRPr="00CD41A8" w:rsidRDefault="00DC6E71" w:rsidP="00DC6E71">
      <w:pPr>
        <w:rPr>
          <w:rFonts w:ascii="Times New Roman" w:hAnsi="Times New Roman" w:cs="Times New Roman"/>
          <w:b/>
          <w:bCs/>
          <w:sz w:val="22"/>
        </w:rPr>
      </w:pPr>
      <w:r w:rsidRPr="00CD41A8">
        <w:rPr>
          <w:rFonts w:ascii="Times New Roman" w:hAnsi="Times New Roman" w:cs="Times New Roman"/>
          <w:b/>
          <w:bCs/>
          <w:sz w:val="22"/>
        </w:rPr>
        <w:lastRenderedPageBreak/>
        <w:t xml:space="preserve">Table </w:t>
      </w:r>
      <w:r>
        <w:rPr>
          <w:rFonts w:ascii="Times New Roman" w:hAnsi="Times New Roman" w:cs="Times New Roman" w:hint="eastAsia"/>
          <w:b/>
          <w:bCs/>
          <w:sz w:val="22"/>
        </w:rPr>
        <w:t>S1</w:t>
      </w:r>
      <w:r w:rsidRPr="00CD41A8">
        <w:rPr>
          <w:rFonts w:ascii="Times New Roman" w:hAnsi="Times New Roman" w:cs="Times New Roman"/>
          <w:b/>
          <w:bCs/>
          <w:sz w:val="22"/>
        </w:rPr>
        <w:t xml:space="preserve">. </w:t>
      </w:r>
      <w:r w:rsidRPr="00CD41A8">
        <w:rPr>
          <w:rFonts w:ascii="Times New Roman" w:hAnsi="Times New Roman" w:cs="Times New Roman" w:hint="eastAsia"/>
          <w:b/>
          <w:bCs/>
          <w:sz w:val="22"/>
        </w:rPr>
        <w:t xml:space="preserve">A literature review of current options of </w:t>
      </w:r>
      <w:r w:rsidRPr="00CD41A8">
        <w:rPr>
          <w:rFonts w:ascii="Times New Roman" w:eastAsia="等线" w:hAnsi="Times New Roman" w:cs="Times New Roman" w:hint="eastAsia"/>
          <w:b/>
          <w:bCs/>
          <w:color w:val="000000"/>
          <w:kern w:val="0"/>
          <w:sz w:val="22"/>
        </w:rPr>
        <w:t>a</w:t>
      </w:r>
      <w:r w:rsidRPr="00AD1209">
        <w:rPr>
          <w:rFonts w:ascii="Times New Roman" w:eastAsia="等线" w:hAnsi="Times New Roman" w:cs="Times New Roman"/>
          <w:b/>
          <w:bCs/>
          <w:color w:val="000000"/>
          <w:kern w:val="0"/>
          <w:sz w:val="22"/>
        </w:rPr>
        <w:t>utologous</w:t>
      </w:r>
      <w:r w:rsidRPr="00CD41A8">
        <w:rPr>
          <w:rFonts w:ascii="Times New Roman" w:hAnsi="Times New Roman" w:cs="Times New Roman" w:hint="eastAsia"/>
          <w:b/>
          <w:bCs/>
          <w:sz w:val="22"/>
        </w:rPr>
        <w:t xml:space="preserve"> graft for treating OLT.</w:t>
      </w:r>
    </w:p>
    <w:tbl>
      <w:tblPr>
        <w:tblW w:w="15593" w:type="dxa"/>
        <w:tblLook w:val="04A0" w:firstRow="1" w:lastRow="0" w:firstColumn="1" w:lastColumn="0" w:noHBand="0" w:noVBand="1"/>
      </w:tblPr>
      <w:tblGrid>
        <w:gridCol w:w="1804"/>
        <w:gridCol w:w="1315"/>
        <w:gridCol w:w="1417"/>
        <w:gridCol w:w="1276"/>
        <w:gridCol w:w="4536"/>
        <w:gridCol w:w="2888"/>
        <w:gridCol w:w="2357"/>
      </w:tblGrid>
      <w:tr w:rsidR="00DC6E71" w:rsidRPr="00AD1209" w14:paraId="5E77F3BB" w14:textId="77777777" w:rsidTr="00021E9D">
        <w:trPr>
          <w:trHeight w:val="310"/>
        </w:trPr>
        <w:tc>
          <w:tcPr>
            <w:tcW w:w="18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CE7B23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Author and year</w:t>
            </w:r>
          </w:p>
        </w:tc>
        <w:tc>
          <w:tcPr>
            <w:tcW w:w="13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356EDB1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Participants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8E9826E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Study type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3D9BB7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Follow-up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8B8894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Graft</w:t>
            </w:r>
          </w:p>
        </w:tc>
        <w:tc>
          <w:tcPr>
            <w:tcW w:w="288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B039272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Characteristics of lesions</w:t>
            </w:r>
          </w:p>
        </w:tc>
        <w:tc>
          <w:tcPr>
            <w:tcW w:w="235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1602D8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20"/>
                <w:szCs w:val="20"/>
              </w:rPr>
              <w:t>Outcomes</w:t>
            </w:r>
          </w:p>
        </w:tc>
      </w:tr>
      <w:tr w:rsidR="00DC6E71" w:rsidRPr="00AD1209" w14:paraId="2948DE45" w14:textId="77777777" w:rsidTr="00021E9D">
        <w:trPr>
          <w:trHeight w:val="621"/>
        </w:trPr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CE2FEA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Kwak 2014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DB6F1F"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  <w:vertAlign w:val="superscript"/>
              </w:rPr>
              <w:t>[7]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10FBD4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29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9A300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Case series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0EE634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2-10 years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A2435E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Autologous chondrocyte from knee, combined periosteal graft from the proximal or distal tibia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F24E5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CD41A8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1.98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cm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  <w:vertAlign w:val="superscript"/>
              </w:rPr>
              <w:t>2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 in area</w:t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37446C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AOFAS, </w:t>
            </w:r>
            <w:proofErr w:type="spellStart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Tegner</w:t>
            </w:r>
            <w:proofErr w:type="spellEnd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, Finsen, 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>I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maging evaluations</w:t>
            </w:r>
          </w:p>
        </w:tc>
      </w:tr>
      <w:tr w:rsidR="00DC6E71" w:rsidRPr="00AD1209" w14:paraId="1C9A3D79" w14:textId="77777777" w:rsidTr="00021E9D">
        <w:trPr>
          <w:trHeight w:val="621"/>
        </w:trPr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B83BA6E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Giannini 2014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DB6F1F"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  <w:vertAlign w:val="superscript"/>
              </w:rPr>
              <w:t>[21]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7940519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46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49462BA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Case series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B9C60D3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1.2 years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093B3DAC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Autologous chondrocyte from knee, combined hyaluronan scaffold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0B999BF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1.6 cm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  <w:vertAlign w:val="superscript"/>
              </w:rPr>
              <w:t>2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 in area</w:t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B4BF8F3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AOFAS, Histological analysis</w:t>
            </w:r>
          </w:p>
        </w:tc>
      </w:tr>
      <w:tr w:rsidR="00DC6E71" w:rsidRPr="00AD1209" w14:paraId="64DADFFB" w14:textId="77777777" w:rsidTr="00021E9D">
        <w:trPr>
          <w:trHeight w:val="621"/>
        </w:trPr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351176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Baums 2006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DB6F1F"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  <w:vertAlign w:val="superscript"/>
              </w:rPr>
              <w:t>[22]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BD925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12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F65542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Case series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317F45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>5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 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>years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EC600B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Autologous chondrocyte from anterior part of the talus, combined a periosteal flap from the distal tibia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D6802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2.3 cm2 in area</w:t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BB851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AOFAS, Hannover ankle score</w:t>
            </w:r>
          </w:p>
        </w:tc>
      </w:tr>
      <w:tr w:rsidR="00DC6E71" w:rsidRPr="00AD1209" w14:paraId="5BCF4AB7" w14:textId="77777777" w:rsidTr="00021E9D">
        <w:trPr>
          <w:trHeight w:val="621"/>
        </w:trPr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BCF7C59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Anders 2012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DB6F1F"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  <w:vertAlign w:val="superscript"/>
              </w:rPr>
              <w:t>[23]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1E225D8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22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BD29C31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Case series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9BF0400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>5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 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>years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10096C1D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Autologous chondrocyte from lesion site of the talus, combined a collagen type I/III scaffold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4854E87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1.94 cm2 in area</w:t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9228183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AOFAS, VAS, </w:t>
            </w:r>
            <w:proofErr w:type="spellStart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Tegner</w:t>
            </w:r>
            <w:proofErr w:type="spellEnd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, MOCART</w:t>
            </w:r>
          </w:p>
        </w:tc>
      </w:tr>
      <w:tr w:rsidR="00DC6E71" w:rsidRPr="00AD1209" w14:paraId="43E3EC9A" w14:textId="77777777" w:rsidTr="00021E9D">
        <w:trPr>
          <w:trHeight w:val="621"/>
        </w:trPr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723D4D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Gautier 2002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DB6F1F"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  <w:vertAlign w:val="superscript"/>
              </w:rPr>
              <w:t>[27]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A67F40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11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6C90A4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Case series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5CDFA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2 years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EBC6F6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Osteochondral autograft from non-weight-bearing trochlear border of the ipsilateral knee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CAEB9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18 mm*10mm in area</w:t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07C381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AOFAS, Hannover ankle score</w:t>
            </w:r>
          </w:p>
        </w:tc>
      </w:tr>
      <w:tr w:rsidR="00DC6E71" w:rsidRPr="00AD1209" w14:paraId="71E672B9" w14:textId="77777777" w:rsidTr="00021E9D">
        <w:trPr>
          <w:trHeight w:val="310"/>
        </w:trPr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9F8A764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Scranton 2006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DB6F1F"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  <w:vertAlign w:val="superscript"/>
              </w:rPr>
              <w:t>[9]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33A59D4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50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0950431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Case series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FCE8E1E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3 years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022EBEDD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Osteochondral autograft from knee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65CCCF8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8 mm to 20 mm in diameter</w:t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1303823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Karlsson-Peterson Ankle Score </w:t>
            </w:r>
          </w:p>
        </w:tc>
      </w:tr>
      <w:tr w:rsidR="00DC6E71" w:rsidRPr="00AD1209" w14:paraId="0FE82606" w14:textId="77777777" w:rsidTr="00021E9D">
        <w:trPr>
          <w:trHeight w:val="310"/>
        </w:trPr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CC2582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Wei 2023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DB6F1F"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  <w:vertAlign w:val="superscript"/>
              </w:rPr>
              <w:t>[30]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C7C146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4E541F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Case series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FE2438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1 year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C054F4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Osteochondral autograft from ribs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8801F7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10.40±1.86mm in depth; 10.66±1.84mm in diameter</w:t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C014BC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AOFAS, FAAM, MOCART, ICRS</w:t>
            </w:r>
          </w:p>
        </w:tc>
      </w:tr>
      <w:tr w:rsidR="00DC6E71" w:rsidRPr="00AD1209" w14:paraId="6F79529E" w14:textId="77777777" w:rsidTr="00021E9D">
        <w:trPr>
          <w:trHeight w:val="621"/>
        </w:trPr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580770B8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Suh 2024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DB6F1F"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  <w:vertAlign w:val="superscript"/>
              </w:rPr>
              <w:t>[28]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07C3A0E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11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8CC048D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Case series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35D76A6B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>5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 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>years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241A5281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Osteochondral autograft from the lateral talar articular facet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0DBEB38" w14:textId="77777777" w:rsidR="00DC6E71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7.3 mm in depth; </w:t>
            </w:r>
          </w:p>
          <w:p w14:paraId="2FDB7A58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8 to 10 mm in diameter</w:t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1F141E3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AOFAS, VAS, MOCART</w:t>
            </w:r>
          </w:p>
        </w:tc>
      </w:tr>
      <w:tr w:rsidR="00DC6E71" w:rsidRPr="00AD1209" w14:paraId="27A27490" w14:textId="77777777" w:rsidTr="00021E9D">
        <w:trPr>
          <w:trHeight w:val="621"/>
        </w:trPr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63573C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Shi 2022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DB6F1F"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  <w:vertAlign w:val="superscript"/>
              </w:rPr>
              <w:t>[8]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165890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46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5055E5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Retrospective cohort study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FBF3E7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4 years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C8CA38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Osteochondral autograft from knee vs Autologous </w:t>
            </w:r>
            <w:proofErr w:type="spellStart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osteoperiosteal</w:t>
            </w:r>
            <w:proofErr w:type="spellEnd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 from iliac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02B65C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2.17 cm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  <w:vertAlign w:val="superscript"/>
              </w:rPr>
              <w:t>3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 or 2.55 cm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  <w:vertAlign w:val="superscript"/>
              </w:rPr>
              <w:t xml:space="preserve">3 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in volume</w:t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AD677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AOFAS, VAS, </w:t>
            </w:r>
            <w:proofErr w:type="spellStart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Tegner</w:t>
            </w:r>
            <w:proofErr w:type="spellEnd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, MOCART, ICRS</w:t>
            </w:r>
          </w:p>
        </w:tc>
      </w:tr>
      <w:tr w:rsidR="00DC6E71" w:rsidRPr="00AD1209" w14:paraId="04C45088" w14:textId="77777777" w:rsidTr="00021E9D">
        <w:trPr>
          <w:trHeight w:val="621"/>
        </w:trPr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E5E9048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Cao 2024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DB6F1F"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  <w:vertAlign w:val="superscript"/>
              </w:rPr>
              <w:t>[25]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2CD1D713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31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934C13B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Case series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7E5B94B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>2.5 years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53024950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Autologous </w:t>
            </w:r>
            <w:proofErr w:type="spellStart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osteoperiosteal</w:t>
            </w:r>
            <w:proofErr w:type="spellEnd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 and cancellous bone from iliac or </w:t>
            </w:r>
            <w:bookmarkStart w:id="0" w:name="_Hlk186907268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distal tibia</w:t>
            </w:r>
            <w:bookmarkEnd w:id="0"/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9C35E74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8.5±1.8mm in depth; 81.1±37.4mm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  <w:vertAlign w:val="superscript"/>
              </w:rPr>
              <w:t>2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 in area</w:t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770B3A31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AOFAS, VAS, SF‐36</w:t>
            </w:r>
          </w:p>
        </w:tc>
      </w:tr>
      <w:tr w:rsidR="00DC6E71" w:rsidRPr="00AD1209" w14:paraId="575F6380" w14:textId="77777777" w:rsidTr="00021E9D">
        <w:trPr>
          <w:trHeight w:val="621"/>
        </w:trPr>
        <w:tc>
          <w:tcPr>
            <w:tcW w:w="18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522614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Guo 2022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DB6F1F"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  <w:vertAlign w:val="superscript"/>
              </w:rPr>
              <w:t>[24]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8BC1B4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26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92FAB8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Case series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A94701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>2.5 years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15A2E5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Autologous </w:t>
            </w:r>
            <w:proofErr w:type="spellStart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osteoperiosteal</w:t>
            </w:r>
            <w:proofErr w:type="spellEnd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 from </w:t>
            </w:r>
            <w:bookmarkStart w:id="1" w:name="_Hlk186907256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iliac</w:t>
            </w:r>
            <w:bookmarkEnd w:id="1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, combined recombinant human bone morphogenetic protein 2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16E123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10.7±3.5mm in depth; </w:t>
            </w:r>
          </w:p>
          <w:p w14:paraId="5BC7F386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13.6±4.0mm in diameter</w:t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D6469B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FFI, AOFAS, VAS, </w:t>
            </w:r>
            <w:proofErr w:type="spellStart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Tegner</w:t>
            </w:r>
            <w:proofErr w:type="spellEnd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, MOCART</w:t>
            </w:r>
          </w:p>
        </w:tc>
      </w:tr>
      <w:tr w:rsidR="00DC6E71" w:rsidRPr="00AD1209" w14:paraId="1ECDD641" w14:textId="77777777" w:rsidTr="00021E9D">
        <w:trPr>
          <w:trHeight w:val="621"/>
        </w:trPr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center"/>
            <w:hideMark/>
          </w:tcPr>
          <w:p w14:paraId="01791260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Yang 2024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 xml:space="preserve"> </w:t>
            </w:r>
            <w:r w:rsidRPr="00DB6F1F"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  <w:vertAlign w:val="superscript"/>
              </w:rPr>
              <w:t>[26]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center"/>
            <w:hideMark/>
          </w:tcPr>
          <w:p w14:paraId="1CC29D6E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55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center"/>
            <w:hideMark/>
          </w:tcPr>
          <w:p w14:paraId="711E5369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Retrospective cohort study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center"/>
            <w:hideMark/>
          </w:tcPr>
          <w:p w14:paraId="3372CF4E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>5</w:t>
            </w: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 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0"/>
                <w:szCs w:val="20"/>
              </w:rPr>
              <w:t>years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center"/>
            <w:hideMark/>
          </w:tcPr>
          <w:p w14:paraId="5687B1A3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Autologous </w:t>
            </w:r>
            <w:proofErr w:type="spellStart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osteoperiosteal</w:t>
            </w:r>
            <w:proofErr w:type="spellEnd"/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 xml:space="preserve"> from iliac vs bone marrow stimulation</w:t>
            </w:r>
          </w:p>
        </w:tc>
        <w:tc>
          <w:tcPr>
            <w:tcW w:w="28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center"/>
            <w:hideMark/>
          </w:tcPr>
          <w:p w14:paraId="2EB68CF0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AOPT group: 11.7 ± 2.8 mm in depth; 126.5±18mm2 in area</w:t>
            </w:r>
          </w:p>
        </w:tc>
        <w:tc>
          <w:tcPr>
            <w:tcW w:w="23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center"/>
            <w:hideMark/>
          </w:tcPr>
          <w:p w14:paraId="2C499B0C" w14:textId="77777777" w:rsidR="00DC6E71" w:rsidRPr="00AD1209" w:rsidRDefault="00DC6E71" w:rsidP="00021E9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</w:pPr>
            <w:r w:rsidRPr="00AD1209">
              <w:rPr>
                <w:rFonts w:ascii="Times New Roman" w:eastAsia="等线" w:hAnsi="Times New Roman" w:cs="Times New Roman"/>
                <w:color w:val="000000"/>
                <w:kern w:val="0"/>
                <w:sz w:val="20"/>
                <w:szCs w:val="20"/>
              </w:rPr>
              <w:t>AOFAS, VAS, FAAM</w:t>
            </w:r>
          </w:p>
        </w:tc>
      </w:tr>
    </w:tbl>
    <w:p w14:paraId="59A14C9C" w14:textId="77777777" w:rsidR="00DC6E71" w:rsidRPr="00006CF8" w:rsidRDefault="00DC6E71" w:rsidP="00DC6E71">
      <w:pPr>
        <w:rPr>
          <w:rFonts w:ascii="Times New Roman" w:hAnsi="Times New Roman" w:cs="Times New Roman"/>
          <w:sz w:val="22"/>
        </w:rPr>
      </w:pPr>
      <w:r w:rsidRPr="00C6439F">
        <w:rPr>
          <w:rFonts w:ascii="Times New Roman" w:hAnsi="Times New Roman" w:cs="Times New Roman" w:hint="eastAsia"/>
          <w:i/>
          <w:iCs/>
          <w:sz w:val="22"/>
        </w:rPr>
        <w:t>Abbreviations</w:t>
      </w:r>
      <w:r>
        <w:rPr>
          <w:rFonts w:ascii="Times New Roman" w:hAnsi="Times New Roman" w:cs="Times New Roman" w:hint="eastAsia"/>
          <w:sz w:val="22"/>
        </w:rPr>
        <w:t xml:space="preserve">: </w:t>
      </w:r>
      <w:r w:rsidRPr="00C25BF6">
        <w:rPr>
          <w:rFonts w:ascii="Times New Roman" w:hAnsi="Times New Roman" w:cs="Times New Roman"/>
          <w:sz w:val="22"/>
        </w:rPr>
        <w:t>AOFAS</w:t>
      </w:r>
      <w:r>
        <w:rPr>
          <w:rFonts w:ascii="Times New Roman" w:hAnsi="Times New Roman" w:cs="Times New Roman" w:hint="eastAsia"/>
          <w:sz w:val="22"/>
        </w:rPr>
        <w:t xml:space="preserve">, </w:t>
      </w:r>
      <w:r w:rsidRPr="00C25BF6">
        <w:rPr>
          <w:rFonts w:ascii="Times New Roman" w:hAnsi="Times New Roman" w:cs="Times New Roman" w:hint="eastAsia"/>
          <w:sz w:val="22"/>
        </w:rPr>
        <w:t>A</w:t>
      </w:r>
      <w:r w:rsidRPr="00C25BF6">
        <w:rPr>
          <w:rFonts w:ascii="Times New Roman" w:hAnsi="Times New Roman" w:cs="Times New Roman"/>
          <w:sz w:val="22"/>
        </w:rPr>
        <w:t xml:space="preserve">merican </w:t>
      </w:r>
      <w:proofErr w:type="spellStart"/>
      <w:r w:rsidRPr="00C25BF6">
        <w:rPr>
          <w:rFonts w:ascii="Times New Roman" w:hAnsi="Times New Roman" w:cs="Times New Roman"/>
          <w:sz w:val="22"/>
        </w:rPr>
        <w:t>Orthopaedic</w:t>
      </w:r>
      <w:proofErr w:type="spellEnd"/>
      <w:r w:rsidRPr="00C25BF6">
        <w:rPr>
          <w:rFonts w:ascii="Times New Roman" w:hAnsi="Times New Roman" w:cs="Times New Roman"/>
          <w:sz w:val="22"/>
        </w:rPr>
        <w:t xml:space="preserve"> Foot and Ankle Society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Pr="00C25BF6">
        <w:rPr>
          <w:rFonts w:ascii="Times New Roman" w:hAnsi="Times New Roman" w:cs="Times New Roman"/>
          <w:sz w:val="22"/>
        </w:rPr>
        <w:t>score</w:t>
      </w:r>
      <w:r>
        <w:rPr>
          <w:rFonts w:ascii="Times New Roman" w:hAnsi="Times New Roman" w:cs="Times New Roman" w:hint="eastAsia"/>
          <w:sz w:val="22"/>
        </w:rPr>
        <w:t xml:space="preserve">; </w:t>
      </w:r>
      <w:r w:rsidRPr="00C25BF6">
        <w:rPr>
          <w:rFonts w:ascii="Times New Roman" w:hAnsi="Times New Roman" w:cs="Times New Roman"/>
          <w:sz w:val="22"/>
        </w:rPr>
        <w:t>FAAM</w:t>
      </w:r>
      <w:r>
        <w:rPr>
          <w:rFonts w:ascii="Times New Roman" w:hAnsi="Times New Roman" w:cs="Times New Roman" w:hint="eastAsia"/>
          <w:sz w:val="22"/>
        </w:rPr>
        <w:t xml:space="preserve">, </w:t>
      </w:r>
      <w:r w:rsidRPr="00C25BF6">
        <w:rPr>
          <w:rFonts w:ascii="Times New Roman" w:hAnsi="Times New Roman" w:cs="Times New Roman"/>
          <w:sz w:val="22"/>
        </w:rPr>
        <w:t>Foot and Ankle Activity Measure</w:t>
      </w:r>
      <w:r>
        <w:rPr>
          <w:rFonts w:ascii="Times New Roman" w:hAnsi="Times New Roman" w:cs="Times New Roman" w:hint="eastAsia"/>
          <w:sz w:val="22"/>
        </w:rPr>
        <w:t xml:space="preserve">; </w:t>
      </w:r>
      <w:r w:rsidRPr="0019520A">
        <w:rPr>
          <w:rFonts w:ascii="Times New Roman" w:hAnsi="Times New Roman" w:cs="Times New Roman"/>
          <w:sz w:val="22"/>
        </w:rPr>
        <w:t>ICRS, International Cartilage Repair Society score; MOCART, Magnetic Resonance Observation of Cartilage Repair Tissue score</w:t>
      </w:r>
      <w:r>
        <w:rPr>
          <w:rFonts w:ascii="Times New Roman" w:hAnsi="Times New Roman" w:cs="Times New Roman" w:hint="eastAsia"/>
          <w:sz w:val="22"/>
        </w:rPr>
        <w:t xml:space="preserve">; VAS, </w:t>
      </w:r>
      <w:r w:rsidRPr="0019520A">
        <w:rPr>
          <w:rFonts w:ascii="Times New Roman" w:hAnsi="Times New Roman" w:cs="Times New Roman"/>
          <w:sz w:val="22"/>
        </w:rPr>
        <w:t>Visual Analogue Scale</w:t>
      </w:r>
      <w:r>
        <w:rPr>
          <w:rFonts w:ascii="Times New Roman" w:hAnsi="Times New Roman" w:cs="Times New Roman" w:hint="eastAsia"/>
          <w:sz w:val="22"/>
        </w:rPr>
        <w:t xml:space="preserve">; </w:t>
      </w:r>
      <w:r w:rsidRPr="0019520A">
        <w:rPr>
          <w:rFonts w:ascii="Times New Roman" w:hAnsi="Times New Roman" w:cs="Times New Roman"/>
          <w:sz w:val="22"/>
        </w:rPr>
        <w:t>SF‐36</w:t>
      </w:r>
      <w:r>
        <w:rPr>
          <w:rFonts w:ascii="Times New Roman" w:hAnsi="Times New Roman" w:cs="Times New Roman" w:hint="eastAsia"/>
          <w:sz w:val="22"/>
        </w:rPr>
        <w:t xml:space="preserve">, </w:t>
      </w:r>
      <w:r w:rsidRPr="0019520A">
        <w:rPr>
          <w:rFonts w:ascii="Times New Roman" w:hAnsi="Times New Roman" w:cs="Times New Roman"/>
          <w:sz w:val="22"/>
        </w:rPr>
        <w:t>36</w:t>
      </w:r>
      <w:r>
        <w:rPr>
          <w:rFonts w:ascii="Times New Roman" w:hAnsi="Times New Roman" w:cs="Times New Roman" w:hint="eastAsia"/>
          <w:sz w:val="22"/>
        </w:rPr>
        <w:t xml:space="preserve"> </w:t>
      </w:r>
      <w:r w:rsidRPr="0019520A">
        <w:rPr>
          <w:rFonts w:ascii="Times New Roman" w:hAnsi="Times New Roman" w:cs="Times New Roman"/>
          <w:sz w:val="22"/>
        </w:rPr>
        <w:t>item Short‐Form Health Survey</w:t>
      </w:r>
      <w:r>
        <w:rPr>
          <w:rFonts w:ascii="Times New Roman" w:hAnsi="Times New Roman" w:cs="Times New Roman" w:hint="eastAsia"/>
          <w:sz w:val="22"/>
        </w:rPr>
        <w:t xml:space="preserve">; FFI, </w:t>
      </w:r>
      <w:r w:rsidRPr="00AE00AD">
        <w:rPr>
          <w:rFonts w:ascii="Times New Roman" w:hAnsi="Times New Roman" w:cs="Times New Roman"/>
          <w:sz w:val="22"/>
        </w:rPr>
        <w:t>Foot Function Index</w:t>
      </w:r>
      <w:r>
        <w:rPr>
          <w:rFonts w:ascii="Times New Roman" w:hAnsi="Times New Roman" w:cs="Times New Roman" w:hint="eastAsia"/>
          <w:sz w:val="22"/>
        </w:rPr>
        <w:t xml:space="preserve">; OLT, </w:t>
      </w:r>
      <w:bookmarkStart w:id="2" w:name="OLE_LINK1"/>
      <w:r>
        <w:rPr>
          <w:rFonts w:ascii="Times New Roman" w:hAnsi="Times New Roman" w:cs="Times New Roman" w:hint="eastAsia"/>
          <w:sz w:val="22"/>
        </w:rPr>
        <w:t>o</w:t>
      </w:r>
      <w:r w:rsidRPr="00AE00AD">
        <w:rPr>
          <w:rFonts w:ascii="Times New Roman" w:hAnsi="Times New Roman" w:cs="Times New Roman"/>
          <w:sz w:val="22"/>
        </w:rPr>
        <w:t>steochondral lesions of the talus</w:t>
      </w:r>
      <w:bookmarkEnd w:id="2"/>
      <w:r>
        <w:rPr>
          <w:rFonts w:ascii="Times New Roman" w:hAnsi="Times New Roman" w:cs="Times New Roman" w:hint="eastAsia"/>
          <w:sz w:val="22"/>
        </w:rPr>
        <w:t>; AOPT, a</w:t>
      </w:r>
      <w:r w:rsidRPr="00BF6219">
        <w:rPr>
          <w:rFonts w:ascii="Times New Roman" w:hAnsi="Times New Roman" w:cs="Times New Roman"/>
          <w:sz w:val="22"/>
        </w:rPr>
        <w:t xml:space="preserve">utologous </w:t>
      </w:r>
      <w:proofErr w:type="spellStart"/>
      <w:r w:rsidRPr="00BF6219">
        <w:rPr>
          <w:rFonts w:ascii="Times New Roman" w:hAnsi="Times New Roman" w:cs="Times New Roman"/>
          <w:sz w:val="22"/>
        </w:rPr>
        <w:t>osteoperiosteal</w:t>
      </w:r>
      <w:proofErr w:type="spellEnd"/>
      <w:r>
        <w:rPr>
          <w:rFonts w:ascii="Times New Roman" w:hAnsi="Times New Roman" w:cs="Times New Roman" w:hint="eastAsia"/>
          <w:sz w:val="22"/>
        </w:rPr>
        <w:t xml:space="preserve"> transplantation. </w:t>
      </w:r>
    </w:p>
    <w:p w14:paraId="5586C847" w14:textId="77777777" w:rsidR="00D4214E" w:rsidRDefault="00D4214E">
      <w:pPr>
        <w:rPr>
          <w:rFonts w:ascii="Times New Roman" w:hAnsi="Times New Roman" w:cs="Times New Roman"/>
        </w:rPr>
        <w:sectPr w:rsidR="00D4214E" w:rsidSect="00DC6E71">
          <w:pgSz w:w="16838" w:h="11906" w:orient="landscape"/>
          <w:pgMar w:top="720" w:right="720" w:bottom="720" w:left="720" w:header="851" w:footer="992" w:gutter="0"/>
          <w:cols w:space="425"/>
          <w:docGrid w:type="lines" w:linePitch="312"/>
        </w:sectPr>
      </w:pPr>
    </w:p>
    <w:p w14:paraId="3F581A7B" w14:textId="77777777" w:rsidR="00077207" w:rsidRPr="00F520F6" w:rsidRDefault="00077207" w:rsidP="0007720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520F6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 xml:space="preserve">Table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S2</w:t>
      </w:r>
      <w:r w:rsidRPr="00F520F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Baseline</w:t>
      </w:r>
      <w:r w:rsidRPr="00F520F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520F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characteristics of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NO.4</w:t>
      </w:r>
      <w:r w:rsidRPr="00F520F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patient.</w:t>
      </w:r>
    </w:p>
    <w:tbl>
      <w:tblPr>
        <w:tblW w:w="10711" w:type="dxa"/>
        <w:tblLook w:val="04A0" w:firstRow="1" w:lastRow="0" w:firstColumn="1" w:lastColumn="0" w:noHBand="0" w:noVBand="1"/>
      </w:tblPr>
      <w:tblGrid>
        <w:gridCol w:w="1408"/>
        <w:gridCol w:w="936"/>
        <w:gridCol w:w="631"/>
        <w:gridCol w:w="2861"/>
        <w:gridCol w:w="1603"/>
        <w:gridCol w:w="2037"/>
        <w:gridCol w:w="1235"/>
      </w:tblGrid>
      <w:tr w:rsidR="00077207" w:rsidRPr="00F520F6" w14:paraId="68CF626A" w14:textId="77777777" w:rsidTr="00581155">
        <w:trPr>
          <w:trHeight w:val="322"/>
        </w:trPr>
        <w:tc>
          <w:tcPr>
            <w:tcW w:w="14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FCA3F8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F520F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Patient No.</w:t>
            </w:r>
          </w:p>
        </w:tc>
        <w:tc>
          <w:tcPr>
            <w:tcW w:w="9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42B3F47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F520F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Gender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276CFF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F520F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Age</w:t>
            </w:r>
          </w:p>
        </w:tc>
        <w:tc>
          <w:tcPr>
            <w:tcW w:w="28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58D432F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F520F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Follow-up Duration (years)</w:t>
            </w:r>
          </w:p>
        </w:tc>
        <w:tc>
          <w:tcPr>
            <w:tcW w:w="160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574607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F520F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Lesion site</w:t>
            </w:r>
          </w:p>
        </w:tc>
        <w:tc>
          <w:tcPr>
            <w:tcW w:w="20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A266038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F520F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Lesion area (cm^2)</w:t>
            </w:r>
          </w:p>
        </w:tc>
        <w:tc>
          <w:tcPr>
            <w:tcW w:w="12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4630EA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F520F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Depth (cm)</w:t>
            </w:r>
          </w:p>
        </w:tc>
      </w:tr>
      <w:tr w:rsidR="00077207" w:rsidRPr="00F520F6" w14:paraId="56FE2E4A" w14:textId="77777777" w:rsidTr="00581155">
        <w:trPr>
          <w:trHeight w:val="322"/>
        </w:trPr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6FF5B70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</w:pPr>
            <w:r>
              <w:rPr>
                <w:rFonts w:ascii="宋体" w:eastAsia="宋体" w:hAnsi="宋体" w:cs="Times New Roman" w:hint="eastAsia"/>
                <w:color w:val="000000"/>
                <w:kern w:val="0"/>
                <w:sz w:val="22"/>
              </w:rPr>
              <w:t>④</w:t>
            </w:r>
          </w:p>
        </w:tc>
        <w:tc>
          <w:tcPr>
            <w:tcW w:w="9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D63DD36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B2A2E78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31</w:t>
            </w:r>
          </w:p>
        </w:tc>
        <w:tc>
          <w:tcPr>
            <w:tcW w:w="28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C4580DE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6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16DA53A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5F7ACD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Left (Medial)</w:t>
            </w:r>
          </w:p>
        </w:tc>
        <w:tc>
          <w:tcPr>
            <w:tcW w:w="20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668A772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51B62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1.6*1.5</w:t>
            </w: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7EC802E" w14:textId="77777777" w:rsidR="00077207" w:rsidRPr="00F520F6" w:rsidRDefault="00077207" w:rsidP="00581155">
            <w:pPr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51B62">
              <w:rPr>
                <w:rFonts w:ascii="Times New Roman" w:eastAsia="等线" w:hAnsi="Times New Roman" w:cs="Times New Roman" w:hint="eastAsia"/>
                <w:color w:val="000000"/>
                <w:kern w:val="0"/>
                <w:sz w:val="22"/>
              </w:rPr>
              <w:t>1.3</w:t>
            </w:r>
          </w:p>
        </w:tc>
      </w:tr>
    </w:tbl>
    <w:p w14:paraId="7042B4F5" w14:textId="77777777" w:rsidR="00077207" w:rsidRDefault="00077207" w:rsidP="00077207"/>
    <w:p w14:paraId="5B04756F" w14:textId="77777777" w:rsidR="00077207" w:rsidRDefault="00077207">
      <w:pPr>
        <w:rPr>
          <w:rFonts w:ascii="Times New Roman" w:hAnsi="Times New Roman" w:cs="Times New Roman"/>
          <w:b/>
          <w:bCs/>
          <w:sz w:val="22"/>
        </w:rPr>
      </w:pPr>
    </w:p>
    <w:p w14:paraId="30C6728F" w14:textId="1A82654E" w:rsidR="00DC6E71" w:rsidRDefault="00077207">
      <w:pPr>
        <w:rPr>
          <w:rFonts w:ascii="Times New Roman" w:hAnsi="Times New Roman" w:cs="Times New Roman" w:hint="eastAsia"/>
        </w:rPr>
      </w:pPr>
      <w:r w:rsidRPr="00CD41A8">
        <w:rPr>
          <w:rFonts w:ascii="Times New Roman" w:hAnsi="Times New Roman" w:cs="Times New Roman"/>
          <w:b/>
          <w:bCs/>
          <w:sz w:val="22"/>
        </w:rPr>
        <w:t xml:space="preserve">Table </w:t>
      </w:r>
      <w:r>
        <w:rPr>
          <w:rFonts w:ascii="Times New Roman" w:hAnsi="Times New Roman" w:cs="Times New Roman" w:hint="eastAsia"/>
          <w:b/>
          <w:bCs/>
          <w:sz w:val="22"/>
        </w:rPr>
        <w:t>S</w:t>
      </w:r>
      <w:r>
        <w:rPr>
          <w:rFonts w:ascii="Times New Roman" w:hAnsi="Times New Roman" w:cs="Times New Roman" w:hint="eastAsia"/>
          <w:b/>
          <w:bCs/>
          <w:sz w:val="22"/>
        </w:rPr>
        <w:t>3</w:t>
      </w:r>
      <w:r w:rsidRPr="00CD41A8">
        <w:rPr>
          <w:rFonts w:ascii="Times New Roman" w:hAnsi="Times New Roman" w:cs="Times New Roman"/>
          <w:b/>
          <w:bCs/>
          <w:sz w:val="22"/>
        </w:rPr>
        <w:t>.</w:t>
      </w:r>
      <w:r w:rsidRPr="00077207">
        <w:rPr>
          <w:rFonts w:hint="eastAsia"/>
        </w:rPr>
        <w:t xml:space="preserve"> </w:t>
      </w:r>
      <w:r w:rsidRPr="00077207">
        <w:rPr>
          <w:rFonts w:ascii="Times New Roman" w:hAnsi="Times New Roman" w:cs="Times New Roman" w:hint="eastAsia"/>
          <w:b/>
          <w:bCs/>
          <w:sz w:val="22"/>
        </w:rPr>
        <w:t>Functional and Radiographic Outcomes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of NO.4 patient</w:t>
      </w:r>
    </w:p>
    <w:tbl>
      <w:tblPr>
        <w:tblW w:w="15225" w:type="dxa"/>
        <w:tblLook w:val="04A0" w:firstRow="1" w:lastRow="0" w:firstColumn="1" w:lastColumn="0" w:noHBand="0" w:noVBand="1"/>
      </w:tblPr>
      <w:tblGrid>
        <w:gridCol w:w="1346"/>
        <w:gridCol w:w="937"/>
        <w:gridCol w:w="1661"/>
        <w:gridCol w:w="265"/>
        <w:gridCol w:w="882"/>
        <w:gridCol w:w="1564"/>
        <w:gridCol w:w="322"/>
        <w:gridCol w:w="1026"/>
        <w:gridCol w:w="1420"/>
        <w:gridCol w:w="379"/>
        <w:gridCol w:w="1130"/>
        <w:gridCol w:w="1563"/>
        <w:gridCol w:w="303"/>
        <w:gridCol w:w="876"/>
        <w:gridCol w:w="1551"/>
      </w:tblGrid>
      <w:tr w:rsidR="00077207" w:rsidRPr="00077207" w14:paraId="34DF6B6A" w14:textId="77777777" w:rsidTr="00077207">
        <w:trPr>
          <w:trHeight w:val="303"/>
        </w:trPr>
        <w:tc>
          <w:tcPr>
            <w:tcW w:w="1346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5DE54613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Patient No.</w:t>
            </w:r>
          </w:p>
        </w:tc>
        <w:tc>
          <w:tcPr>
            <w:tcW w:w="25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BE2636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AOFAS</w:t>
            </w:r>
          </w:p>
        </w:tc>
        <w:tc>
          <w:tcPr>
            <w:tcW w:w="26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CC140" w14:textId="7F66874D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24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61EBA12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NRS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D52E43" w14:textId="45D9FE01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24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45CA57E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FAAM/ADL</w:t>
            </w:r>
          </w:p>
        </w:tc>
        <w:tc>
          <w:tcPr>
            <w:tcW w:w="3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5B502" w14:textId="23D2A25B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A3DC638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FAAM/Sports</w:t>
            </w:r>
          </w:p>
        </w:tc>
        <w:tc>
          <w:tcPr>
            <w:tcW w:w="30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A50E6" w14:textId="4D061DAF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24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E2E64D7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Tegner</w:t>
            </w:r>
            <w:proofErr w:type="spellEnd"/>
          </w:p>
        </w:tc>
      </w:tr>
      <w:tr w:rsidR="00077207" w:rsidRPr="00077207" w14:paraId="33946B74" w14:textId="77777777" w:rsidTr="00077207">
        <w:trPr>
          <w:trHeight w:val="303"/>
        </w:trPr>
        <w:tc>
          <w:tcPr>
            <w:tcW w:w="1346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289D24" w14:textId="77777777" w:rsidR="00077207" w:rsidRPr="00077207" w:rsidRDefault="00077207" w:rsidP="00077207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2173E7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Pre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682848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 year</w:t>
            </w:r>
          </w:p>
        </w:tc>
        <w:tc>
          <w:tcPr>
            <w:tcW w:w="2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DE10F2" w14:textId="1B617F4C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3D0D00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2880DB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 year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EE432D2" w14:textId="56F23C29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7E4CEC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59E122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 year</w:t>
            </w:r>
          </w:p>
        </w:tc>
        <w:tc>
          <w:tcPr>
            <w:tcW w:w="3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1EC8AB" w14:textId="62AB3F71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6051093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Pre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B59CA0C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 year</w:t>
            </w:r>
          </w:p>
        </w:tc>
        <w:tc>
          <w:tcPr>
            <w:tcW w:w="3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EA8DE63" w14:textId="7EAD8E9F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F68665E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Pre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2BD4EE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 year</w:t>
            </w:r>
          </w:p>
        </w:tc>
      </w:tr>
      <w:tr w:rsidR="00077207" w:rsidRPr="00077207" w14:paraId="6E51B2D0" w14:textId="77777777" w:rsidTr="00077207">
        <w:trPr>
          <w:trHeight w:val="303"/>
        </w:trPr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EB156F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8A22A6D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50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426F0A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85</w:t>
            </w:r>
          </w:p>
        </w:tc>
        <w:tc>
          <w:tcPr>
            <w:tcW w:w="2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FAAAB7F" w14:textId="065D56DD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821150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5DEEC5F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41EEF34" w14:textId="25FADBE5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CB521E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54.8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1A1386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96.4</w:t>
            </w:r>
          </w:p>
        </w:tc>
        <w:tc>
          <w:tcPr>
            <w:tcW w:w="3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6BF895" w14:textId="5EADCFB4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2C6477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42.9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16F822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75</w:t>
            </w:r>
          </w:p>
        </w:tc>
        <w:tc>
          <w:tcPr>
            <w:tcW w:w="3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39EE18" w14:textId="634577F9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6FDBF9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56B459" w14:textId="77777777" w:rsidR="00077207" w:rsidRPr="00077207" w:rsidRDefault="00077207" w:rsidP="00077207">
            <w:pPr>
              <w:spacing w:line="240" w:lineRule="auto"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07720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</w:tbl>
    <w:p w14:paraId="48DA308D" w14:textId="652A48D6" w:rsidR="00077207" w:rsidRDefault="00077207">
      <w:pPr>
        <w:rPr>
          <w:rFonts w:ascii="Times New Roman" w:hAnsi="Times New Roman" w:cs="Times New Roman"/>
        </w:rPr>
      </w:pPr>
      <w:r w:rsidRPr="00077207">
        <w:rPr>
          <w:rFonts w:ascii="Times New Roman" w:hAnsi="Times New Roman" w:cs="Times New Roman" w:hint="eastAsia"/>
        </w:rPr>
        <w:t xml:space="preserve">AOFAS, American </w:t>
      </w:r>
      <w:proofErr w:type="spellStart"/>
      <w:r w:rsidRPr="00077207">
        <w:rPr>
          <w:rFonts w:ascii="Times New Roman" w:hAnsi="Times New Roman" w:cs="Times New Roman" w:hint="eastAsia"/>
        </w:rPr>
        <w:t>Orthopaedic</w:t>
      </w:r>
      <w:proofErr w:type="spellEnd"/>
      <w:r w:rsidRPr="00077207">
        <w:rPr>
          <w:rFonts w:ascii="Times New Roman" w:hAnsi="Times New Roman" w:cs="Times New Roman" w:hint="eastAsia"/>
        </w:rPr>
        <w:t xml:space="preserve"> Foot and Ankle Society score; FAAM/ADL, Foot and Ankle Activity Measure/Activities of Daily Living score; FAAM/ Sports, Foot and Ankle Activity Measure/Sports score.</w:t>
      </w:r>
    </w:p>
    <w:p w14:paraId="22392484" w14:textId="77777777" w:rsidR="00077207" w:rsidRDefault="00077207">
      <w:pPr>
        <w:rPr>
          <w:rFonts w:ascii="Times New Roman" w:hAnsi="Times New Roman" w:cs="Times New Roman"/>
        </w:rPr>
        <w:sectPr w:rsidR="00077207" w:rsidSect="00DC6E71">
          <w:pgSz w:w="16838" w:h="11906" w:orient="landscape"/>
          <w:pgMar w:top="720" w:right="720" w:bottom="720" w:left="720" w:header="851" w:footer="992" w:gutter="0"/>
          <w:cols w:space="425"/>
          <w:docGrid w:type="lines" w:linePitch="312"/>
        </w:sectPr>
      </w:pPr>
    </w:p>
    <w:p w14:paraId="4CE3A9D2" w14:textId="0836DFE1" w:rsidR="00077207" w:rsidRDefault="00077207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6EC5FBD" wp14:editId="7683A67F">
            <wp:extent cx="9777730" cy="4914265"/>
            <wp:effectExtent l="0" t="0" r="0" b="635"/>
            <wp:docPr id="20240834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91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9E13E" w14:textId="3D38AACF" w:rsidR="00077207" w:rsidRDefault="00077207">
      <w:pPr>
        <w:rPr>
          <w:rFonts w:ascii="Times New Roman" w:hAnsi="Times New Roman" w:cs="Times New Roman"/>
          <w:b/>
          <w:bCs/>
          <w:sz w:val="22"/>
        </w:rPr>
      </w:pPr>
      <w:r w:rsidRPr="00077207">
        <w:rPr>
          <w:rFonts w:ascii="Times New Roman" w:hAnsi="Times New Roman" w:cs="Times New Roman" w:hint="eastAsia"/>
          <w:b/>
          <w:bCs/>
          <w:sz w:val="22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2"/>
        </w:rPr>
        <w:t>S2</w:t>
      </w:r>
      <w:r w:rsidRPr="00077207">
        <w:rPr>
          <w:rFonts w:ascii="Times New Roman" w:hAnsi="Times New Roman" w:cs="Times New Roman" w:hint="eastAsia"/>
          <w:b/>
          <w:bCs/>
          <w:sz w:val="22"/>
        </w:rPr>
        <w:t xml:space="preserve">. Evaluations of </w:t>
      </w:r>
      <w:r w:rsidRPr="00077207">
        <w:rPr>
          <w:rFonts w:ascii="Times New Roman" w:hAnsi="Times New Roman" w:cs="Times New Roman" w:hint="eastAsia"/>
          <w:b/>
          <w:bCs/>
          <w:sz w:val="22"/>
        </w:rPr>
        <w:t>preoperative and 1-year postoperative i</w:t>
      </w:r>
      <w:r w:rsidRPr="00077207">
        <w:rPr>
          <w:rFonts w:ascii="Times New Roman" w:hAnsi="Times New Roman" w:cs="Times New Roman" w:hint="eastAsia"/>
          <w:b/>
          <w:bCs/>
          <w:sz w:val="22"/>
        </w:rPr>
        <w:t>maging outcomes.</w:t>
      </w:r>
    </w:p>
    <w:p w14:paraId="580EE2A9" w14:textId="77777777" w:rsidR="00077207" w:rsidRDefault="00077207">
      <w:pPr>
        <w:rPr>
          <w:rFonts w:ascii="Times New Roman" w:hAnsi="Times New Roman" w:cs="Times New Roman"/>
          <w:b/>
          <w:bCs/>
          <w:sz w:val="22"/>
        </w:rPr>
        <w:sectPr w:rsidR="00077207" w:rsidSect="00DC6E71">
          <w:pgSz w:w="16838" w:h="11906" w:orient="landscape"/>
          <w:pgMar w:top="720" w:right="720" w:bottom="720" w:left="720" w:header="851" w:footer="992" w:gutter="0"/>
          <w:cols w:space="425"/>
          <w:docGrid w:type="lines" w:linePitch="312"/>
        </w:sectPr>
      </w:pPr>
    </w:p>
    <w:p w14:paraId="766D3ECB" w14:textId="73E319AE" w:rsidR="00077207" w:rsidRDefault="00077207">
      <w:pPr>
        <w:rPr>
          <w:rFonts w:ascii="Times New Roman" w:hAnsi="Times New Roman" w:cs="Times New Roman"/>
          <w:b/>
          <w:bCs/>
          <w:sz w:val="22"/>
        </w:rPr>
      </w:pPr>
      <w:r>
        <w:rPr>
          <w:noProof/>
        </w:rPr>
        <w:lastRenderedPageBreak/>
        <w:drawing>
          <wp:inline distT="0" distB="0" distL="0" distR="0" wp14:anchorId="42E14C03" wp14:editId="18830C82">
            <wp:extent cx="9777730" cy="4959985"/>
            <wp:effectExtent l="0" t="0" r="0" b="0"/>
            <wp:docPr id="9301316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95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403F0" w14:textId="42E41068" w:rsidR="00077207" w:rsidRDefault="00077207">
      <w:pPr>
        <w:rPr>
          <w:rFonts w:ascii="Times New Roman" w:hAnsi="Times New Roman" w:cs="Times New Roman"/>
          <w:b/>
          <w:bCs/>
          <w:sz w:val="22"/>
        </w:rPr>
      </w:pPr>
      <w:r w:rsidRPr="00077207">
        <w:rPr>
          <w:rFonts w:ascii="Times New Roman" w:hAnsi="Times New Roman" w:cs="Times New Roman" w:hint="eastAsia"/>
          <w:b/>
          <w:bCs/>
          <w:sz w:val="22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2"/>
        </w:rPr>
        <w:t>S</w:t>
      </w:r>
      <w:r>
        <w:rPr>
          <w:rFonts w:ascii="Times New Roman" w:hAnsi="Times New Roman" w:cs="Times New Roman" w:hint="eastAsia"/>
          <w:b/>
          <w:bCs/>
          <w:sz w:val="22"/>
        </w:rPr>
        <w:t>3</w:t>
      </w:r>
      <w:r w:rsidRPr="00077207">
        <w:rPr>
          <w:rFonts w:ascii="Times New Roman" w:hAnsi="Times New Roman" w:cs="Times New Roman" w:hint="eastAsia"/>
          <w:b/>
          <w:bCs/>
          <w:sz w:val="22"/>
        </w:rPr>
        <w:t xml:space="preserve">. The surgical procedure of autologous costal cartilage transplantation for the treatment of </w:t>
      </w:r>
      <w:r w:rsidR="00F24FC9" w:rsidRPr="00F24FC9">
        <w:rPr>
          <w:rFonts w:ascii="Times New Roman" w:hAnsi="Times New Roman" w:cs="Times New Roman" w:hint="eastAsia"/>
          <w:b/>
          <w:bCs/>
          <w:sz w:val="22"/>
        </w:rPr>
        <w:t>giant cell tumor of tendon sheath (GCTTS) of talus.</w:t>
      </w:r>
    </w:p>
    <w:p w14:paraId="17A486A6" w14:textId="77777777" w:rsidR="00F24FC9" w:rsidRDefault="00F24FC9">
      <w:pPr>
        <w:rPr>
          <w:rFonts w:ascii="Times New Roman" w:hAnsi="Times New Roman" w:cs="Times New Roman"/>
          <w:b/>
          <w:bCs/>
          <w:sz w:val="22"/>
        </w:rPr>
        <w:sectPr w:rsidR="00F24FC9" w:rsidSect="00DC6E71">
          <w:pgSz w:w="16838" w:h="11906" w:orient="landscape"/>
          <w:pgMar w:top="720" w:right="720" w:bottom="720" w:left="720" w:header="851" w:footer="992" w:gutter="0"/>
          <w:cols w:space="425"/>
          <w:docGrid w:type="lines" w:linePitch="312"/>
        </w:sectPr>
      </w:pPr>
    </w:p>
    <w:p w14:paraId="00B4155F" w14:textId="335F8528" w:rsidR="00F24FC9" w:rsidRDefault="00F24FC9">
      <w:pPr>
        <w:rPr>
          <w:rFonts w:ascii="Times New Roman" w:hAnsi="Times New Roman" w:cs="Times New Roman"/>
          <w:b/>
          <w:bCs/>
          <w:sz w:val="22"/>
        </w:rPr>
      </w:pPr>
      <w:r>
        <w:rPr>
          <w:noProof/>
        </w:rPr>
        <w:lastRenderedPageBreak/>
        <w:drawing>
          <wp:inline distT="0" distB="0" distL="0" distR="0" wp14:anchorId="06A8DD8C" wp14:editId="7B18825D">
            <wp:extent cx="9777730" cy="6027420"/>
            <wp:effectExtent l="0" t="0" r="0" b="0"/>
            <wp:docPr id="170920978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02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B156C" w14:textId="5C2E830E" w:rsidR="00F24FC9" w:rsidRPr="00077207" w:rsidRDefault="00F24FC9">
      <w:pPr>
        <w:rPr>
          <w:rFonts w:ascii="Times New Roman" w:hAnsi="Times New Roman" w:cs="Times New Roman" w:hint="eastAsia"/>
          <w:b/>
          <w:bCs/>
          <w:sz w:val="22"/>
        </w:rPr>
      </w:pPr>
      <w:r w:rsidRPr="00F24FC9">
        <w:rPr>
          <w:rFonts w:ascii="Times New Roman" w:hAnsi="Times New Roman" w:cs="Times New Roman" w:hint="eastAsia"/>
          <w:b/>
          <w:bCs/>
          <w:sz w:val="22"/>
        </w:rPr>
        <w:t>Figure S</w:t>
      </w:r>
      <w:r>
        <w:rPr>
          <w:rFonts w:ascii="Times New Roman" w:hAnsi="Times New Roman" w:cs="Times New Roman" w:hint="eastAsia"/>
          <w:b/>
          <w:bCs/>
          <w:sz w:val="22"/>
        </w:rPr>
        <w:t>4</w:t>
      </w:r>
      <w:r w:rsidRPr="00F24FC9">
        <w:rPr>
          <w:rFonts w:ascii="Times New Roman" w:hAnsi="Times New Roman" w:cs="Times New Roman" w:hint="eastAsia"/>
          <w:b/>
          <w:bCs/>
          <w:sz w:val="22"/>
        </w:rPr>
        <w:t>. Postoperative ankle function</w:t>
      </w:r>
      <w:r>
        <w:rPr>
          <w:rFonts w:ascii="Times New Roman" w:hAnsi="Times New Roman" w:cs="Times New Roman" w:hint="eastAsia"/>
          <w:b/>
          <w:bCs/>
          <w:sz w:val="22"/>
        </w:rPr>
        <w:t xml:space="preserve"> of NO.4 patient.</w:t>
      </w:r>
    </w:p>
    <w:sectPr w:rsidR="00F24FC9" w:rsidRPr="00077207" w:rsidSect="00DC6E71">
      <w:pgSz w:w="16838" w:h="11906" w:orient="landscape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EE192E" w14:textId="77777777" w:rsidR="00D94FFF" w:rsidRDefault="00D94FFF" w:rsidP="004D6F5E">
      <w:pPr>
        <w:spacing w:line="240" w:lineRule="auto"/>
        <w:rPr>
          <w:rFonts w:hint="eastAsia"/>
        </w:rPr>
      </w:pPr>
      <w:r>
        <w:separator/>
      </w:r>
    </w:p>
  </w:endnote>
  <w:endnote w:type="continuationSeparator" w:id="0">
    <w:p w14:paraId="010173AD" w14:textId="77777777" w:rsidR="00D94FFF" w:rsidRDefault="00D94FFF" w:rsidP="004D6F5E">
      <w:pPr>
        <w:spacing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6263FD" w14:textId="77777777" w:rsidR="00D94FFF" w:rsidRDefault="00D94FFF" w:rsidP="004D6F5E">
      <w:pPr>
        <w:spacing w:line="240" w:lineRule="auto"/>
        <w:rPr>
          <w:rFonts w:hint="eastAsia"/>
        </w:rPr>
      </w:pPr>
      <w:r>
        <w:separator/>
      </w:r>
    </w:p>
  </w:footnote>
  <w:footnote w:type="continuationSeparator" w:id="0">
    <w:p w14:paraId="6EC6ED3E" w14:textId="77777777" w:rsidR="00D94FFF" w:rsidRDefault="00D94FFF" w:rsidP="004D6F5E">
      <w:pPr>
        <w:spacing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001B"/>
    <w:rsid w:val="0002724A"/>
    <w:rsid w:val="00077207"/>
    <w:rsid w:val="00326103"/>
    <w:rsid w:val="004D6F5E"/>
    <w:rsid w:val="0061001B"/>
    <w:rsid w:val="00612A4E"/>
    <w:rsid w:val="008978C7"/>
    <w:rsid w:val="00AD7EC7"/>
    <w:rsid w:val="00D4214E"/>
    <w:rsid w:val="00D94FFF"/>
    <w:rsid w:val="00DC6E71"/>
    <w:rsid w:val="00F044AB"/>
    <w:rsid w:val="00F24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F134789"/>
  <w15:chartTrackingRefBased/>
  <w15:docId w15:val="{537F6F52-4913-4E17-BB91-D3A989CB23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D6F5E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4D6F5E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D6F5E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D6F5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781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2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6</Pages>
  <Words>580</Words>
  <Characters>3308</Characters>
  <Application>Microsoft Office Word</Application>
  <DocSecurity>0</DocSecurity>
  <Lines>27</Lines>
  <Paragraphs>7</Paragraphs>
  <ScaleCrop>false</ScaleCrop>
  <Company/>
  <LinksUpToDate>false</LinksUpToDate>
  <CharactersWithSpaces>3881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乐多 养</dc:creator>
  <cp:keywords/>
  <dc:description/>
  <cp:lastModifiedBy>乐多 养</cp:lastModifiedBy>
  <cp:revision>8</cp:revision>
  <dcterms:created xsi:type="dcterms:W3CDTF">2025-01-05T15:43:00Z</dcterms:created>
  <dcterms:modified xsi:type="dcterms:W3CDTF">2025-02-07T17:20:00Z</dcterms:modified>
</cp:coreProperties>
</file>