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1762" w14:textId="2076DD36" w:rsidR="00653664" w:rsidRPr="00F651E7" w:rsidRDefault="00653664" w:rsidP="00653664">
      <w:pPr>
        <w:pStyle w:val="Ttulo"/>
      </w:pPr>
      <w:r w:rsidRPr="00F651E7">
        <w:t>Myonectin and Metabolic Health: A Systematic Review</w:t>
      </w:r>
    </w:p>
    <w:p w14:paraId="64AADBAC" w14:textId="77777777" w:rsidR="00653664" w:rsidRDefault="00653664" w:rsidP="00653664">
      <w:pPr>
        <w:pStyle w:val="AuthorList"/>
        <w:rPr>
          <w:vertAlign w:val="superscript"/>
          <w:lang w:val="es-CO"/>
        </w:rPr>
      </w:pPr>
      <w:r w:rsidRPr="000D659F">
        <w:rPr>
          <w:lang w:val="es-CO"/>
        </w:rPr>
        <w:t>Jorge L. Petro</w:t>
      </w:r>
      <w:r w:rsidRPr="000D659F">
        <w:rPr>
          <w:vertAlign w:val="superscript"/>
          <w:lang w:val="es-CO"/>
        </w:rPr>
        <w:t>1,2*</w:t>
      </w:r>
      <w:r w:rsidRPr="000D659F">
        <w:rPr>
          <w:lang w:val="es-CO"/>
        </w:rPr>
        <w:t>, Jaime Gallo-Villegas</w:t>
      </w:r>
      <w:r w:rsidRPr="000D659F">
        <w:rPr>
          <w:vertAlign w:val="superscript"/>
          <w:lang w:val="es-CO"/>
        </w:rPr>
        <w:t>3,4</w:t>
      </w:r>
      <w:r w:rsidRPr="000D659F">
        <w:rPr>
          <w:lang w:val="es-CO"/>
        </w:rPr>
        <w:t>, Juan C. Calderón</w:t>
      </w:r>
      <w:r w:rsidRPr="000D659F">
        <w:rPr>
          <w:vertAlign w:val="superscript"/>
          <w:lang w:val="es-CO"/>
        </w:rPr>
        <w:t>1*</w:t>
      </w:r>
    </w:p>
    <w:p w14:paraId="34B501FF" w14:textId="77777777" w:rsidR="00C83C56" w:rsidRPr="00F651E7" w:rsidRDefault="00C83C56" w:rsidP="00C83C56">
      <w:pPr>
        <w:spacing w:before="240" w:after="0"/>
        <w:rPr>
          <w:rFonts w:cs="Times New Roman"/>
          <w:szCs w:val="24"/>
        </w:rPr>
      </w:pPr>
      <w:r w:rsidRPr="00F651E7">
        <w:rPr>
          <w:rFonts w:cs="Times New Roman"/>
          <w:szCs w:val="24"/>
          <w:vertAlign w:val="superscript"/>
        </w:rPr>
        <w:t xml:space="preserve">1 </w:t>
      </w:r>
      <w:r w:rsidRPr="00F651E7">
        <w:rPr>
          <w:rFonts w:cs="Times New Roman"/>
          <w:szCs w:val="24"/>
        </w:rPr>
        <w:t>Physiology and Biochemistry Research Group-PHYSIS, Faculty of Medicine, University of Antioquia, Medellín, Colombia.</w:t>
      </w:r>
    </w:p>
    <w:p w14:paraId="1F1A5474" w14:textId="77777777" w:rsidR="00C83C56" w:rsidRPr="00F651E7" w:rsidRDefault="00C83C56" w:rsidP="00C83C56">
      <w:pPr>
        <w:spacing w:before="240" w:after="0"/>
        <w:rPr>
          <w:rFonts w:cs="Times New Roman"/>
          <w:szCs w:val="24"/>
        </w:rPr>
      </w:pPr>
      <w:r w:rsidRPr="00F651E7">
        <w:rPr>
          <w:rFonts w:cs="Times New Roman"/>
          <w:szCs w:val="24"/>
          <w:vertAlign w:val="superscript"/>
        </w:rPr>
        <w:t>2</w:t>
      </w:r>
      <w:r w:rsidRPr="00F651E7">
        <w:rPr>
          <w:rFonts w:cs="Times New Roman"/>
          <w:szCs w:val="24"/>
        </w:rPr>
        <w:t xml:space="preserve"> Research Group in Physical Activity, Sports and Health Sciences (GICAFS), Universidad de Córdoba, Montería, Colombia.</w:t>
      </w:r>
    </w:p>
    <w:p w14:paraId="50269E30" w14:textId="77777777" w:rsidR="00C83C56" w:rsidRPr="00F651E7" w:rsidRDefault="00C83C56" w:rsidP="00C83C56">
      <w:pPr>
        <w:spacing w:before="240" w:after="0"/>
        <w:rPr>
          <w:rFonts w:cs="Times New Roman"/>
          <w:szCs w:val="24"/>
        </w:rPr>
      </w:pPr>
      <w:r w:rsidRPr="00F651E7">
        <w:rPr>
          <w:rFonts w:cs="Times New Roman"/>
          <w:szCs w:val="24"/>
          <w:vertAlign w:val="superscript"/>
        </w:rPr>
        <w:t>3</w:t>
      </w:r>
      <w:r w:rsidRPr="00F651E7">
        <w:rPr>
          <w:rFonts w:cs="Times New Roman"/>
          <w:szCs w:val="24"/>
        </w:rPr>
        <w:t xml:space="preserve"> Sports Medicine Postgraduate Program, and GRINMADE Research Group, Faculty of Medicine, University of Antioquia, Medellín, Colombia.</w:t>
      </w:r>
    </w:p>
    <w:p w14:paraId="748F6C2E" w14:textId="77777777" w:rsidR="00C83C56" w:rsidRPr="000D659F" w:rsidRDefault="00C83C56" w:rsidP="00C83C56">
      <w:pPr>
        <w:spacing w:before="240" w:after="0"/>
        <w:rPr>
          <w:rFonts w:cs="Times New Roman"/>
          <w:szCs w:val="24"/>
          <w:lang w:val="es-CO"/>
        </w:rPr>
      </w:pPr>
      <w:r w:rsidRPr="000D659F">
        <w:rPr>
          <w:rFonts w:cs="Times New Roman"/>
          <w:szCs w:val="24"/>
          <w:vertAlign w:val="superscript"/>
          <w:lang w:val="es-CO"/>
        </w:rPr>
        <w:t>4</w:t>
      </w:r>
      <w:r w:rsidRPr="000D659F">
        <w:rPr>
          <w:rFonts w:cs="Times New Roman"/>
          <w:szCs w:val="24"/>
          <w:lang w:val="es-CO"/>
        </w:rPr>
        <w:t xml:space="preserve"> SICOR center, Medellín, Colombia.</w:t>
      </w:r>
    </w:p>
    <w:p w14:paraId="3D360B42" w14:textId="77777777" w:rsidR="00C83C56" w:rsidRPr="000D659F" w:rsidRDefault="00C83C56" w:rsidP="00C83C56">
      <w:pPr>
        <w:spacing w:after="0"/>
        <w:rPr>
          <w:b/>
          <w:bCs/>
          <w:lang w:val="es-CO"/>
        </w:rPr>
      </w:pPr>
      <w:r w:rsidRPr="000D659F">
        <w:rPr>
          <w:b/>
          <w:bCs/>
          <w:vertAlign w:val="superscript"/>
          <w:lang w:val="es-CO"/>
        </w:rPr>
        <w:t xml:space="preserve">* </w:t>
      </w:r>
      <w:proofErr w:type="spellStart"/>
      <w:r w:rsidRPr="000D659F">
        <w:rPr>
          <w:b/>
          <w:bCs/>
          <w:lang w:val="es-CO"/>
        </w:rPr>
        <w:t>Correspondence</w:t>
      </w:r>
      <w:proofErr w:type="spellEnd"/>
      <w:r w:rsidRPr="000D659F">
        <w:rPr>
          <w:b/>
          <w:bCs/>
          <w:lang w:val="es-CO"/>
        </w:rPr>
        <w:t>:</w:t>
      </w:r>
    </w:p>
    <w:p w14:paraId="5D5AC834" w14:textId="77777777" w:rsidR="00C83C56" w:rsidRDefault="00C83C56" w:rsidP="00C83C56">
      <w:pPr>
        <w:rPr>
          <w:lang w:val="es-CO"/>
        </w:rPr>
      </w:pPr>
      <w:r w:rsidRPr="000D659F">
        <w:rPr>
          <w:b/>
          <w:bCs/>
          <w:lang w:val="es-CO"/>
        </w:rPr>
        <w:t xml:space="preserve"> </w:t>
      </w:r>
      <w:hyperlink r:id="rId12" w:history="1">
        <w:r w:rsidRPr="000D659F">
          <w:rPr>
            <w:rStyle w:val="Hipervnculo"/>
            <w:lang w:val="es-CO"/>
          </w:rPr>
          <w:t>jorgelpetro@correo.unicordoba.edu.co</w:t>
        </w:r>
      </w:hyperlink>
      <w:r w:rsidRPr="000D659F">
        <w:rPr>
          <w:lang w:val="es-CO"/>
        </w:rPr>
        <w:t xml:space="preserve"> (J.L. Petro.); </w:t>
      </w:r>
      <w:hyperlink r:id="rId13" w:history="1">
        <w:r w:rsidRPr="000D659F">
          <w:rPr>
            <w:rStyle w:val="Hipervnculo"/>
            <w:lang w:val="es-CO"/>
          </w:rPr>
          <w:t>jcalderonv00@yahoo.com</w:t>
        </w:r>
      </w:hyperlink>
      <w:r w:rsidRPr="000D659F">
        <w:rPr>
          <w:lang w:val="es-CO"/>
        </w:rPr>
        <w:t xml:space="preserve"> (J.C. Calderón).</w:t>
      </w:r>
    </w:p>
    <w:p w14:paraId="16495BBC" w14:textId="77777777" w:rsidR="00F74D0C" w:rsidRDefault="00F74D0C" w:rsidP="00F74D0C">
      <w:pPr>
        <w:pStyle w:val="Ttulo"/>
      </w:pPr>
      <w:r w:rsidRPr="00C83C56">
        <w:t>Supplementary Material</w:t>
      </w:r>
    </w:p>
    <w:p w14:paraId="1CC4DA32" w14:textId="0433A5E1" w:rsidR="003618FF" w:rsidRDefault="003618FF" w:rsidP="003618FF">
      <w:pPr>
        <w:jc w:val="center"/>
      </w:pPr>
      <w:r>
        <w:rPr>
          <w:noProof/>
        </w:rPr>
        <w:drawing>
          <wp:inline distT="0" distB="0" distL="0" distR="0" wp14:anchorId="4C6F6BB9" wp14:editId="1DE66D6E">
            <wp:extent cx="3371850" cy="2463373"/>
            <wp:effectExtent l="0" t="0" r="0" b="0"/>
            <wp:docPr id="102706795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67956" name="Imagen 10270679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286" cy="247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FCC9" w14:textId="187E25A8" w:rsidR="00994A3D" w:rsidRDefault="00641D65" w:rsidP="00190C93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F8525E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 xml:space="preserve">. </w:t>
      </w:r>
      <w:r w:rsidR="003618FF" w:rsidRPr="003618FF">
        <w:rPr>
          <w:rFonts w:cs="Times New Roman"/>
          <w:szCs w:val="24"/>
        </w:rPr>
        <w:t xml:space="preserve">The human myonectin structure predicted by AlphaFold (magenta) and I-TASSER (blue) was compared, </w:t>
      </w:r>
      <w:r w:rsidR="00A927A5" w:rsidRPr="00A927A5">
        <w:rPr>
          <w:rFonts w:cs="Times New Roman"/>
          <w:szCs w:val="24"/>
        </w:rPr>
        <w:t xml:space="preserve">yielding </w:t>
      </w:r>
      <w:r w:rsidR="00A927A5">
        <w:rPr>
          <w:rFonts w:cs="Times New Roman"/>
          <w:szCs w:val="24"/>
        </w:rPr>
        <w:t xml:space="preserve">a </w:t>
      </w:r>
      <w:r w:rsidR="003618FF" w:rsidRPr="003618FF">
        <w:rPr>
          <w:rFonts w:cs="Times New Roman"/>
          <w:szCs w:val="24"/>
        </w:rPr>
        <w:t>root mean square deviation</w:t>
      </w:r>
      <w:r w:rsidR="00AE05E2">
        <w:rPr>
          <w:rFonts w:cs="Times New Roman"/>
          <w:szCs w:val="24"/>
        </w:rPr>
        <w:t xml:space="preserve"> (</w:t>
      </w:r>
      <w:r w:rsidR="00AE05E2" w:rsidRPr="00AE05E2">
        <w:rPr>
          <w:rFonts w:cs="Times New Roman"/>
          <w:szCs w:val="24"/>
        </w:rPr>
        <w:t>RMSD</w:t>
      </w:r>
      <w:r w:rsidR="00AE05E2">
        <w:rPr>
          <w:rFonts w:cs="Times New Roman"/>
          <w:szCs w:val="24"/>
        </w:rPr>
        <w:t>)</w:t>
      </w:r>
      <w:r w:rsidR="003618FF" w:rsidRPr="003618FF">
        <w:rPr>
          <w:rFonts w:cs="Times New Roman"/>
          <w:szCs w:val="24"/>
        </w:rPr>
        <w:t xml:space="preserve"> of 0.821 Å across 70 pruned atom pairs. However, when considering all 354 atom pairs, the RMSD increased significantly to 37.758 Å.</w:t>
      </w:r>
      <w:r w:rsidR="00824F0F">
        <w:rPr>
          <w:rFonts w:cs="Times New Roman"/>
          <w:szCs w:val="24"/>
        </w:rPr>
        <w:t xml:space="preserve"> </w:t>
      </w:r>
      <w:r w:rsidR="003618FF" w:rsidRPr="003618FF">
        <w:rPr>
          <w:rFonts w:cs="Times New Roman"/>
          <w:szCs w:val="24"/>
        </w:rPr>
        <w:t xml:space="preserve">The overlay highlights both the similarities and differences between the models. The structural comparison was conducted using </w:t>
      </w:r>
      <w:proofErr w:type="spellStart"/>
      <w:r w:rsidR="003618FF" w:rsidRPr="003618FF">
        <w:rPr>
          <w:rFonts w:cs="Times New Roman"/>
          <w:szCs w:val="24"/>
        </w:rPr>
        <w:t>ChimeraX</w:t>
      </w:r>
      <w:proofErr w:type="spellEnd"/>
      <w:r w:rsidR="003618FF" w:rsidRPr="003618FF">
        <w:rPr>
          <w:rFonts w:cs="Times New Roman"/>
          <w:szCs w:val="24"/>
        </w:rPr>
        <w:t>, employing the Needleman-Wunsch alignment algorithm with the BLOSUM-62 similarity matrix and specific gap penalties for alignment.</w:t>
      </w:r>
    </w:p>
    <w:p w14:paraId="76F000D7" w14:textId="77777777" w:rsidR="0079735B" w:rsidRDefault="0079735B" w:rsidP="00190C93">
      <w:pPr>
        <w:jc w:val="both"/>
        <w:rPr>
          <w:rFonts w:cs="Times New Roman"/>
          <w:szCs w:val="24"/>
        </w:rPr>
      </w:pPr>
    </w:p>
    <w:p w14:paraId="4054E254" w14:textId="77777777" w:rsidR="0079735B" w:rsidRDefault="0079735B" w:rsidP="00190C93">
      <w:pPr>
        <w:jc w:val="both"/>
        <w:rPr>
          <w:rFonts w:cs="Times New Roman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97"/>
        <w:gridCol w:w="3998"/>
      </w:tblGrid>
      <w:tr w:rsidR="00260400" w:rsidRPr="00BF25D1" w14:paraId="585F1611" w14:textId="77777777" w:rsidTr="00260400">
        <w:trPr>
          <w:trHeight w:val="352"/>
          <w:jc w:val="center"/>
        </w:trPr>
        <w:tc>
          <w:tcPr>
            <w:tcW w:w="3997" w:type="dxa"/>
          </w:tcPr>
          <w:p w14:paraId="5E6DB8E2" w14:textId="77777777" w:rsidR="00260400" w:rsidRPr="005B6B3C" w:rsidRDefault="00260400" w:rsidP="003A7833">
            <w:pPr>
              <w:spacing w:after="120"/>
              <w:jc w:val="center"/>
              <w:rPr>
                <w:rFonts w:cs="Times New Roman"/>
                <w:b/>
                <w:bCs/>
                <w:szCs w:val="24"/>
                <w:lang w:val="es-CO"/>
              </w:rPr>
            </w:pPr>
            <w:proofErr w:type="spellStart"/>
            <w:r w:rsidRPr="005B6B3C">
              <w:rPr>
                <w:rFonts w:cs="Times New Roman"/>
                <w:b/>
                <w:bCs/>
                <w:szCs w:val="24"/>
                <w:lang w:val="es-CO"/>
              </w:rPr>
              <w:lastRenderedPageBreak/>
              <w:t>miRNA</w:t>
            </w:r>
            <w:proofErr w:type="spellEnd"/>
          </w:p>
        </w:tc>
        <w:tc>
          <w:tcPr>
            <w:tcW w:w="3998" w:type="dxa"/>
          </w:tcPr>
          <w:p w14:paraId="325A96FC" w14:textId="77777777" w:rsidR="00260400" w:rsidRPr="005B6B3C" w:rsidRDefault="00260400" w:rsidP="003A7833">
            <w:pPr>
              <w:spacing w:after="120"/>
              <w:jc w:val="center"/>
              <w:rPr>
                <w:rFonts w:cs="Times New Roman"/>
                <w:b/>
                <w:bCs/>
                <w:szCs w:val="24"/>
                <w:lang w:val="es-CO"/>
              </w:rPr>
            </w:pPr>
            <w:r w:rsidRPr="005B6B3C">
              <w:rPr>
                <w:rFonts w:cs="Times New Roman"/>
                <w:b/>
                <w:bCs/>
                <w:szCs w:val="24"/>
                <w:lang w:val="es-CO"/>
              </w:rPr>
              <w:t>Score</w:t>
            </w:r>
          </w:p>
        </w:tc>
      </w:tr>
      <w:tr w:rsidR="00260400" w:rsidRPr="00BF25D1" w14:paraId="29DCDE24" w14:textId="77777777" w:rsidTr="00260400">
        <w:trPr>
          <w:trHeight w:val="352"/>
          <w:jc w:val="center"/>
        </w:trPr>
        <w:tc>
          <w:tcPr>
            <w:tcW w:w="3997" w:type="dxa"/>
          </w:tcPr>
          <w:p w14:paraId="52DE5FD1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hsa-miR-4251</w:t>
            </w:r>
          </w:p>
        </w:tc>
        <w:tc>
          <w:tcPr>
            <w:tcW w:w="3998" w:type="dxa"/>
          </w:tcPr>
          <w:p w14:paraId="380EC65E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93</w:t>
            </w:r>
          </w:p>
        </w:tc>
      </w:tr>
      <w:tr w:rsidR="00260400" w:rsidRPr="00BF25D1" w14:paraId="0F0AD9F3" w14:textId="77777777" w:rsidTr="00260400">
        <w:trPr>
          <w:trHeight w:val="352"/>
          <w:jc w:val="center"/>
        </w:trPr>
        <w:tc>
          <w:tcPr>
            <w:tcW w:w="3997" w:type="dxa"/>
          </w:tcPr>
          <w:p w14:paraId="1942C453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hsa-miR-450a-2-3p</w:t>
            </w:r>
          </w:p>
        </w:tc>
        <w:tc>
          <w:tcPr>
            <w:tcW w:w="3998" w:type="dxa"/>
          </w:tcPr>
          <w:p w14:paraId="3172754D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91</w:t>
            </w:r>
          </w:p>
        </w:tc>
      </w:tr>
      <w:tr w:rsidR="00260400" w:rsidRPr="00BF25D1" w14:paraId="1D5CC644" w14:textId="77777777" w:rsidTr="00260400">
        <w:trPr>
          <w:trHeight w:val="352"/>
          <w:jc w:val="center"/>
        </w:trPr>
        <w:tc>
          <w:tcPr>
            <w:tcW w:w="3997" w:type="dxa"/>
          </w:tcPr>
          <w:p w14:paraId="2E5803FD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hsa-miR-3619-5p</w:t>
            </w:r>
          </w:p>
        </w:tc>
        <w:tc>
          <w:tcPr>
            <w:tcW w:w="3998" w:type="dxa"/>
          </w:tcPr>
          <w:p w14:paraId="019DCA0B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91</w:t>
            </w:r>
          </w:p>
        </w:tc>
      </w:tr>
      <w:tr w:rsidR="00260400" w:rsidRPr="00BF25D1" w14:paraId="68D4C64F" w14:textId="77777777" w:rsidTr="00260400">
        <w:trPr>
          <w:trHeight w:val="352"/>
          <w:jc w:val="center"/>
        </w:trPr>
        <w:tc>
          <w:tcPr>
            <w:tcW w:w="3997" w:type="dxa"/>
          </w:tcPr>
          <w:p w14:paraId="0B2ED003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hsa-miR-214-3p</w:t>
            </w:r>
          </w:p>
        </w:tc>
        <w:tc>
          <w:tcPr>
            <w:tcW w:w="3998" w:type="dxa"/>
          </w:tcPr>
          <w:p w14:paraId="1DEEAFA3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85</w:t>
            </w:r>
          </w:p>
        </w:tc>
      </w:tr>
      <w:tr w:rsidR="00260400" w:rsidRPr="00BF25D1" w14:paraId="692F5061" w14:textId="77777777" w:rsidTr="00260400">
        <w:trPr>
          <w:trHeight w:val="335"/>
          <w:jc w:val="center"/>
        </w:trPr>
        <w:tc>
          <w:tcPr>
            <w:tcW w:w="3997" w:type="dxa"/>
          </w:tcPr>
          <w:p w14:paraId="45C8AED6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hsa-miR-7854-3p</w:t>
            </w:r>
          </w:p>
        </w:tc>
        <w:tc>
          <w:tcPr>
            <w:tcW w:w="3998" w:type="dxa"/>
          </w:tcPr>
          <w:p w14:paraId="3EE819B7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85</w:t>
            </w:r>
          </w:p>
        </w:tc>
      </w:tr>
      <w:tr w:rsidR="00260400" w:rsidRPr="00BF25D1" w14:paraId="1E82569A" w14:textId="77777777" w:rsidTr="00260400">
        <w:trPr>
          <w:trHeight w:val="352"/>
          <w:jc w:val="center"/>
        </w:trPr>
        <w:tc>
          <w:tcPr>
            <w:tcW w:w="3997" w:type="dxa"/>
          </w:tcPr>
          <w:p w14:paraId="572B7D57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hsa-miR-210-5p</w:t>
            </w:r>
          </w:p>
        </w:tc>
        <w:tc>
          <w:tcPr>
            <w:tcW w:w="3998" w:type="dxa"/>
          </w:tcPr>
          <w:p w14:paraId="3A746638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85</w:t>
            </w:r>
          </w:p>
        </w:tc>
      </w:tr>
      <w:tr w:rsidR="00260400" w:rsidRPr="00BF25D1" w14:paraId="0369FCB5" w14:textId="77777777" w:rsidTr="00260400">
        <w:trPr>
          <w:trHeight w:val="352"/>
          <w:jc w:val="center"/>
        </w:trPr>
        <w:tc>
          <w:tcPr>
            <w:tcW w:w="3997" w:type="dxa"/>
          </w:tcPr>
          <w:p w14:paraId="094106C6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hsa-miR-761</w:t>
            </w:r>
          </w:p>
        </w:tc>
        <w:tc>
          <w:tcPr>
            <w:tcW w:w="3998" w:type="dxa"/>
          </w:tcPr>
          <w:p w14:paraId="1EAD8F95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85</w:t>
            </w:r>
          </w:p>
        </w:tc>
      </w:tr>
      <w:tr w:rsidR="00260400" w:rsidRPr="00BF25D1" w14:paraId="6121FE4E" w14:textId="77777777" w:rsidTr="00260400">
        <w:trPr>
          <w:trHeight w:val="352"/>
          <w:jc w:val="center"/>
        </w:trPr>
        <w:tc>
          <w:tcPr>
            <w:tcW w:w="3997" w:type="dxa"/>
          </w:tcPr>
          <w:p w14:paraId="14105A5D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hsa-miR-148a-5p</w:t>
            </w:r>
          </w:p>
        </w:tc>
        <w:tc>
          <w:tcPr>
            <w:tcW w:w="3998" w:type="dxa"/>
          </w:tcPr>
          <w:p w14:paraId="52675483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85</w:t>
            </w:r>
          </w:p>
        </w:tc>
      </w:tr>
      <w:tr w:rsidR="00260400" w:rsidRPr="00BF25D1" w14:paraId="499675DB" w14:textId="77777777" w:rsidTr="00260400">
        <w:trPr>
          <w:trHeight w:val="352"/>
          <w:jc w:val="center"/>
        </w:trPr>
        <w:tc>
          <w:tcPr>
            <w:tcW w:w="3997" w:type="dxa"/>
          </w:tcPr>
          <w:p w14:paraId="7025D292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hsa-miR-2467-3p</w:t>
            </w:r>
          </w:p>
        </w:tc>
        <w:tc>
          <w:tcPr>
            <w:tcW w:w="3998" w:type="dxa"/>
          </w:tcPr>
          <w:p w14:paraId="760C1BE1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83</w:t>
            </w:r>
          </w:p>
        </w:tc>
      </w:tr>
      <w:tr w:rsidR="00260400" w:rsidRPr="00BF25D1" w14:paraId="627C21F7" w14:textId="77777777" w:rsidTr="00260400">
        <w:trPr>
          <w:trHeight w:val="352"/>
          <w:jc w:val="center"/>
        </w:trPr>
        <w:tc>
          <w:tcPr>
            <w:tcW w:w="3997" w:type="dxa"/>
          </w:tcPr>
          <w:p w14:paraId="2C343AC9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hsa-miR-486-5p</w:t>
            </w:r>
          </w:p>
        </w:tc>
        <w:tc>
          <w:tcPr>
            <w:tcW w:w="3998" w:type="dxa"/>
          </w:tcPr>
          <w:p w14:paraId="6ABFFDE5" w14:textId="77777777" w:rsidR="00260400" w:rsidRPr="00BF25D1" w:rsidRDefault="00260400" w:rsidP="003A7833">
            <w:pPr>
              <w:spacing w:after="120"/>
              <w:jc w:val="center"/>
              <w:rPr>
                <w:rFonts w:cs="Times New Roman"/>
                <w:szCs w:val="24"/>
                <w:lang w:val="es-CO"/>
              </w:rPr>
            </w:pPr>
            <w:r w:rsidRPr="00BF25D1">
              <w:rPr>
                <w:rFonts w:cs="Times New Roman"/>
                <w:szCs w:val="24"/>
                <w:lang w:val="es-CO"/>
              </w:rPr>
              <w:t>82</w:t>
            </w:r>
          </w:p>
        </w:tc>
      </w:tr>
    </w:tbl>
    <w:p w14:paraId="4F2FF086" w14:textId="0B855B62" w:rsidR="00260400" w:rsidRPr="00F85AAD" w:rsidRDefault="003A7833" w:rsidP="00260400">
      <w:pPr>
        <w:jc w:val="both"/>
        <w:rPr>
          <w:rFonts w:cs="Times New Roman"/>
          <w:szCs w:val="24"/>
        </w:rPr>
      </w:pPr>
      <w:r w:rsidRPr="00117A1B">
        <w:rPr>
          <w:rFonts w:cs="Times New Roman"/>
          <w:b/>
          <w:bCs/>
          <w:szCs w:val="24"/>
        </w:rPr>
        <w:t xml:space="preserve">Supplementary Table 1. Human miRNA predicted to target human </w:t>
      </w:r>
      <w:r w:rsidRPr="00117A1B">
        <w:rPr>
          <w:rFonts w:cs="Times New Roman"/>
          <w:b/>
          <w:bCs/>
          <w:i/>
          <w:iCs/>
          <w:szCs w:val="24"/>
        </w:rPr>
        <w:t>ERFE</w:t>
      </w:r>
      <w:r w:rsidRPr="00117A1B">
        <w:rPr>
          <w:rFonts w:cs="Times New Roman"/>
          <w:b/>
          <w:bCs/>
          <w:szCs w:val="24"/>
        </w:rPr>
        <w:t xml:space="preserve"> in miRDB.</w:t>
      </w:r>
      <w:r w:rsidR="00175852">
        <w:rPr>
          <w:rFonts w:cs="Times New Roman"/>
          <w:b/>
          <w:bCs/>
          <w:szCs w:val="24"/>
        </w:rPr>
        <w:t xml:space="preserve"> </w:t>
      </w:r>
      <w:proofErr w:type="spellStart"/>
      <w:r w:rsidR="00260400" w:rsidRPr="00260400">
        <w:rPr>
          <w:rFonts w:cs="Times New Roman"/>
          <w:szCs w:val="24"/>
          <w:vertAlign w:val="superscript"/>
        </w:rPr>
        <w:t>a</w:t>
      </w:r>
      <w:r w:rsidR="00260400" w:rsidRPr="00260400">
        <w:rPr>
          <w:rFonts w:cs="Times New Roman"/>
          <w:szCs w:val="24"/>
        </w:rPr>
        <w:t>miRNA</w:t>
      </w:r>
      <w:proofErr w:type="spellEnd"/>
      <w:r w:rsidR="00260400" w:rsidRPr="00260400">
        <w:rPr>
          <w:rFonts w:cs="Times New Roman"/>
          <w:szCs w:val="24"/>
        </w:rPr>
        <w:t xml:space="preserve">, micro ribonucleic acid; </w:t>
      </w:r>
      <w:r w:rsidR="00260400" w:rsidRPr="00260400">
        <w:rPr>
          <w:rFonts w:cs="Times New Roman"/>
          <w:i/>
          <w:iCs/>
          <w:szCs w:val="24"/>
        </w:rPr>
        <w:t>ERFE</w:t>
      </w:r>
      <w:r w:rsidR="00260400" w:rsidRPr="00260400">
        <w:rPr>
          <w:rFonts w:cs="Times New Roman"/>
          <w:szCs w:val="24"/>
        </w:rPr>
        <w:t xml:space="preserve">, erythroferrone gene; miRDB, miRNA database. </w:t>
      </w:r>
      <w:r w:rsidR="00260400" w:rsidRPr="00F85AAD">
        <w:rPr>
          <w:rFonts w:cs="Times New Roman"/>
          <w:szCs w:val="24"/>
        </w:rPr>
        <w:t>Accessed on</w:t>
      </w:r>
      <w:r w:rsidR="00260400">
        <w:rPr>
          <w:rFonts w:cs="Times New Roman"/>
          <w:szCs w:val="24"/>
        </w:rPr>
        <w:t xml:space="preserve"> May 29</w:t>
      </w:r>
      <w:r w:rsidR="00260400" w:rsidRPr="00F85AAD">
        <w:rPr>
          <w:rFonts w:cs="Times New Roman"/>
          <w:szCs w:val="24"/>
          <w:vertAlign w:val="superscript"/>
        </w:rPr>
        <w:t>th</w:t>
      </w:r>
      <w:r w:rsidR="00260400">
        <w:rPr>
          <w:rFonts w:cs="Times New Roman"/>
          <w:szCs w:val="24"/>
        </w:rPr>
        <w:t>, 2025.</w:t>
      </w:r>
    </w:p>
    <w:p w14:paraId="074941C9" w14:textId="77777777" w:rsidR="0079735B" w:rsidRDefault="0079735B" w:rsidP="00190C93">
      <w:pPr>
        <w:jc w:val="both"/>
        <w:rPr>
          <w:rFonts w:cs="Times New Roman"/>
          <w:szCs w:val="24"/>
        </w:rPr>
      </w:pPr>
    </w:p>
    <w:p w14:paraId="2F189D46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328A0ACF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092D01B5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0F879262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3D408F4C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7D6E86C2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453E3710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09B17C81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62AD3E6D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70882CCD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2AD10FDC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6DB6ADE6" w14:textId="77777777" w:rsidR="00727B74" w:rsidRDefault="00727B74" w:rsidP="00190C93">
      <w:pPr>
        <w:jc w:val="both"/>
        <w:rPr>
          <w:rFonts w:cs="Times New Roman"/>
          <w:szCs w:val="24"/>
        </w:rPr>
      </w:pPr>
    </w:p>
    <w:p w14:paraId="1AE8A36F" w14:textId="0FF1FE18" w:rsidR="00727B74" w:rsidRDefault="00080F2E" w:rsidP="00080F2E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1AD96FD" wp14:editId="2F523BE0">
            <wp:extent cx="3904513" cy="6257925"/>
            <wp:effectExtent l="0" t="0" r="1270" b="0"/>
            <wp:docPr id="2006001133" name="Imagen 4" descr="Patrón de fon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01133" name="Imagen 4" descr="Patrón de fondo&#10;&#10;El contenido generado por IA puede ser incorrec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462" cy="625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CB47B" w14:textId="0F9D7E2C" w:rsidR="005526EF" w:rsidRPr="005526EF" w:rsidRDefault="00E9245A" w:rsidP="00AB56F3">
      <w:pPr>
        <w:rPr>
          <w:rFonts w:cs="Times New Roman"/>
          <w:b/>
          <w:bCs/>
          <w:szCs w:val="24"/>
        </w:rPr>
      </w:pPr>
      <w:r w:rsidRPr="00E9245A">
        <w:rPr>
          <w:rFonts w:cs="Times New Roman"/>
          <w:b/>
          <w:bCs/>
          <w:szCs w:val="24"/>
        </w:rPr>
        <w:t>Supplementary Figure 2. Risk of bias in individual animal studies assessed using the SYRCLE tool.</w:t>
      </w:r>
    </w:p>
    <w:p w14:paraId="58F1AED1" w14:textId="4BFCD03E" w:rsidR="00DE23E8" w:rsidRDefault="00727B74" w:rsidP="00AB56F3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3CCDCA8B" wp14:editId="1BA8EB14">
            <wp:extent cx="4952365" cy="2990850"/>
            <wp:effectExtent l="0" t="0" r="635" b="0"/>
            <wp:docPr id="21077127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1272" name="Imagen 21077127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79"/>
                    <a:stretch/>
                  </pic:blipFill>
                  <pic:spPr bwMode="auto">
                    <a:xfrm>
                      <a:off x="0" y="0"/>
                      <a:ext cx="4956303" cy="299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602F5" w14:textId="12624993" w:rsidR="00AB56F3" w:rsidRPr="00AB56F3" w:rsidRDefault="00AB56F3" w:rsidP="00AB56F3">
      <w:pPr>
        <w:rPr>
          <w:b/>
          <w:bCs/>
        </w:rPr>
      </w:pPr>
      <w:r w:rsidRPr="00AB56F3">
        <w:rPr>
          <w:b/>
          <w:bCs/>
        </w:rPr>
        <w:t xml:space="preserve">Supplementary Figure 3. Risk of bias in individual randomized controlled trials assessed using the </w:t>
      </w:r>
      <w:proofErr w:type="spellStart"/>
      <w:r w:rsidRPr="00AB56F3">
        <w:rPr>
          <w:b/>
          <w:bCs/>
        </w:rPr>
        <w:t>RoB</w:t>
      </w:r>
      <w:proofErr w:type="spellEnd"/>
      <w:r w:rsidRPr="00AB56F3">
        <w:rPr>
          <w:b/>
          <w:bCs/>
        </w:rPr>
        <w:t xml:space="preserve"> 2 tool.</w:t>
      </w:r>
    </w:p>
    <w:sectPr w:rsidR="00AB56F3" w:rsidRPr="00AB56F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74BB8" w14:textId="77777777" w:rsidR="00A569CD" w:rsidRDefault="00A569CD" w:rsidP="00117666">
      <w:pPr>
        <w:spacing w:after="0"/>
      </w:pPr>
      <w:r>
        <w:separator/>
      </w:r>
    </w:p>
  </w:endnote>
  <w:endnote w:type="continuationSeparator" w:id="0">
    <w:p w14:paraId="7364F86A" w14:textId="77777777" w:rsidR="00A569CD" w:rsidRDefault="00A569C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42510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42510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AC4CC" w14:textId="77777777" w:rsidR="00A569CD" w:rsidRDefault="00A569CD" w:rsidP="00117666">
      <w:pPr>
        <w:spacing w:after="0"/>
      </w:pPr>
      <w:r>
        <w:separator/>
      </w:r>
    </w:p>
  </w:footnote>
  <w:footnote w:type="continuationSeparator" w:id="0">
    <w:p w14:paraId="7893C3DC" w14:textId="77777777" w:rsidR="00A569CD" w:rsidRDefault="00A569C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42510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42510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80F2E"/>
    <w:rsid w:val="00105FD9"/>
    <w:rsid w:val="00117666"/>
    <w:rsid w:val="00147AE3"/>
    <w:rsid w:val="001549D3"/>
    <w:rsid w:val="00160065"/>
    <w:rsid w:val="00175852"/>
    <w:rsid w:val="00177D84"/>
    <w:rsid w:val="00190C93"/>
    <w:rsid w:val="00260400"/>
    <w:rsid w:val="00267D18"/>
    <w:rsid w:val="002868E2"/>
    <w:rsid w:val="002869C3"/>
    <w:rsid w:val="002936E4"/>
    <w:rsid w:val="002B4A57"/>
    <w:rsid w:val="002C74CA"/>
    <w:rsid w:val="003544FB"/>
    <w:rsid w:val="003618FF"/>
    <w:rsid w:val="003A7833"/>
    <w:rsid w:val="003D2F2D"/>
    <w:rsid w:val="00401590"/>
    <w:rsid w:val="00425102"/>
    <w:rsid w:val="00447801"/>
    <w:rsid w:val="00452E9C"/>
    <w:rsid w:val="004735C8"/>
    <w:rsid w:val="004961FF"/>
    <w:rsid w:val="004C1EED"/>
    <w:rsid w:val="00517A89"/>
    <w:rsid w:val="005250F2"/>
    <w:rsid w:val="005526EF"/>
    <w:rsid w:val="00570E12"/>
    <w:rsid w:val="005721CC"/>
    <w:rsid w:val="00593EEA"/>
    <w:rsid w:val="005A5EEE"/>
    <w:rsid w:val="006375C7"/>
    <w:rsid w:val="00641D65"/>
    <w:rsid w:val="00653664"/>
    <w:rsid w:val="00654E8F"/>
    <w:rsid w:val="00660D05"/>
    <w:rsid w:val="006820B1"/>
    <w:rsid w:val="006B7D14"/>
    <w:rsid w:val="00701727"/>
    <w:rsid w:val="0070566C"/>
    <w:rsid w:val="00714C50"/>
    <w:rsid w:val="00725A7D"/>
    <w:rsid w:val="00727B74"/>
    <w:rsid w:val="007501BE"/>
    <w:rsid w:val="00790BB3"/>
    <w:rsid w:val="0079735B"/>
    <w:rsid w:val="007A74C1"/>
    <w:rsid w:val="007C206C"/>
    <w:rsid w:val="00803D24"/>
    <w:rsid w:val="00817DD6"/>
    <w:rsid w:val="00824F0F"/>
    <w:rsid w:val="00885156"/>
    <w:rsid w:val="009151AA"/>
    <w:rsid w:val="0093429D"/>
    <w:rsid w:val="00943573"/>
    <w:rsid w:val="00970F7D"/>
    <w:rsid w:val="00994A3D"/>
    <w:rsid w:val="009C2B12"/>
    <w:rsid w:val="009C70F3"/>
    <w:rsid w:val="009D2003"/>
    <w:rsid w:val="00A174D9"/>
    <w:rsid w:val="00A569CD"/>
    <w:rsid w:val="00A9020A"/>
    <w:rsid w:val="00A927A5"/>
    <w:rsid w:val="00AB56F3"/>
    <w:rsid w:val="00AB6715"/>
    <w:rsid w:val="00AE05E2"/>
    <w:rsid w:val="00B1671E"/>
    <w:rsid w:val="00B25EB8"/>
    <w:rsid w:val="00B354E1"/>
    <w:rsid w:val="00B37F4D"/>
    <w:rsid w:val="00C52A7B"/>
    <w:rsid w:val="00C56BAF"/>
    <w:rsid w:val="00C679AA"/>
    <w:rsid w:val="00C75972"/>
    <w:rsid w:val="00C83C56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9245A"/>
    <w:rsid w:val="00EA3D3C"/>
    <w:rsid w:val="00F46900"/>
    <w:rsid w:val="00F61D89"/>
    <w:rsid w:val="00F74D0C"/>
    <w:rsid w:val="00F8525E"/>
    <w:rsid w:val="00FD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jcalderonv00@yahoo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jorgelpetro@correo.unicordoba.edu.co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tiff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tif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970c08f3-bdc0-46be-888b-e62464d9f78c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26005759-6815-4540-b8ea-913958d74f23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4</Pages>
  <Words>303</Words>
  <Characters>1672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JLPETRO</dc:creator>
  <cp:lastModifiedBy>Jorge Luis Petro</cp:lastModifiedBy>
  <cp:revision>2</cp:revision>
  <cp:lastPrinted>2025-01-08T03:08:00Z</cp:lastPrinted>
  <dcterms:created xsi:type="dcterms:W3CDTF">2025-06-01T14:20:00Z</dcterms:created>
  <dcterms:modified xsi:type="dcterms:W3CDTF">2025-06-01T14:20:00Z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