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0" w:lineRule="atLeast"/>
        <w:jc w:val="center"/>
        <w:textAlignment w:val="auto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  <w:bookmarkStart w:id="0" w:name="OLE_LINK9"/>
      <w:r>
        <w:rPr>
          <w:rFonts w:hint="default" w:ascii="Times New Roman" w:hAnsi="Times New Roman" w:eastAsia="宋体" w:cs="Times New Roman"/>
          <w:b/>
          <w:bCs/>
          <w:color w:val="auto"/>
          <w:sz w:val="20"/>
          <w:szCs w:val="20"/>
          <w:highlight w:val="none"/>
          <w:lang w:val="en-US" w:eastAsia="zh-CN"/>
        </w:rPr>
        <w:t>Table S1</w:t>
      </w:r>
      <w:bookmarkEnd w:id="0"/>
      <w:r>
        <w:rPr>
          <w:rFonts w:hint="default" w:ascii="Times New Roman" w:hAnsi="Times New Roman" w:eastAsia="宋体" w:cs="Times New Roman"/>
          <w:color w:val="auto"/>
          <w:sz w:val="20"/>
          <w:szCs w:val="20"/>
          <w:highlight w:val="none"/>
          <w:lang w:val="en-US" w:eastAsia="zh-CN"/>
        </w:rPr>
        <w:t xml:space="preserve">  The detailed DR stage in three datasets</w:t>
      </w:r>
    </w:p>
    <w:tbl>
      <w:tblPr>
        <w:tblStyle w:val="3"/>
        <w:tblpPr w:leftFromText="180" w:rightFromText="180" w:vertAnchor="text" w:horzAnchor="page" w:tblpX="1892" w:tblpY="30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536"/>
        <w:gridCol w:w="545"/>
        <w:gridCol w:w="892"/>
        <w:gridCol w:w="2400"/>
        <w:gridCol w:w="456"/>
        <w:gridCol w:w="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Data sets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ALL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RDR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% of RDR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The detailed stage of RDR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No.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  <w:t xml:space="preserve">proportion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 xml:space="preserve">The training set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and the test set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19.78%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Moderate NPDR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50.28%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Severe NPDR and/or DME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48.06%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PDR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The external set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79.67%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Moderate NPDR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18.37%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Severe NPDR and/or DME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28.57%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PDR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48.98%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0" w:lineRule="atLeast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0" w:lineRule="atLeas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0"/>
          <w:szCs w:val="20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0" w:lineRule="atLeast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0"/>
          <w:szCs w:val="20"/>
          <w:highlight w:val="none"/>
          <w:lang w:val="en-US" w:eastAsia="zh-CN"/>
        </w:rPr>
        <w:t>TABLE S2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highlight w:val="none"/>
          <w:lang w:val="en-US" w:eastAsia="zh-CN"/>
        </w:rPr>
        <w:t xml:space="preserve"> The indicators of model I</w:t>
      </w:r>
    </w:p>
    <w:tbl>
      <w:tblPr>
        <w:tblStyle w:val="3"/>
        <w:tblW w:w="0" w:type="auto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9F9F9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888"/>
        <w:gridCol w:w="515"/>
        <w:gridCol w:w="426"/>
        <w:gridCol w:w="408"/>
        <w:gridCol w:w="1053"/>
        <w:gridCol w:w="414"/>
        <w:gridCol w:w="746"/>
        <w:gridCol w:w="728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0" w:type="auto"/>
            <w:tcBorders>
              <w:bottom w:val="single" w:color="000000" w:sz="4" w:space="0"/>
            </w:tcBorders>
            <w:shd w:val="clear" w:color="auto" w:fill="F9F9F9"/>
            <w:noWrap/>
            <w:tcMar>
              <w:top w:w="240" w:type="dxa"/>
              <w:left w:w="144" w:type="dxa"/>
              <w:bottom w:w="240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Predictor </w:t>
            </w:r>
          </w:p>
        </w:tc>
        <w:tc>
          <w:tcPr>
            <w:tcW w:w="0" w:type="auto"/>
            <w:tcBorders>
              <w:bottom w:val="single" w:color="000000" w:sz="4" w:space="0"/>
            </w:tcBorders>
            <w:shd w:val="clear" w:color="auto" w:fill="F9F9F9"/>
            <w:noWrap/>
            <w:tcMar>
              <w:top w:w="240" w:type="dxa"/>
              <w:left w:w="144" w:type="dxa"/>
              <w:bottom w:w="240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Estimate </w:t>
            </w:r>
          </w:p>
        </w:tc>
        <w:tc>
          <w:tcPr>
            <w:tcW w:w="0" w:type="auto"/>
            <w:tcBorders>
              <w:bottom w:val="single" w:color="000000" w:sz="4" w:space="0"/>
            </w:tcBorders>
            <w:shd w:val="clear" w:color="auto" w:fill="F9F9F9"/>
            <w:noWrap/>
            <w:tcMar>
              <w:top w:w="240" w:type="dxa"/>
              <w:left w:w="144" w:type="dxa"/>
              <w:bottom w:w="240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SE </w:t>
            </w:r>
          </w:p>
        </w:tc>
        <w:tc>
          <w:tcPr>
            <w:tcW w:w="0" w:type="auto"/>
            <w:tcBorders>
              <w:bottom w:val="single" w:color="000000" w:sz="4" w:space="0"/>
            </w:tcBorders>
            <w:shd w:val="clear" w:color="auto" w:fill="F9F9F9"/>
            <w:noWrap/>
            <w:tcMar>
              <w:top w:w="240" w:type="dxa"/>
              <w:left w:w="144" w:type="dxa"/>
              <w:bottom w:w="240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Z </w:t>
            </w:r>
          </w:p>
        </w:tc>
        <w:tc>
          <w:tcPr>
            <w:tcW w:w="0" w:type="auto"/>
            <w:tcBorders>
              <w:bottom w:val="single" w:color="000000" w:sz="4" w:space="0"/>
            </w:tcBorders>
            <w:shd w:val="clear" w:color="auto" w:fill="F9F9F9"/>
            <w:noWrap/>
            <w:tcMar>
              <w:top w:w="240" w:type="dxa"/>
              <w:left w:w="144" w:type="dxa"/>
              <w:bottom w:w="240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p </w:t>
            </w:r>
          </w:p>
        </w:tc>
        <w:tc>
          <w:tcPr>
            <w:tcW w:w="0" w:type="auto"/>
            <w:tcBorders>
              <w:bottom w:val="single" w:color="000000" w:sz="4" w:space="0"/>
            </w:tcBorders>
            <w:shd w:val="clear" w:color="auto" w:fill="F9F9F9"/>
            <w:noWrap/>
            <w:tcMar>
              <w:top w:w="240" w:type="dxa"/>
              <w:left w:w="144" w:type="dxa"/>
              <w:bottom w:w="240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Odds Ratio </w:t>
            </w:r>
          </w:p>
        </w:tc>
        <w:tc>
          <w:tcPr>
            <w:tcW w:w="0" w:type="auto"/>
            <w:tcBorders>
              <w:bottom w:val="single" w:color="000000" w:sz="4" w:space="0"/>
            </w:tcBorders>
            <w:shd w:val="clear" w:color="auto" w:fill="F9F9F9"/>
            <w:noWrap/>
            <w:tcMar>
              <w:top w:w="240" w:type="dxa"/>
              <w:left w:w="144" w:type="dxa"/>
              <w:bottom w:w="240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β</w:t>
            </w:r>
          </w:p>
        </w:tc>
        <w:tc>
          <w:tcPr>
            <w:tcW w:w="0" w:type="auto"/>
            <w:tcBorders>
              <w:bottom w:val="single" w:color="000000" w:sz="4" w:space="0"/>
            </w:tcBorders>
            <w:shd w:val="clear" w:color="auto" w:fill="F9F9F9"/>
            <w:noWrap/>
            <w:tcMar>
              <w:top w:w="240" w:type="dxa"/>
              <w:left w:w="144" w:type="dxa"/>
              <w:bottom w:w="240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Lower </w:t>
            </w:r>
          </w:p>
        </w:tc>
        <w:tc>
          <w:tcPr>
            <w:tcW w:w="0" w:type="auto"/>
            <w:tcBorders>
              <w:bottom w:val="single" w:color="000000" w:sz="4" w:space="0"/>
            </w:tcBorders>
            <w:shd w:val="clear" w:color="auto" w:fill="F9F9F9"/>
            <w:noWrap/>
            <w:tcMar>
              <w:top w:w="240" w:type="dxa"/>
              <w:left w:w="144" w:type="dxa"/>
              <w:bottom w:w="240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Upper 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(Intercept)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-8.072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1.161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-6.955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0.003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eGFR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-0.002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0.004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-0.449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0.654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0.998</w:t>
            </w:r>
          </w:p>
        </w:tc>
        <w:tc>
          <w:tcPr>
            <w:tcW w:w="294" w:type="dxa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-0.002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0.988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1.003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mALB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2.258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1.0</w:t>
            </w:r>
          </w:p>
        </w:tc>
        <w:tc>
          <w:tcPr>
            <w:tcW w:w="294" w:type="dxa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0.000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1.001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duration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5.102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1.051</w:t>
            </w:r>
          </w:p>
        </w:tc>
        <w:tc>
          <w:tcPr>
            <w:tcW w:w="294" w:type="dxa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0.050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1.032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1.072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SBP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0.012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0.004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3.486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1.012</w:t>
            </w:r>
          </w:p>
        </w:tc>
        <w:tc>
          <w:tcPr>
            <w:tcW w:w="294" w:type="dxa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0.012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1.005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1.019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NLR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0.064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0.053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1.215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0.224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1.066</w:t>
            </w:r>
          </w:p>
        </w:tc>
        <w:tc>
          <w:tcPr>
            <w:tcW w:w="294" w:type="dxa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0.064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0.959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1.184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Age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2.361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0.018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1.021</w:t>
            </w:r>
          </w:p>
        </w:tc>
        <w:tc>
          <w:tcPr>
            <w:tcW w:w="294" w:type="dxa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0.021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1.004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1.04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SCr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0.26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0.795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1.001</w:t>
            </w:r>
          </w:p>
        </w:tc>
        <w:tc>
          <w:tcPr>
            <w:tcW w:w="294" w:type="dxa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0.001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0.991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1.011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BUN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0.173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0.049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3.541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1.189</w:t>
            </w:r>
          </w:p>
        </w:tc>
        <w:tc>
          <w:tcPr>
            <w:tcW w:w="294" w:type="dxa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0.173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1.08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1.309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HbA1c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0.222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0.048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4.576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1.248</w:t>
            </w:r>
          </w:p>
        </w:tc>
        <w:tc>
          <w:tcPr>
            <w:tcW w:w="294" w:type="dxa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0.222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1.135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1.373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GLU1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0.317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0.178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1.779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0.075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1.373</w:t>
            </w:r>
          </w:p>
        </w:tc>
        <w:tc>
          <w:tcPr>
            <w:tcW w:w="294" w:type="dxa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0.317 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0.966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1.944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0" w:lineRule="atLeas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0"/>
          <w:szCs w:val="20"/>
          <w:highlight w:val="none"/>
          <w:lang w:val="en-US" w:eastAsia="zh-CN"/>
        </w:rPr>
      </w:pPr>
    </w:p>
    <w:tbl>
      <w:tblPr>
        <w:tblStyle w:val="3"/>
        <w:tblW w:w="68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960"/>
        <w:gridCol w:w="960"/>
        <w:gridCol w:w="960"/>
        <w:gridCol w:w="960"/>
        <w:gridCol w:w="960"/>
        <w:gridCol w:w="1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44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Features</w:t>
            </w:r>
          </w:p>
        </w:tc>
        <w:tc>
          <w:tcPr>
            <w:tcW w:w="960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N</w:t>
            </w:r>
          </w:p>
        </w:tc>
        <w:tc>
          <w:tcPr>
            <w:tcW w:w="960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AUC</w:t>
            </w:r>
          </w:p>
        </w:tc>
        <w:tc>
          <w:tcPr>
            <w:tcW w:w="960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Sensitivity</w:t>
            </w:r>
          </w:p>
        </w:tc>
        <w:tc>
          <w:tcPr>
            <w:tcW w:w="960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Specificity</w:t>
            </w:r>
          </w:p>
        </w:tc>
        <w:tc>
          <w:tcPr>
            <w:tcW w:w="960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Youden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index</w:t>
            </w:r>
          </w:p>
        </w:tc>
        <w:tc>
          <w:tcPr>
            <w:tcW w:w="1044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cut-off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HbA1c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0.273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7.355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0.759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0.242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0.566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0.141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0.526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0.062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68.181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eGFR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0.162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72.166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NLR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0.367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0.105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2.463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SBP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0.126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duration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0.668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0.342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04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mALB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0.616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0.772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0.192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66.04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0" w:lineRule="atLeast"/>
        <w:rPr>
          <w:rFonts w:hint="default" w:ascii="Times New Roman" w:hAnsi="Times New Roman" w:eastAsia="宋体" w:cs="Times New Roman"/>
          <w:b/>
          <w:bCs/>
          <w:color w:val="auto"/>
          <w:sz w:val="20"/>
          <w:szCs w:val="20"/>
          <w:highlight w:val="none"/>
          <w:lang w:val="en-US" w:eastAsia="zh-CN"/>
        </w:rPr>
      </w:pPr>
      <w:bookmarkStart w:id="1" w:name="OLE_LINK3"/>
      <w:r>
        <w:rPr>
          <w:rFonts w:hint="default" w:ascii="Times New Roman" w:hAnsi="Times New Roman" w:eastAsia="宋体" w:cs="Times New Roman"/>
          <w:b/>
          <w:bCs/>
          <w:color w:val="auto"/>
          <w:sz w:val="20"/>
          <w:szCs w:val="20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0" w:lineRule="atLeast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0"/>
          <w:szCs w:val="20"/>
          <w:highlight w:val="none"/>
          <w:lang w:val="en-US" w:eastAsia="zh-CN"/>
        </w:rPr>
        <w:t xml:space="preserve">TABLE S3 </w:t>
      </w:r>
      <w:bookmarkEnd w:id="1"/>
      <w:r>
        <w:rPr>
          <w:rFonts w:hint="default" w:ascii="Times New Roman" w:hAnsi="Times New Roman" w:eastAsia="宋体" w:cs="Times New Roman"/>
          <w:color w:val="auto"/>
          <w:sz w:val="20"/>
          <w:szCs w:val="20"/>
          <w:highlight w:val="none"/>
          <w:lang w:val="en-US" w:eastAsia="zh-CN"/>
        </w:rPr>
        <w:t xml:space="preserve">The indicators of model 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highlight w:val="none"/>
        </w:rPr>
        <w:t>II</w:t>
      </w:r>
    </w:p>
    <w:tbl>
      <w:tblPr>
        <w:tblStyle w:val="3"/>
        <w:tblW w:w="0" w:type="auto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9F9F9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600"/>
        <w:gridCol w:w="360"/>
        <w:gridCol w:w="414"/>
        <w:gridCol w:w="360"/>
        <w:gridCol w:w="765"/>
        <w:gridCol w:w="439"/>
        <w:gridCol w:w="746"/>
        <w:gridCol w:w="44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bottom w:val="single" w:color="auto" w:sz="4" w:space="0"/>
            </w:tcBorders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en-US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Predictor 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en-US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Estimate 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en-US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SE 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en-US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Z 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en-US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p 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en-US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Odds Ratio </w:t>
            </w:r>
          </w:p>
        </w:tc>
        <w:tc>
          <w:tcPr>
            <w:tcW w:w="439" w:type="dxa"/>
            <w:tcBorders>
              <w:bottom w:val="single" w:color="auto" w:sz="4" w:space="0"/>
            </w:tcBorders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β</w:t>
            </w:r>
          </w:p>
        </w:tc>
        <w:tc>
          <w:tcPr>
            <w:tcW w:w="746" w:type="dxa"/>
            <w:tcBorders>
              <w:bottom w:val="single" w:color="auto" w:sz="4" w:space="0"/>
            </w:tcBorders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en-US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Lower 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en-US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Upper 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</w:tcBorders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(Intercept)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-6.712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0.693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-9.689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0.001</w:t>
            </w:r>
          </w:p>
        </w:tc>
        <w:tc>
          <w:tcPr>
            <w:tcW w:w="439" w:type="dxa"/>
            <w:tcBorders>
              <w:top w:val="single" w:color="auto" w:sz="4" w:space="0"/>
            </w:tcBorders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746" w:type="dxa"/>
            <w:tcBorders>
              <w:top w:val="single" w:color="auto" w:sz="4" w:space="0"/>
            </w:tcBorders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0.005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SCr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0.004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0.776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0.438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1.003</w:t>
            </w:r>
          </w:p>
        </w:tc>
        <w:tc>
          <w:tcPr>
            <w:tcW w:w="439" w:type="dxa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0.003 </w:t>
            </w:r>
          </w:p>
        </w:tc>
        <w:tc>
          <w:tcPr>
            <w:tcW w:w="746" w:type="dxa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0.995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1.012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BUN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0.167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0.048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3.444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1.182</w:t>
            </w:r>
          </w:p>
        </w:tc>
        <w:tc>
          <w:tcPr>
            <w:tcW w:w="439" w:type="dxa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0.167 </w:t>
            </w:r>
          </w:p>
        </w:tc>
        <w:tc>
          <w:tcPr>
            <w:tcW w:w="746" w:type="dxa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1.075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HbA1c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0.222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0.048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4.646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1.249</w:t>
            </w:r>
          </w:p>
        </w:tc>
        <w:tc>
          <w:tcPr>
            <w:tcW w:w="439" w:type="dxa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0.222 </w:t>
            </w:r>
          </w:p>
        </w:tc>
        <w:tc>
          <w:tcPr>
            <w:tcW w:w="746" w:type="dxa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1.137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1.372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mALB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2.186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0.029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1.0</w:t>
            </w:r>
          </w:p>
        </w:tc>
        <w:tc>
          <w:tcPr>
            <w:tcW w:w="439" w:type="dxa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0.000 </w:t>
            </w:r>
          </w:p>
        </w:tc>
        <w:tc>
          <w:tcPr>
            <w:tcW w:w="746" w:type="dxa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1.001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duration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0.049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5.031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1.05</w:t>
            </w:r>
          </w:p>
        </w:tc>
        <w:tc>
          <w:tcPr>
            <w:tcW w:w="439" w:type="dxa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0.049 </w:t>
            </w:r>
          </w:p>
        </w:tc>
        <w:tc>
          <w:tcPr>
            <w:tcW w:w="746" w:type="dxa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1.071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SBP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0.012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3.527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1.012</w:t>
            </w:r>
          </w:p>
        </w:tc>
        <w:tc>
          <w:tcPr>
            <w:tcW w:w="439" w:type="dxa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0.012 </w:t>
            </w:r>
          </w:p>
        </w:tc>
        <w:tc>
          <w:tcPr>
            <w:tcW w:w="746" w:type="dxa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1.005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1.019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GLU1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0.338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0.175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1.928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0.054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1.403</w:t>
            </w:r>
          </w:p>
        </w:tc>
        <w:tc>
          <w:tcPr>
            <w:tcW w:w="439" w:type="dxa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0.339 </w:t>
            </w:r>
          </w:p>
        </w:tc>
        <w:tc>
          <w:tcPr>
            <w:tcW w:w="746" w:type="dxa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0.992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1.975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0" w:lineRule="atLeas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0"/>
          <w:szCs w:val="20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0" w:lineRule="atLeas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0"/>
          <w:szCs w:val="20"/>
          <w:highlight w:val="none"/>
          <w:lang w:val="en-US"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536"/>
        <w:gridCol w:w="576"/>
        <w:gridCol w:w="901"/>
        <w:gridCol w:w="910"/>
        <w:gridCol w:w="723"/>
        <w:gridCol w:w="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Features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AUC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  <w:t>Sensitivity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  <w:t>Specificity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Youden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index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cut-off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HbA1c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0.666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0.671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0.601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0.273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7.355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SCr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duration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mALB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0.772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0.192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66.04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0" w:lineRule="atLeas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0"/>
          <w:szCs w:val="20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0" w:lineRule="atLeast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0"/>
          <w:szCs w:val="20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0" w:lineRule="atLeast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  <w:t>Table S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  <w:t xml:space="preserve">The points and 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  <w:t>predictive probabilities of model II for nRDR and RDR in the training set and the test set</w:t>
      </w:r>
    </w:p>
    <w:tbl>
      <w:tblPr>
        <w:tblStyle w:val="3"/>
        <w:tblpPr w:leftFromText="180" w:rightFromText="180" w:vertAnchor="text" w:horzAnchor="page" w:tblpXSpec="center" w:tblpY="297"/>
        <w:tblOverlap w:val="never"/>
        <w:tblW w:w="0" w:type="auto"/>
        <w:jc w:val="center"/>
        <w:tblBorders>
          <w:top w:val="single" w:color="D3D3D3" w:sz="12" w:space="0"/>
          <w:left w:val="none" w:color="D3D3D3" w:sz="4" w:space="0"/>
          <w:bottom w:val="single" w:color="D3D3D3" w:sz="12" w:space="0"/>
          <w:right w:val="none" w:color="D3D3D3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9"/>
        <w:gridCol w:w="1507"/>
        <w:gridCol w:w="1507"/>
        <w:gridCol w:w="1507"/>
        <w:gridCol w:w="811"/>
      </w:tblGrid>
      <w:tr>
        <w:tblPrEx>
          <w:tblBorders>
            <w:top w:val="single" w:color="D3D3D3" w:sz="12" w:space="0"/>
            <w:left w:val="none" w:color="D3D3D3" w:sz="4" w:space="0"/>
            <w:bottom w:val="single" w:color="D3D3D3" w:sz="12" w:space="0"/>
            <w:right w:val="none" w:color="D3D3D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bookmarkStart w:id="2" w:name="OLE_LINK5"/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Variable</w:t>
            </w:r>
          </w:p>
        </w:tc>
        <w:tc>
          <w:tcPr>
            <w:tcW w:w="0" w:type="auto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group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i/>
                <w:iCs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P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-value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vertAlign w:val="superscript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D3D3D3" w:sz="12" w:space="0"/>
            <w:left w:val="none" w:color="D3D3D3" w:sz="4" w:space="0"/>
            <w:bottom w:val="single" w:color="D3D3D3" w:sz="12" w:space="0"/>
            <w:right w:val="none" w:color="D3D3D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Overall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N = 1,830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vertAlign w:val="superscript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bottom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nRDR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N = 1,468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vertAlign w:val="superscript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bottom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RDR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N = 362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vertAlign w:val="superscript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12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/>
              </w:rPr>
              <w:t>points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12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Median (IQR)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53.412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(45.424 – 64.543)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51.369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(44.491 – 60.429)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65.703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(53.598 – 77.477)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3D3D3" w:sz="4" w:space="0"/>
              <w:left w:val="nil"/>
              <w:bottom w:val="single" w:color="auto" w:sz="12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120" w:rightChars="0"/>
              <w:jc w:val="left"/>
              <w:textAlignment w:val="center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predictive probability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12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Median (IQR)</w:t>
            </w:r>
          </w:p>
        </w:tc>
        <w:tc>
          <w:tcPr>
            <w:tcW w:w="0" w:type="auto"/>
            <w:tcBorders>
              <w:top w:val="single" w:color="D3D3D3" w:sz="4" w:space="0"/>
              <w:left w:val="nil"/>
              <w:bottom w:val="single" w:color="auto" w:sz="12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0.150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(0.100 – 0.253)</w:t>
            </w:r>
          </w:p>
        </w:tc>
        <w:tc>
          <w:tcPr>
            <w:tcW w:w="0" w:type="auto"/>
            <w:tcBorders>
              <w:top w:val="single" w:color="D3D3D3" w:sz="4" w:space="0"/>
              <w:left w:val="nil"/>
              <w:bottom w:val="single" w:color="auto" w:sz="12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0.136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(0.095 – 0.211)</w:t>
            </w:r>
          </w:p>
        </w:tc>
        <w:tc>
          <w:tcPr>
            <w:tcW w:w="0" w:type="auto"/>
            <w:tcBorders>
              <w:top w:val="single" w:color="D3D3D3" w:sz="4" w:space="0"/>
              <w:left w:val="nil"/>
              <w:bottom w:val="single" w:color="auto" w:sz="12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0.266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(0.152 – 0.420)</w:t>
            </w:r>
          </w:p>
        </w:tc>
        <w:tc>
          <w:tcPr>
            <w:tcW w:w="0" w:type="auto"/>
            <w:tcBorders>
              <w:top w:val="single" w:color="D3D3D3" w:sz="4" w:space="0"/>
              <w:left w:val="nil"/>
              <w:bottom w:val="single" w:color="auto" w:sz="12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&lt;0.001</w:t>
            </w:r>
          </w:p>
        </w:tc>
      </w:tr>
      <w:bookmarkEnd w:id="2"/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</w:pPr>
    </w:p>
    <w:p>
      <w:pPr>
        <w:ind w:firstLine="640" w:firstLineChars="400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</w:pPr>
      <w:bookmarkStart w:id="3" w:name="OLE_LINK10"/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16"/>
          <w:szCs w:val="16"/>
          <w:highlight w:val="none"/>
          <w:vertAlign w:val="superscript"/>
          <w:lang w:val="en-US" w:eastAsia="zh-CN" w:bidi="ar"/>
        </w:rPr>
        <w:t>1 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16"/>
          <w:szCs w:val="16"/>
          <w:highlight w:val="none"/>
          <w:lang w:val="en-US" w:eastAsia="zh-CN" w:bidi="ar"/>
        </w:rPr>
        <w:t>Median (IQR) or Frequency (%)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16"/>
          <w:szCs w:val="16"/>
          <w:highlight w:val="none"/>
          <w:lang w:val="en-US" w:eastAsia="zh-CN" w:bidi="ar"/>
        </w:rPr>
        <w:t>;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16"/>
          <w:szCs w:val="16"/>
          <w:highlight w:val="none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16"/>
          <w:szCs w:val="16"/>
          <w:highlight w:val="none"/>
          <w:lang w:val="en-US" w:eastAsia="zh-CN" w:bidi="ar"/>
        </w:rPr>
        <w:t> Wilcoxon rank sum test</w:t>
      </w:r>
      <w:bookmarkEnd w:id="3"/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0" w:lineRule="atLeas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  <w:t>Table S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  <w:t xml:space="preserve"> The points and 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  <w:t>predictive probabilities of model II for nRDR and RDR in the external set</w:t>
      </w:r>
    </w:p>
    <w:tbl>
      <w:tblPr>
        <w:tblStyle w:val="3"/>
        <w:tblW w:w="0" w:type="auto"/>
        <w:tblInd w:w="45" w:type="dxa"/>
        <w:tblBorders>
          <w:top w:val="single" w:color="D3D3D3" w:sz="12" w:space="0"/>
          <w:left w:val="none" w:color="D3D3D3" w:sz="4" w:space="0"/>
          <w:bottom w:val="single" w:color="D3D3D3" w:sz="12" w:space="0"/>
          <w:right w:val="none" w:color="D3D3D3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9"/>
        <w:gridCol w:w="1747"/>
        <w:gridCol w:w="1747"/>
        <w:gridCol w:w="1747"/>
        <w:gridCol w:w="811"/>
      </w:tblGrid>
      <w:tr>
        <w:tblPrEx>
          <w:tblBorders>
            <w:top w:val="single" w:color="D3D3D3" w:sz="12" w:space="0"/>
            <w:left w:val="none" w:color="D3D3D3" w:sz="4" w:space="0"/>
            <w:bottom w:val="single" w:color="D3D3D3" w:sz="12" w:space="0"/>
            <w:right w:val="none" w:color="D3D3D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left"/>
              <w:textAlignment w:val="bottom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Style w:val="5"/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Variable</w:t>
            </w:r>
          </w:p>
        </w:tc>
        <w:tc>
          <w:tcPr>
            <w:tcW w:w="0" w:type="auto"/>
            <w:gridSpan w:val="3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Style w:val="5"/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group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i/>
                <w:iCs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P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-</w:t>
            </w:r>
            <w:r>
              <w:rPr>
                <w:rStyle w:val="5"/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value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/>
                <w:iCs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vertAlign w:val="superscript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D3D3D3" w:sz="12" w:space="0"/>
            <w:left w:val="none" w:color="D3D3D3" w:sz="4" w:space="0"/>
            <w:bottom w:val="single" w:color="D3D3D3" w:sz="12" w:space="0"/>
            <w:right w:val="none" w:color="D3D3D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left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Style w:val="5"/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Overall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N = 123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/>
                <w:iCs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vertAlign w:val="superscript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Style w:val="5"/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nRDR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N = 27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/>
                <w:iCs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vertAlign w:val="superscript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Style w:val="5"/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RDR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N = 96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/>
                <w:iCs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vertAlign w:val="superscript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12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/>
              </w:rPr>
              <w:t>points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12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Median (IQR)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63.078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(52.019 – 81.132)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51.513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(47.938 – 60.033)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66.812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(57.492 – 83.222)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3D3D3" w:sz="4" w:space="0"/>
              <w:left w:val="nil"/>
              <w:bottom w:val="single" w:color="auto" w:sz="12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120" w:rightChars="0"/>
              <w:jc w:val="left"/>
              <w:textAlignment w:val="center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predictive probability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12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Median (IQR)</w:t>
            </w:r>
          </w:p>
        </w:tc>
        <w:tc>
          <w:tcPr>
            <w:tcW w:w="0" w:type="auto"/>
            <w:tcBorders>
              <w:top w:val="single" w:color="D3D3D3" w:sz="4" w:space="0"/>
              <w:left w:val="nil"/>
              <w:bottom w:val="single" w:color="auto" w:sz="12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0.240 (0.142 – 0.476)</w:t>
            </w:r>
          </w:p>
        </w:tc>
        <w:tc>
          <w:tcPr>
            <w:tcW w:w="0" w:type="auto"/>
            <w:tcBorders>
              <w:top w:val="single" w:color="D3D3D3" w:sz="4" w:space="0"/>
              <w:left w:val="nil"/>
              <w:bottom w:val="single" w:color="auto" w:sz="12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0.139 (0.115 – 0.209)</w:t>
            </w:r>
          </w:p>
        </w:tc>
        <w:tc>
          <w:tcPr>
            <w:tcW w:w="0" w:type="auto"/>
            <w:tcBorders>
              <w:top w:val="single" w:color="D3D3D3" w:sz="4" w:space="0"/>
              <w:left w:val="nil"/>
              <w:bottom w:val="single" w:color="auto" w:sz="12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0.282 (0.186 – 0.506)</w:t>
            </w:r>
          </w:p>
        </w:tc>
        <w:tc>
          <w:tcPr>
            <w:tcW w:w="0" w:type="auto"/>
            <w:tcBorders>
              <w:top w:val="single" w:color="D3D3D3" w:sz="4" w:space="0"/>
              <w:left w:val="nil"/>
              <w:bottom w:val="single" w:color="auto" w:sz="12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&lt;0.001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16"/>
          <w:szCs w:val="16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16"/>
          <w:szCs w:val="16"/>
          <w:highlight w:val="none"/>
          <w:vertAlign w:val="superscript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16"/>
          <w:szCs w:val="16"/>
          <w:highlight w:val="none"/>
          <w:lang w:val="en-US" w:eastAsia="zh-CN" w:bidi="ar"/>
        </w:rPr>
        <w:t> Median (IQR) or Frequency (%)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16"/>
          <w:szCs w:val="16"/>
          <w:highlight w:val="none"/>
          <w:lang w:val="en-US" w:eastAsia="zh-CN" w:bidi="ar"/>
        </w:rPr>
        <w:t xml:space="preserve">;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16"/>
          <w:szCs w:val="16"/>
          <w:highlight w:val="none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16"/>
          <w:szCs w:val="16"/>
          <w:highlight w:val="none"/>
          <w:lang w:val="en-US" w:eastAsia="zh-CN" w:bidi="ar"/>
        </w:rPr>
        <w:t> Wilcoxon rank sum test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16"/>
          <w:szCs w:val="16"/>
          <w:highlight w:val="none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  <w:t>Table S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  <w:t xml:space="preserve"> The points and 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  <w:t>predictive probabilities of model II for the stages of RDR in the training set and the test se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  <w:t>t</w:t>
      </w:r>
    </w:p>
    <w:tbl>
      <w:tblPr>
        <w:tblStyle w:val="3"/>
        <w:tblW w:w="0" w:type="auto"/>
        <w:tblInd w:w="45" w:type="dxa"/>
        <w:tblBorders>
          <w:top w:val="single" w:color="D3D3D3" w:sz="12" w:space="0"/>
          <w:left w:val="none" w:color="D3D3D3" w:sz="4" w:space="0"/>
          <w:bottom w:val="single" w:color="D3D3D3" w:sz="12" w:space="0"/>
          <w:right w:val="none" w:color="D3D3D3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9"/>
        <w:gridCol w:w="1307"/>
        <w:gridCol w:w="1507"/>
        <w:gridCol w:w="1635"/>
        <w:gridCol w:w="1427"/>
        <w:gridCol w:w="720"/>
      </w:tblGrid>
      <w:tr>
        <w:tblPrEx>
          <w:tblBorders>
            <w:top w:val="single" w:color="D3D3D3" w:sz="12" w:space="0"/>
            <w:left w:val="none" w:color="D3D3D3" w:sz="4" w:space="0"/>
            <w:bottom w:val="single" w:color="D3D3D3" w:sz="12" w:space="0"/>
            <w:right w:val="none" w:color="D3D3D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Variable</w:t>
            </w:r>
          </w:p>
        </w:tc>
        <w:tc>
          <w:tcPr>
            <w:tcW w:w="0" w:type="auto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group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bookmarkStart w:id="4" w:name="OLE_LINK6"/>
            <w:bookmarkStart w:id="5" w:name="OLE_LINK7"/>
            <w:r>
              <w:rPr>
                <w:rStyle w:val="5"/>
                <w:rFonts w:hint="eastAsia" w:ascii="Times New Roman" w:hAnsi="Times New Roman" w:eastAsia="宋体" w:cs="Times New Roman"/>
                <w:i/>
                <w:iCs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P</w:t>
            </w:r>
            <w:bookmarkEnd w:id="4"/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-</w:t>
            </w:r>
            <w:bookmarkEnd w:id="5"/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value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vertAlign w:val="superscript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D3D3D3" w:sz="12" w:space="0"/>
            <w:left w:val="none" w:color="D3D3D3" w:sz="4" w:space="0"/>
            <w:bottom w:val="single" w:color="D3D3D3" w:sz="12" w:space="0"/>
            <w:right w:val="none" w:color="D3D3D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Overall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N = 362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vertAlign w:val="superscript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m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oderate NPDR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N = 180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vertAlign w:val="superscript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severe NPDR or DME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N = 177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vertAlign w:val="superscript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PDR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en-US" w:bidi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N = 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vertAlign w:val="superscript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3D3D3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12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/>
              </w:rPr>
              <w:t>points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12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Median (IQR)</w:t>
            </w:r>
          </w:p>
        </w:tc>
        <w:tc>
          <w:tcPr>
            <w:tcW w:w="0" w:type="auto"/>
            <w:tcBorders>
              <w:top w:val="single" w:color="D3D3D3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65.703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120" w:right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(53.598–77.477)</w:t>
            </w:r>
          </w:p>
        </w:tc>
        <w:tc>
          <w:tcPr>
            <w:tcW w:w="0" w:type="auto"/>
            <w:tcBorders>
              <w:top w:val="single" w:color="D3D3D3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62.816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 (51.664–74.042)</w:t>
            </w:r>
          </w:p>
        </w:tc>
        <w:tc>
          <w:tcPr>
            <w:tcW w:w="0" w:type="auto"/>
            <w:tcBorders>
              <w:top w:val="single" w:color="D3D3D3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68.968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(56.260–83.917)</w:t>
            </w:r>
          </w:p>
        </w:tc>
        <w:tc>
          <w:tcPr>
            <w:tcW w:w="0" w:type="auto"/>
            <w:tcBorders>
              <w:top w:val="single" w:color="D3D3D3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65.057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(56.544–82.567)</w:t>
            </w:r>
          </w:p>
        </w:tc>
        <w:tc>
          <w:tcPr>
            <w:tcW w:w="0" w:type="auto"/>
            <w:tcBorders>
              <w:top w:val="single" w:color="D3D3D3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3D3D3" w:sz="4" w:space="0"/>
              <w:left w:val="nil"/>
              <w:bottom w:val="single" w:color="auto" w:sz="12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120" w:rightChars="0"/>
              <w:jc w:val="left"/>
              <w:textAlignment w:val="center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predictive probability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12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Median (IQR)</w:t>
            </w:r>
          </w:p>
        </w:tc>
        <w:tc>
          <w:tcPr>
            <w:tcW w:w="0" w:type="auto"/>
            <w:tcBorders>
              <w:top w:val="single" w:color="D3D3D3" w:sz="4" w:space="0"/>
              <w:left w:val="nil"/>
              <w:bottom w:val="single" w:color="auto" w:sz="12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0.266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120" w:right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en-US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(0.152 – 0.420)</w:t>
            </w:r>
          </w:p>
        </w:tc>
        <w:tc>
          <w:tcPr>
            <w:tcW w:w="0" w:type="auto"/>
            <w:tcBorders>
              <w:top w:val="single" w:color="D3D3D3" w:sz="4" w:space="0"/>
              <w:left w:val="nil"/>
              <w:bottom w:val="single" w:color="auto" w:sz="12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0.235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en-US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 (0.138 – 0.372)</w:t>
            </w:r>
          </w:p>
        </w:tc>
        <w:tc>
          <w:tcPr>
            <w:tcW w:w="0" w:type="auto"/>
            <w:tcBorders>
              <w:top w:val="single" w:color="D3D3D3" w:sz="4" w:space="0"/>
              <w:left w:val="nil"/>
              <w:bottom w:val="single" w:color="auto" w:sz="12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0.305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en-US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 (0.173 – 0.513)</w:t>
            </w:r>
          </w:p>
        </w:tc>
        <w:tc>
          <w:tcPr>
            <w:tcW w:w="0" w:type="auto"/>
            <w:tcBorders>
              <w:top w:val="single" w:color="D3D3D3" w:sz="4" w:space="0"/>
              <w:left w:val="nil"/>
              <w:bottom w:val="single" w:color="auto" w:sz="12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0.259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en-US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(0.175 – 0.494)</w:t>
            </w:r>
          </w:p>
        </w:tc>
        <w:tc>
          <w:tcPr>
            <w:tcW w:w="0" w:type="auto"/>
            <w:tcBorders>
              <w:top w:val="single" w:color="D3D3D3" w:sz="4" w:space="0"/>
              <w:left w:val="nil"/>
              <w:bottom w:val="single" w:color="auto" w:sz="12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en-US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0.006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0" w:lineRule="atLeast"/>
        <w:ind w:right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16"/>
          <w:szCs w:val="16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16"/>
          <w:szCs w:val="16"/>
          <w:highlight w:val="none"/>
          <w:vertAlign w:val="superscript"/>
          <w:lang w:val="en-US" w:eastAsia="zh-CN" w:bidi="ar"/>
        </w:rPr>
        <w:t>1 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16"/>
          <w:szCs w:val="16"/>
          <w:highlight w:val="none"/>
          <w:lang w:val="en-US" w:eastAsia="zh-CN" w:bidi="ar"/>
        </w:rPr>
        <w:t>Median (IQR) or Frequency (%)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16"/>
          <w:szCs w:val="16"/>
          <w:highlight w:val="none"/>
          <w:lang w:val="en-US" w:eastAsia="zh-CN" w:bidi="ar"/>
        </w:rPr>
        <w:t xml:space="preserve">;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16"/>
          <w:szCs w:val="16"/>
          <w:highlight w:val="none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16"/>
          <w:szCs w:val="16"/>
          <w:highlight w:val="none"/>
          <w:lang w:val="en-US" w:eastAsia="zh-CN" w:bidi="ar"/>
        </w:rPr>
        <w:t> Kruskal-Wallis rank sum test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16"/>
          <w:szCs w:val="16"/>
          <w:highlight w:val="none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0" w:lineRule="atLeast"/>
        <w:ind w:left="0" w:right="0" w:firstLine="525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0" w:lineRule="atLeast"/>
        <w:ind w:left="0" w:right="0" w:firstLine="525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0" w:lineRule="atLeast"/>
        <w:ind w:left="0" w:right="0" w:firstLine="525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  <w:t>Table S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  <w:t xml:space="preserve">The points and 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  <w:t>predictive probabilities of model II for the stages of RDR in the external set</w:t>
      </w:r>
    </w:p>
    <w:tbl>
      <w:tblPr>
        <w:tblStyle w:val="3"/>
        <w:tblpPr w:leftFromText="180" w:rightFromText="180" w:vertAnchor="text" w:horzAnchor="page" w:tblpX="1822" w:tblpY="223"/>
        <w:tblOverlap w:val="never"/>
        <w:tblW w:w="0" w:type="auto"/>
        <w:tblInd w:w="0" w:type="dxa"/>
        <w:tblBorders>
          <w:top w:val="single" w:color="D3D3D3" w:sz="12" w:space="0"/>
          <w:left w:val="none" w:color="D3D3D3" w:sz="4" w:space="0"/>
          <w:bottom w:val="single" w:color="D3D3D3" w:sz="12" w:space="0"/>
          <w:right w:val="none" w:color="D3D3D3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8"/>
        <w:gridCol w:w="1572"/>
        <w:gridCol w:w="1520"/>
        <w:gridCol w:w="1554"/>
        <w:gridCol w:w="1780"/>
        <w:gridCol w:w="811"/>
      </w:tblGrid>
      <w:tr>
        <w:tblPrEx>
          <w:tblBorders>
            <w:top w:val="single" w:color="D3D3D3" w:sz="12" w:space="0"/>
            <w:left w:val="none" w:color="D3D3D3" w:sz="4" w:space="0"/>
            <w:bottom w:val="single" w:color="D3D3D3" w:sz="12" w:space="0"/>
            <w:right w:val="none" w:color="D3D3D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188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left"/>
              <w:textAlignment w:val="bottom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Style w:val="5"/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Variable</w:t>
            </w:r>
          </w:p>
        </w:tc>
        <w:tc>
          <w:tcPr>
            <w:tcW w:w="6426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Style w:val="5"/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group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i/>
                <w:iCs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P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-</w:t>
            </w:r>
            <w:r>
              <w:rPr>
                <w:rStyle w:val="5"/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value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/>
                <w:iCs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vertAlign w:val="superscript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D3D3D3" w:sz="12" w:space="0"/>
            <w:left w:val="none" w:color="D3D3D3" w:sz="4" w:space="0"/>
            <w:bottom w:val="single" w:color="D3D3D3" w:sz="12" w:space="0"/>
            <w:right w:val="none" w:color="D3D3D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188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left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Style w:val="5"/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Overall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N = 101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/>
                <w:iCs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vertAlign w:val="superscript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Style w:val="5"/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PDR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N = 48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/>
                <w:iCs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vertAlign w:val="superscript"/>
                <w:lang w:val="en-US" w:eastAsia="zh-CN" w:bidi="ar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Style w:val="5"/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bookmarkStart w:id="6" w:name="OLE_LINK4"/>
            <w:r>
              <w:rPr>
                <w:rStyle w:val="5"/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moderate </w:t>
            </w:r>
            <w:bookmarkEnd w:id="6"/>
            <w:r>
              <w:rPr>
                <w:rStyle w:val="5"/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NPDR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N = 20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/>
                <w:iCs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vertAlign w:val="superscript"/>
                <w:lang w:val="en-US" w:eastAsia="zh-CN" w:bidi="ar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Style w:val="5"/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severe NPDR or DME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N = 33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/>
                <w:iCs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vertAlign w:val="superscript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12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/>
              </w:rPr>
              <w:t>points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12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Median (IQR)</w:t>
            </w:r>
          </w:p>
        </w:tc>
        <w:tc>
          <w:tcPr>
            <w:tcW w:w="1572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65.589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both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(56.163 – 83.235)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81.579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both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(74.555 – 92.254)</w:t>
            </w:r>
          </w:p>
        </w:tc>
        <w:tc>
          <w:tcPr>
            <w:tcW w:w="1554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48.367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(42.320 – 53.097)</w:t>
            </w: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61.104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both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(56.163 – 64.778)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D3D3D3" w:sz="4" w:space="0"/>
              <w:left w:val="nil"/>
              <w:bottom w:val="single" w:color="auto" w:sz="12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120" w:rightChars="0"/>
              <w:jc w:val="left"/>
              <w:textAlignment w:val="center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predictive probability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12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Median (IQR)</w:t>
            </w:r>
          </w:p>
        </w:tc>
        <w:tc>
          <w:tcPr>
            <w:tcW w:w="1572" w:type="dxa"/>
            <w:tcBorders>
              <w:top w:val="single" w:color="D3D3D3" w:sz="4" w:space="0"/>
              <w:left w:val="nil"/>
              <w:bottom w:val="single" w:color="auto" w:sz="12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0.268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both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(0.174 – 0.507)</w:t>
            </w:r>
          </w:p>
        </w:tc>
        <w:tc>
          <w:tcPr>
            <w:tcW w:w="1520" w:type="dxa"/>
            <w:tcBorders>
              <w:top w:val="single" w:color="D3D3D3" w:sz="4" w:space="0"/>
              <w:left w:val="nil"/>
              <w:bottom w:val="single" w:color="auto" w:sz="12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0.482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both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 (0.383 – 0.635)</w:t>
            </w:r>
          </w:p>
        </w:tc>
        <w:tc>
          <w:tcPr>
            <w:tcW w:w="1554" w:type="dxa"/>
            <w:tcBorders>
              <w:top w:val="single" w:color="D3D3D3" w:sz="4" w:space="0"/>
              <w:left w:val="nil"/>
              <w:bottom w:val="single" w:color="auto" w:sz="12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0.118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both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 (0.086 – 0.150)</w:t>
            </w:r>
          </w:p>
        </w:tc>
        <w:tc>
          <w:tcPr>
            <w:tcW w:w="1780" w:type="dxa"/>
            <w:tcBorders>
              <w:top w:val="single" w:color="D3D3D3" w:sz="4" w:space="0"/>
              <w:left w:val="nil"/>
              <w:bottom w:val="single" w:color="auto" w:sz="12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0.220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both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(0.174 – 0.259)</w:t>
            </w:r>
          </w:p>
        </w:tc>
        <w:tc>
          <w:tcPr>
            <w:tcW w:w="0" w:type="auto"/>
            <w:tcBorders>
              <w:top w:val="single" w:color="D3D3D3" w:sz="4" w:space="0"/>
              <w:left w:val="nil"/>
              <w:bottom w:val="single" w:color="auto" w:sz="12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&lt;0.001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0" w:lineRule="atLeas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16"/>
          <w:szCs w:val="16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0" w:lineRule="atLeas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16"/>
          <w:szCs w:val="16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16"/>
          <w:szCs w:val="16"/>
          <w:highlight w:val="none"/>
          <w:vertAlign w:val="super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16"/>
          <w:szCs w:val="16"/>
          <w:highlight w:val="none"/>
          <w:lang w:val="en-US" w:eastAsia="zh-CN"/>
        </w:rPr>
        <w:t> Median (IQR) or Frequency (%)</w:t>
      </w:r>
      <w:r>
        <w:rPr>
          <w:rFonts w:hint="eastAsia" w:ascii="Times New Roman" w:hAnsi="Times New Roman" w:eastAsia="宋体" w:cs="Times New Roman"/>
          <w:color w:val="auto"/>
          <w:sz w:val="16"/>
          <w:szCs w:val="16"/>
          <w:highlight w:val="none"/>
          <w:lang w:val="en-US" w:eastAsia="zh-CN"/>
        </w:rPr>
        <w:t xml:space="preserve">; </w:t>
      </w:r>
      <w:r>
        <w:rPr>
          <w:rFonts w:hint="default" w:ascii="Times New Roman" w:hAnsi="Times New Roman" w:eastAsia="宋体" w:cs="Times New Roman"/>
          <w:color w:val="auto"/>
          <w:sz w:val="16"/>
          <w:szCs w:val="16"/>
          <w:highlight w:val="none"/>
          <w:vertAlign w:val="superscript"/>
          <w:lang w:val="en-US" w:eastAsia="zh-CN"/>
        </w:rPr>
        <w:t>2 </w:t>
      </w:r>
      <w:r>
        <w:rPr>
          <w:rFonts w:hint="default" w:ascii="Times New Roman" w:hAnsi="Times New Roman" w:eastAsia="宋体" w:cs="Times New Roman"/>
          <w:color w:val="auto"/>
          <w:sz w:val="16"/>
          <w:szCs w:val="16"/>
          <w:highlight w:val="none"/>
          <w:lang w:val="en-US" w:eastAsia="zh-CN"/>
        </w:rPr>
        <w:t>Kruskal-Wallis rank sum test</w:t>
      </w:r>
      <w:r>
        <w:rPr>
          <w:rFonts w:hint="eastAsia" w:ascii="Times New Roman" w:hAnsi="Times New Roman" w:eastAsia="宋体" w:cs="Times New Roman"/>
          <w:color w:val="auto"/>
          <w:sz w:val="16"/>
          <w:szCs w:val="16"/>
          <w:highlight w:val="none"/>
          <w:lang w:val="en-US" w:eastAsia="zh-CN"/>
        </w:rPr>
        <w:t>.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0" w:lineRule="atLeast"/>
        <w:ind w:leftChars="0" w:right="0" w:rightChars="0"/>
        <w:rPr>
          <w:rFonts w:hint="default" w:ascii="Times New Roman" w:hAnsi="Times New Roman" w:eastAsia="宋体" w:cs="Times New Roman"/>
          <w:color w:val="auto"/>
          <w:sz w:val="20"/>
          <w:szCs w:val="20"/>
          <w:highlight w:val="none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0" w:lineRule="atLeas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  <w:t>Table S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  <w:t>8</w:t>
      </w:r>
      <w:bookmarkStart w:id="8" w:name="_GoBack"/>
      <w:bookmarkEnd w:id="8"/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  <w:t xml:space="preserve"> The points and 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0"/>
          <w:szCs w:val="20"/>
          <w:highlight w:val="none"/>
          <w:lang w:val="en-US" w:eastAsia="zh-CN" w:bidi="ar"/>
        </w:rPr>
        <w:t>predictive probabilities of the RDR stages of model II in the datasets</w:t>
      </w:r>
    </w:p>
    <w:tbl>
      <w:tblPr>
        <w:tblStyle w:val="3"/>
        <w:tblW w:w="0" w:type="auto"/>
        <w:tblInd w:w="45" w:type="dxa"/>
        <w:tblBorders>
          <w:top w:val="single" w:color="D3D3D3" w:sz="12" w:space="0"/>
          <w:left w:val="none" w:color="D3D3D3" w:sz="4" w:space="0"/>
          <w:bottom w:val="single" w:color="D3D3D3" w:sz="12" w:space="0"/>
          <w:right w:val="none" w:color="D3D3D3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8"/>
        <w:gridCol w:w="1437"/>
        <w:gridCol w:w="1444"/>
        <w:gridCol w:w="1538"/>
        <w:gridCol w:w="1539"/>
        <w:gridCol w:w="885"/>
      </w:tblGrid>
      <w:tr>
        <w:tblPrEx>
          <w:tblBorders>
            <w:top w:val="single" w:color="D3D3D3" w:sz="12" w:space="0"/>
            <w:left w:val="none" w:color="D3D3D3" w:sz="4" w:space="0"/>
            <w:bottom w:val="single" w:color="D3D3D3" w:sz="12" w:space="0"/>
            <w:right w:val="none" w:color="D3D3D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538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bookmarkStart w:id="7" w:name="OLE_LINK8"/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Variable</w:t>
            </w:r>
          </w:p>
        </w:tc>
        <w:tc>
          <w:tcPr>
            <w:tcW w:w="5958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group</w:t>
            </w:r>
          </w:p>
        </w:tc>
        <w:tc>
          <w:tcPr>
            <w:tcW w:w="885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i/>
                <w:iCs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P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-value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vertAlign w:val="superscript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D3D3D3" w:sz="12" w:space="0"/>
            <w:left w:val="none" w:color="D3D3D3" w:sz="4" w:space="0"/>
            <w:bottom w:val="single" w:color="D3D3D3" w:sz="12" w:space="0"/>
            <w:right w:val="none" w:color="D3D3D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538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Overall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N = 463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vertAlign w:val="superscript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rain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en-US" w:bidi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N = 290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vertAlign w:val="superscript"/>
                <w:lang w:val="en-US" w:eastAsia="zh-CN" w:bidi="ar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T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est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N = 72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vertAlign w:val="superscript"/>
                <w:lang w:val="en-US" w:eastAsia="zh-CN" w:bidi="ar"/>
              </w:rPr>
              <w:t>1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V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alidation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0" w:firstLine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N = 101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vertAlign w:val="superscript"/>
                <w:lang w:val="en-US" w:eastAsia="zh-CN" w:bidi="ar"/>
              </w:rPr>
              <w:t>1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60" w:type="dxa"/>
              <w:left w:w="60" w:type="dxa"/>
              <w:bottom w:w="72" w:type="dxa"/>
              <w:right w:w="6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120" w:firstLine="161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/>
              </w:rPr>
              <w:t>points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120" w:firstLine="16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Median (IQR)</w:t>
            </w:r>
          </w:p>
        </w:tc>
        <w:tc>
          <w:tcPr>
            <w:tcW w:w="1437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65.681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12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(53.882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– 79.238)</w:t>
            </w:r>
          </w:p>
        </w:tc>
        <w:tc>
          <w:tcPr>
            <w:tcW w:w="1444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65.592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12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en-US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(53.231 – 77.373)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66.264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12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(56.967 – 78.158)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65.589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(56.163 – 83.235)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8" w:type="dxa"/>
            <w:tcBorders>
              <w:top w:val="single" w:color="D3D3D3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98" w:leftChars="90" w:right="120" w:rightChars="0" w:firstLine="0" w:firstLineChars="0"/>
              <w:jc w:val="left"/>
              <w:textAlignment w:val="center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predictive probability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119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119" w:firstLine="16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/>
              </w:rPr>
              <w:t>Median (IQR)</w:t>
            </w:r>
          </w:p>
        </w:tc>
        <w:tc>
          <w:tcPr>
            <w:tcW w:w="1437" w:type="dxa"/>
            <w:tcBorders>
              <w:top w:val="single" w:color="D3D3D3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0.267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12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(0.154 – 0.445)</w:t>
            </w:r>
          </w:p>
        </w:tc>
        <w:tc>
          <w:tcPr>
            <w:tcW w:w="1444" w:type="dxa"/>
            <w:tcBorders>
              <w:top w:val="single" w:color="D3D3D3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0.265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12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en-US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(0.149 – 0.418)</w:t>
            </w:r>
          </w:p>
        </w:tc>
        <w:tc>
          <w:tcPr>
            <w:tcW w:w="1538" w:type="dxa"/>
            <w:tcBorders>
              <w:top w:val="single" w:color="D3D3D3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0.273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12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(0.179 – 0.429)</w:t>
            </w:r>
          </w:p>
        </w:tc>
        <w:tc>
          <w:tcPr>
            <w:tcW w:w="1539" w:type="dxa"/>
            <w:tcBorders>
              <w:top w:val="single" w:color="D3D3D3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 xml:space="preserve">0.268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(0.174 – 0.507)</w:t>
            </w:r>
          </w:p>
        </w:tc>
        <w:tc>
          <w:tcPr>
            <w:tcW w:w="885" w:type="dxa"/>
            <w:tcBorders>
              <w:top w:val="single" w:color="D3D3D3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0.272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right="12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type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en-US" w:bidi="en-US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8" w:type="dxa"/>
            <w:tcBorders>
              <w:top w:val="single" w:color="D3D3D3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98" w:leftChars="90" w:right="12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moderate NPDR</w:t>
            </w:r>
          </w:p>
        </w:tc>
        <w:tc>
          <w:tcPr>
            <w:tcW w:w="1437" w:type="dxa"/>
            <w:tcBorders>
              <w:top w:val="single" w:color="D3D3D3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200 (43)</w:t>
            </w:r>
          </w:p>
        </w:tc>
        <w:tc>
          <w:tcPr>
            <w:tcW w:w="1444" w:type="dxa"/>
            <w:tcBorders>
              <w:top w:val="single" w:color="D3D3D3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en-US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142 (49)</w:t>
            </w:r>
          </w:p>
        </w:tc>
        <w:tc>
          <w:tcPr>
            <w:tcW w:w="1538" w:type="dxa"/>
            <w:tcBorders>
              <w:top w:val="single" w:color="D3D3D3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38 (53)</w:t>
            </w:r>
          </w:p>
        </w:tc>
        <w:tc>
          <w:tcPr>
            <w:tcW w:w="1539" w:type="dxa"/>
            <w:tcBorders>
              <w:top w:val="single" w:color="D3D3D3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20 (20)</w:t>
            </w:r>
          </w:p>
        </w:tc>
        <w:tc>
          <w:tcPr>
            <w:tcW w:w="885" w:type="dxa"/>
            <w:tcBorders>
              <w:top w:val="single" w:color="D3D3D3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8" w:type="dxa"/>
            <w:tcBorders>
              <w:top w:val="single" w:color="D3D3D3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98" w:leftChars="90" w:right="12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severe NPDR or DME</w:t>
            </w:r>
          </w:p>
        </w:tc>
        <w:tc>
          <w:tcPr>
            <w:tcW w:w="1437" w:type="dxa"/>
            <w:tcBorders>
              <w:top w:val="single" w:color="D3D3D3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210 (45)</w:t>
            </w:r>
          </w:p>
        </w:tc>
        <w:tc>
          <w:tcPr>
            <w:tcW w:w="1444" w:type="dxa"/>
            <w:tcBorders>
              <w:top w:val="single" w:color="D3D3D3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en-US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143 (49)</w:t>
            </w:r>
          </w:p>
        </w:tc>
        <w:tc>
          <w:tcPr>
            <w:tcW w:w="1538" w:type="dxa"/>
            <w:tcBorders>
              <w:top w:val="single" w:color="D3D3D3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34 (47)</w:t>
            </w:r>
          </w:p>
        </w:tc>
        <w:tc>
          <w:tcPr>
            <w:tcW w:w="1539" w:type="dxa"/>
            <w:tcBorders>
              <w:top w:val="single" w:color="D3D3D3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33 (33)</w:t>
            </w:r>
          </w:p>
        </w:tc>
        <w:tc>
          <w:tcPr>
            <w:tcW w:w="885" w:type="dxa"/>
            <w:tcBorders>
              <w:top w:val="single" w:color="D3D3D3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right="120"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8" w:type="dxa"/>
            <w:tcBorders>
              <w:top w:val="single" w:color="D3D3D3" w:sz="4" w:space="0"/>
              <w:left w:val="nil"/>
              <w:bottom w:val="single" w:color="auto" w:sz="12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120" w:rightChars="0" w:firstLine="16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PDR</w:t>
            </w:r>
          </w:p>
        </w:tc>
        <w:tc>
          <w:tcPr>
            <w:tcW w:w="1437" w:type="dxa"/>
            <w:tcBorders>
              <w:top w:val="single" w:color="D3D3D3" w:sz="4" w:space="0"/>
              <w:left w:val="nil"/>
              <w:bottom w:val="single" w:color="auto" w:sz="12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53 (11)</w:t>
            </w:r>
          </w:p>
        </w:tc>
        <w:tc>
          <w:tcPr>
            <w:tcW w:w="1444" w:type="dxa"/>
            <w:tcBorders>
              <w:top w:val="single" w:color="D3D3D3" w:sz="4" w:space="0"/>
              <w:left w:val="nil"/>
              <w:bottom w:val="single" w:color="auto" w:sz="12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5 (1.7)</w:t>
            </w:r>
          </w:p>
        </w:tc>
        <w:tc>
          <w:tcPr>
            <w:tcW w:w="1538" w:type="dxa"/>
            <w:tcBorders>
              <w:top w:val="single" w:color="D3D3D3" w:sz="4" w:space="0"/>
              <w:left w:val="nil"/>
              <w:bottom w:val="single" w:color="auto" w:sz="12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0 (0)</w:t>
            </w:r>
          </w:p>
        </w:tc>
        <w:tc>
          <w:tcPr>
            <w:tcW w:w="1539" w:type="dxa"/>
            <w:tcBorders>
              <w:top w:val="single" w:color="D3D3D3" w:sz="4" w:space="0"/>
              <w:left w:val="nil"/>
              <w:bottom w:val="single" w:color="auto" w:sz="12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48 (48)</w:t>
            </w:r>
          </w:p>
        </w:tc>
        <w:tc>
          <w:tcPr>
            <w:tcW w:w="885" w:type="dxa"/>
            <w:tcBorders>
              <w:top w:val="single" w:color="D3D3D3" w:sz="4" w:space="0"/>
              <w:left w:val="nil"/>
              <w:bottom w:val="single" w:color="auto" w:sz="12" w:space="0"/>
              <w:right w:val="nil"/>
            </w:tcBorders>
            <w:shd w:val="clear" w:color="auto" w:fill="FFFFFF"/>
            <w:tcMar>
              <w:top w:w="96" w:type="dxa"/>
              <w:left w:w="60" w:type="dxa"/>
              <w:bottom w:w="96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120" w:leftChars="0" w:right="12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highlight w:val="none"/>
                <w:lang w:val="en-US" w:eastAsia="en-US" w:bidi="en-US"/>
              </w:rPr>
            </w:pPr>
          </w:p>
        </w:tc>
      </w:tr>
      <w:bookmarkEnd w:id="7"/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0" w:lineRule="atLeast"/>
        <w:rPr>
          <w:rFonts w:hint="default" w:ascii="Times New Roman" w:hAnsi="Times New Roman" w:eastAsia="宋体" w:cs="Times New Roman"/>
          <w:color w:val="auto"/>
          <w:sz w:val="16"/>
          <w:szCs w:val="16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16"/>
          <w:szCs w:val="16"/>
          <w:highlight w:val="none"/>
          <w:vertAlign w:val="super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16"/>
          <w:szCs w:val="16"/>
          <w:highlight w:val="none"/>
          <w:lang w:val="en-US" w:eastAsia="zh-CN"/>
        </w:rPr>
        <w:t> Median (IQR) or Frequency (%)</w:t>
      </w:r>
      <w:r>
        <w:rPr>
          <w:rFonts w:hint="eastAsia" w:ascii="Times New Roman" w:hAnsi="Times New Roman" w:eastAsia="宋体" w:cs="Times New Roman"/>
          <w:color w:val="auto"/>
          <w:sz w:val="16"/>
          <w:szCs w:val="16"/>
          <w:highlight w:val="none"/>
          <w:lang w:val="en-US" w:eastAsia="zh-CN"/>
        </w:rPr>
        <w:t xml:space="preserve">; </w:t>
      </w:r>
      <w:r>
        <w:rPr>
          <w:rFonts w:hint="default" w:ascii="Times New Roman" w:hAnsi="Times New Roman" w:eastAsia="宋体" w:cs="Times New Roman"/>
          <w:color w:val="auto"/>
          <w:sz w:val="16"/>
          <w:szCs w:val="16"/>
          <w:highlight w:val="none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16"/>
          <w:szCs w:val="16"/>
          <w:highlight w:val="none"/>
          <w:lang w:val="en-US" w:eastAsia="zh-CN"/>
        </w:rPr>
        <w:t> Kruskal-Wallis rank sum test; Pearson’s Chi-squared test</w:t>
      </w:r>
      <w:r>
        <w:rPr>
          <w:rFonts w:hint="eastAsia" w:ascii="Times New Roman" w:hAnsi="Times New Roman" w:eastAsia="宋体" w:cs="Times New Roman"/>
          <w:color w:val="auto"/>
          <w:sz w:val="16"/>
          <w:szCs w:val="16"/>
          <w:highlight w:val="none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0" w:lineRule="atLeast"/>
        <w:rPr>
          <w:rFonts w:hint="default" w:ascii="Times New Roman" w:hAnsi="Times New Roman" w:eastAsia="宋体" w:cs="Times New Roman"/>
          <w:color w:val="auto"/>
          <w:sz w:val="20"/>
          <w:szCs w:val="20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0" w:lineRule="atLeast"/>
        <w:rPr>
          <w:rFonts w:hint="default" w:ascii="Times New Roman" w:hAnsi="Times New Roman" w:eastAsia="宋体" w:cs="Times New Roman"/>
          <w:color w:val="auto"/>
          <w:sz w:val="20"/>
          <w:szCs w:val="20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OTAzODdhODZjYWJmNDAxODM3NGJiOWE4NDVkYTMifQ=="/>
    <w:docVar w:name="KSO_WPS_MARK_KEY" w:val="6ec09888-5977-4fcb-ba50-b970267f6ad5"/>
  </w:docVars>
  <w:rsids>
    <w:rsidRoot w:val="501E68DC"/>
    <w:rsid w:val="02BB54A8"/>
    <w:rsid w:val="098350DA"/>
    <w:rsid w:val="0AF52007"/>
    <w:rsid w:val="0C1F4E62"/>
    <w:rsid w:val="0F0C791F"/>
    <w:rsid w:val="187D363C"/>
    <w:rsid w:val="2661634B"/>
    <w:rsid w:val="28081174"/>
    <w:rsid w:val="32216284"/>
    <w:rsid w:val="3A9B19D4"/>
    <w:rsid w:val="3E864749"/>
    <w:rsid w:val="41EE4ADF"/>
    <w:rsid w:val="46476EBF"/>
    <w:rsid w:val="4758311C"/>
    <w:rsid w:val="48EC25B8"/>
    <w:rsid w:val="4C0F15FC"/>
    <w:rsid w:val="501E68DC"/>
    <w:rsid w:val="54014B46"/>
    <w:rsid w:val="574D2195"/>
    <w:rsid w:val="5B3C46B5"/>
    <w:rsid w:val="5E4465B9"/>
    <w:rsid w:val="62212560"/>
    <w:rsid w:val="68703BF0"/>
    <w:rsid w:val="6A4B221F"/>
    <w:rsid w:val="6CFA5ECD"/>
    <w:rsid w:val="7034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888</Words>
  <Characters>4120</Characters>
  <Lines>0</Lines>
  <Paragraphs>0</Paragraphs>
  <TotalTime>2</TotalTime>
  <ScaleCrop>false</ScaleCrop>
  <LinksUpToDate>false</LinksUpToDate>
  <CharactersWithSpaces>4529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2024-10-11T01:11:00Z</dcterms:created>
  <dc:creator>lileo</dc:creator>
  <cp:lastModifiedBy>lileo</cp:lastModifiedBy>
  <dcterms:modified xsi:type="dcterms:W3CDTF">2024-11-19T03:03:38Z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9BF00A12102A46E29CAE2F699C560023_11</vt:lpwstr>
  </property>
</Properties>
</file>