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D762" w14:textId="13763838" w:rsidR="005077C8" w:rsidRPr="00654F2F" w:rsidRDefault="00C43656" w:rsidP="00654F2F">
      <w:pPr>
        <w:pStyle w:val="Heading1"/>
        <w:spacing w:before="0"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Additional file </w:t>
      </w:r>
      <w:r w:rsidR="00BD3C34" w:rsidRPr="00654F2F">
        <w:rPr>
          <w:rFonts w:ascii="Times New Roman" w:hAnsi="Times New Roman" w:cs="Times New Roman"/>
          <w:sz w:val="24"/>
          <w:szCs w:val="24"/>
        </w:rPr>
        <w:t>2</w:t>
      </w:r>
      <w:r w:rsidR="007F282A" w:rsidRPr="00654F2F">
        <w:rPr>
          <w:rFonts w:ascii="Times New Roman" w:hAnsi="Times New Roman" w:cs="Times New Roman"/>
          <w:sz w:val="24"/>
          <w:szCs w:val="24"/>
        </w:rPr>
        <w:t xml:space="preserve">: </w:t>
      </w:r>
      <w:r w:rsidRPr="00654F2F">
        <w:rPr>
          <w:rFonts w:ascii="Times New Roman" w:hAnsi="Times New Roman" w:cs="Times New Roman"/>
          <w:sz w:val="24"/>
          <w:szCs w:val="24"/>
        </w:rPr>
        <w:t>T</w:t>
      </w:r>
      <w:r w:rsidR="00825AB3" w:rsidRPr="00654F2F">
        <w:rPr>
          <w:rFonts w:ascii="Times New Roman" w:hAnsi="Times New Roman" w:cs="Times New Roman"/>
          <w:sz w:val="24"/>
          <w:szCs w:val="24"/>
        </w:rPr>
        <w:t>he General Theory of Implementation</w:t>
      </w:r>
      <w:r w:rsidRPr="00654F2F">
        <w:rPr>
          <w:rFonts w:ascii="Times New Roman" w:hAnsi="Times New Roman" w:cs="Times New Roman"/>
          <w:sz w:val="24"/>
          <w:szCs w:val="24"/>
        </w:rPr>
        <w:t xml:space="preserve"> and how it</w:t>
      </w:r>
      <w:r w:rsidR="00825AB3" w:rsidRPr="00654F2F">
        <w:rPr>
          <w:rFonts w:ascii="Times New Roman" w:hAnsi="Times New Roman" w:cs="Times New Roman"/>
          <w:sz w:val="24"/>
          <w:szCs w:val="24"/>
        </w:rPr>
        <w:t xml:space="preserve"> informed data collection and analysis</w:t>
      </w:r>
    </w:p>
    <w:p w14:paraId="5299FA64" w14:textId="7834B38D" w:rsidR="005077C8" w:rsidRPr="00654F2F" w:rsidRDefault="005077C8" w:rsidP="00654F2F">
      <w:pPr>
        <w:pStyle w:val="Heading2"/>
        <w:spacing w:before="0"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General Theory of Implementation (GTI) </w:t>
      </w:r>
    </w:p>
    <w:p w14:paraId="673AB0D4" w14:textId="4F229613" w:rsidR="00694415" w:rsidRPr="00654F2F" w:rsidRDefault="004B53BD"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GTI examines the dynamic interaction between human agency (people’s ability to make things happen through their actions, and the focus of NPT) and dynamic elements of context (the resources that people can draw on to realise that agency) (see figure 1) </w:t>
      </w:r>
      <w:r w:rsidR="00EE5D58" w:rsidRPr="00654F2F">
        <w:rPr>
          <w:rFonts w:ascii="Times New Roman" w:hAnsi="Times New Roman" w:cs="Times New Roman"/>
          <w:sz w:val="24"/>
          <w:szCs w:val="24"/>
        </w:rPr>
        <w:fldChar w:fldCharType="begin"/>
      </w:r>
      <w:r w:rsidR="00EE5D58" w:rsidRPr="00654F2F">
        <w:rPr>
          <w:rFonts w:ascii="Times New Roman" w:hAnsi="Times New Roman" w:cs="Times New Roman"/>
          <w:sz w:val="24"/>
          <w:szCs w:val="24"/>
        </w:rPr>
        <w:instrText xml:space="preserve"> ADDIN ZOTERO_ITEM CSL_CITATION {"citationID":"ebq7fdNK","properties":{"formattedCitation":"(C.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00EE5D58" w:rsidRPr="00654F2F">
        <w:rPr>
          <w:rFonts w:ascii="Times New Roman" w:hAnsi="Times New Roman" w:cs="Times New Roman"/>
          <w:sz w:val="24"/>
          <w:szCs w:val="24"/>
        </w:rPr>
        <w:fldChar w:fldCharType="separate"/>
      </w:r>
      <w:r w:rsidR="00EE5D58" w:rsidRPr="00654F2F">
        <w:rPr>
          <w:rFonts w:ascii="Times New Roman" w:hAnsi="Times New Roman" w:cs="Times New Roman"/>
          <w:sz w:val="24"/>
          <w:szCs w:val="24"/>
        </w:rPr>
        <w:t>(C. May 2013)</w:t>
      </w:r>
      <w:r w:rsidR="00EE5D58"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w:t>
      </w:r>
      <w:r w:rsidR="00694415" w:rsidRPr="00654F2F">
        <w:rPr>
          <w:rFonts w:ascii="Times New Roman" w:hAnsi="Times New Roman" w:cs="Times New Roman"/>
          <w:sz w:val="24"/>
          <w:szCs w:val="24"/>
        </w:rPr>
        <w:t>People’s actions to sustain an intervention may be mobilised or hindered by social structural resources, such as social roles, social norms and material resources (e.g. funds/equipment/space), or social cognitive resources such as staff’s commitment to learning and implementing a new behavioural approach.</w:t>
      </w:r>
    </w:p>
    <w:p w14:paraId="4492441A" w14:textId="31D8DA47"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GTI is comprised of four domains: </w:t>
      </w:r>
    </w:p>
    <w:p w14:paraId="3A4B6C8B" w14:textId="77777777" w:rsidR="005077C8" w:rsidRPr="00654F2F" w:rsidRDefault="005077C8" w:rsidP="00654F2F">
      <w:pPr>
        <w:pStyle w:val="ListParagraph"/>
        <w:numPr>
          <w:ilvl w:val="0"/>
          <w:numId w:val="6"/>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potential</w:t>
      </w:r>
      <w:r w:rsidRPr="00654F2F">
        <w:rPr>
          <w:rFonts w:ascii="Times New Roman" w:hAnsi="Times New Roman" w:cs="Times New Roman"/>
          <w:sz w:val="24"/>
          <w:szCs w:val="24"/>
        </w:rPr>
        <w:t xml:space="preserve"> – the social-cognitive resources available to agents, that is, whether individual agents, and/or the organisations in which they act, have the desire and ability to participate in an intervention. </w:t>
      </w:r>
    </w:p>
    <w:p w14:paraId="7A8FD4D4" w14:textId="77777777" w:rsidR="005077C8" w:rsidRPr="00654F2F" w:rsidRDefault="005077C8" w:rsidP="00654F2F">
      <w:pPr>
        <w:pStyle w:val="ListParagraph"/>
        <w:numPr>
          <w:ilvl w:val="0"/>
          <w:numId w:val="6"/>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capability</w:t>
      </w:r>
      <w:r w:rsidRPr="00654F2F">
        <w:rPr>
          <w:rFonts w:ascii="Times New Roman" w:hAnsi="Times New Roman" w:cs="Times New Roman"/>
          <w:sz w:val="24"/>
          <w:szCs w:val="24"/>
        </w:rPr>
        <w:t xml:space="preserve"> – the possibilities presented by a complex intervention – whether and/or how agents can fit the intervention into their everyday work and into organisational routines, policies and </w:t>
      </w:r>
      <w:proofErr w:type="gramStart"/>
      <w:r w:rsidRPr="00654F2F">
        <w:rPr>
          <w:rFonts w:ascii="Times New Roman" w:hAnsi="Times New Roman" w:cs="Times New Roman"/>
          <w:sz w:val="24"/>
          <w:szCs w:val="24"/>
        </w:rPr>
        <w:t>systems;</w:t>
      </w:r>
      <w:proofErr w:type="gramEnd"/>
      <w:r w:rsidRPr="00654F2F">
        <w:rPr>
          <w:rFonts w:ascii="Times New Roman" w:hAnsi="Times New Roman" w:cs="Times New Roman"/>
          <w:sz w:val="24"/>
          <w:szCs w:val="24"/>
        </w:rPr>
        <w:t xml:space="preserve"> </w:t>
      </w:r>
    </w:p>
    <w:p w14:paraId="7AE4BC07" w14:textId="77777777" w:rsidR="005077C8" w:rsidRPr="00654F2F" w:rsidRDefault="005077C8" w:rsidP="00654F2F">
      <w:pPr>
        <w:pStyle w:val="ListParagraph"/>
        <w:numPr>
          <w:ilvl w:val="0"/>
          <w:numId w:val="6"/>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contribution</w:t>
      </w:r>
      <w:r w:rsidRPr="00654F2F">
        <w:rPr>
          <w:rFonts w:ascii="Times New Roman" w:hAnsi="Times New Roman" w:cs="Times New Roman"/>
          <w:sz w:val="24"/>
          <w:szCs w:val="24"/>
        </w:rPr>
        <w:t xml:space="preserve"> – what agents do to implement a complex intervention, that is, what actions agents take to operationalise an intervention (see figure 1); and</w:t>
      </w:r>
    </w:p>
    <w:p w14:paraId="340E51DA" w14:textId="77777777" w:rsidR="005077C8" w:rsidRPr="00654F2F" w:rsidRDefault="005077C8" w:rsidP="00654F2F">
      <w:pPr>
        <w:pStyle w:val="ListParagraph"/>
        <w:numPr>
          <w:ilvl w:val="0"/>
          <w:numId w:val="6"/>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capacity</w:t>
      </w:r>
      <w:r w:rsidRPr="00654F2F">
        <w:rPr>
          <w:rFonts w:ascii="Times New Roman" w:hAnsi="Times New Roman" w:cs="Times New Roman"/>
          <w:sz w:val="24"/>
          <w:szCs w:val="24"/>
        </w:rPr>
        <w:t xml:space="preserve"> – the social-structural resources available to agents. These are the social structures, norms, roles and resources within a setting which affect whether and/or how agents can operationalise an intervention. </w:t>
      </w:r>
    </w:p>
    <w:p w14:paraId="32F43A29" w14:textId="37A20FDB" w:rsidR="000E6FFE"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Figure 1 presents on overview of the theory’s domains and dimensions. </w:t>
      </w:r>
      <w:bookmarkStart w:id="0" w:name="_Hlk31709178"/>
      <w:r w:rsidRPr="00654F2F">
        <w:rPr>
          <w:rFonts w:ascii="Times New Roman" w:hAnsi="Times New Roman" w:cs="Times New Roman"/>
          <w:sz w:val="24"/>
          <w:szCs w:val="24"/>
        </w:rPr>
        <w:t xml:space="preserve">The domains are not linear or sequential but are thought to interact continuously with each other in emergent and complex ways </w:t>
      </w:r>
      <w:bookmarkEnd w:id="0"/>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{"citationID":"KDGmmrQK","properties":{"formattedCitation":"(C.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May 2013)</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Each domain and its dimensions are described in the sections that follow.  </w:t>
      </w:r>
    </w:p>
    <w:p w14:paraId="5811FC95" w14:textId="3BD0D08D" w:rsidR="000E6FFE" w:rsidRPr="00654F2F" w:rsidRDefault="007A6164" w:rsidP="00654F2F">
      <w:pPr>
        <w:pStyle w:val="Tableheading"/>
        <w:spacing w:before="0"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lastRenderedPageBreak/>
        <w:t>Figure 1: The general theory of implementation domains</w:t>
      </w:r>
      <w:r w:rsidR="000E6FFE" w:rsidRPr="00654F2F">
        <w:rPr>
          <w:rFonts w:ascii="Times New Roman" w:hAnsi="Times New Roman" w:cs="Times New Roman"/>
          <w:noProof/>
          <w:sz w:val="24"/>
          <w:szCs w:val="24"/>
          <w14:ligatures w14:val="standardContextual"/>
        </w:rPr>
        <w:drawing>
          <wp:inline distT="0" distB="0" distL="0" distR="0" wp14:anchorId="53C33158" wp14:editId="19E90C7A">
            <wp:extent cx="5731510" cy="4705350"/>
            <wp:effectExtent l="0" t="0" r="2540" b="0"/>
            <wp:docPr id="381226639" name="Picture 1" descr="A diagram of a diagram of a group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26639" name="Picture 1" descr="A diagram of a diagram of a group of individual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705350"/>
                    </a:xfrm>
                    <a:prstGeom prst="rect">
                      <a:avLst/>
                    </a:prstGeom>
                  </pic:spPr>
                </pic:pic>
              </a:graphicData>
            </a:graphic>
          </wp:inline>
        </w:drawing>
      </w:r>
    </w:p>
    <w:p w14:paraId="313E9034" w14:textId="1566AD48" w:rsidR="005077C8" w:rsidRPr="00654F2F" w:rsidRDefault="005077C8" w:rsidP="00654F2F">
      <w:pPr>
        <w:pStyle w:val="Heading3"/>
        <w:spacing w:before="0" w:afterLines="160" w:after="384" w:line="240" w:lineRule="auto"/>
        <w:rPr>
          <w:rFonts w:ascii="Times New Roman" w:hAnsi="Times New Roman" w:cs="Times New Roman"/>
        </w:rPr>
      </w:pPr>
      <w:r w:rsidRPr="00654F2F">
        <w:rPr>
          <w:rFonts w:ascii="Times New Roman" w:hAnsi="Times New Roman" w:cs="Times New Roman"/>
        </w:rPr>
        <w:t>Potential: staff or other agents’ motivation to implement an intervention</w:t>
      </w:r>
    </w:p>
    <w:p w14:paraId="482EDBDA" w14:textId="09BA13DD"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Individual intentions and shared commitments are important to the dynamics of implementation. Individual motivation is necessary for action, especially if agents have a high degree of professional autonomy or personal discretion in their role. However, implementation processes most often depend on collective commitment and collaboration. Organisational members collectively need to value the changes targeted by an intervention and feel confident that the group as a whole can make the necessary changes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{"citationID":"BCHCsfEY","properties":{"formattedCitation":"(C.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May 2013)</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There are two key dimensions:</w:t>
      </w:r>
    </w:p>
    <w:p w14:paraId="48B5268B" w14:textId="77777777" w:rsidR="005077C8" w:rsidRPr="00654F2F" w:rsidRDefault="005077C8" w:rsidP="00654F2F">
      <w:pPr>
        <w:pStyle w:val="ListParagraph"/>
        <w:numPr>
          <w:ilvl w:val="0"/>
          <w:numId w:val="4"/>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Individual intentions</w:t>
      </w:r>
      <w:r w:rsidRPr="00654F2F">
        <w:rPr>
          <w:rFonts w:ascii="Times New Roman" w:hAnsi="Times New Roman" w:cs="Times New Roman"/>
          <w:sz w:val="24"/>
          <w:szCs w:val="24"/>
        </w:rPr>
        <w:t xml:space="preserve">: agents’ readiness to transform personal beliefs and attitudes into intervention behaviours, affecting agents’ motivation to participate in an intervention. </w:t>
      </w:r>
    </w:p>
    <w:p w14:paraId="68946EFF" w14:textId="77777777" w:rsidR="005077C8" w:rsidRPr="00654F2F" w:rsidRDefault="005077C8" w:rsidP="00654F2F">
      <w:pPr>
        <w:pStyle w:val="ListParagraph"/>
        <w:numPr>
          <w:ilvl w:val="0"/>
          <w:numId w:val="4"/>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Shared commitments</w:t>
      </w:r>
      <w:r w:rsidRPr="00654F2F">
        <w:rPr>
          <w:rFonts w:ascii="Times New Roman" w:hAnsi="Times New Roman" w:cs="Times New Roman"/>
          <w:sz w:val="24"/>
          <w:szCs w:val="24"/>
        </w:rPr>
        <w:t xml:space="preserve">: agents’ readiness to translate shared beliefs and attitudes into intervention behaviours, affecting agents’ shared commitment to participate in an intervention. </w:t>
      </w:r>
    </w:p>
    <w:p w14:paraId="1A091531" w14:textId="71ED7553"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implication is that an intervention will be more likely to be implemented if staff or other agents both individually and collectively commit to operationalising it in practice.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{"citationID":"lcSEY2Vf","properties":{"formattedCitation":"(May, 2013a, p. 201)","plainCitation":"(May, 2013a, p. 201)","dontUpdate":true,"noteIndex":0},"citationItems":[{"id":414,"uris":["http://zotero.org/users/5025890/items/ZLS8A3JM"],"itemData":{"id":414,"type":"article-journal","container-title":"Implementation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locator":"201"}],"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expresses this as a single proposition:</w:t>
      </w:r>
    </w:p>
    <w:p w14:paraId="697EAB3A" w14:textId="27407BAA" w:rsidR="005077C8" w:rsidRPr="00654F2F" w:rsidRDefault="005077C8" w:rsidP="00654F2F">
      <w:pPr>
        <w:pStyle w:val="Normal-quotes"/>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lastRenderedPageBreak/>
        <w:t xml:space="preserve">The translation of capacity into collective action depends on agents’ potential to enact the complex intervention.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{"citationID":"X2Y6lT0n","properties":{"formattedCitation":"(May, 2013a)","plainCitation":"(May, 2013a)","dontUpdate":true,"noteIndex":0},"citationItems":[{"id":414,"uris":["http://zotero.org/users/5025890/items/ZLS8A3JM"],"itemData":{"id":414,"type":"article-journal","container-title":"Implementation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 p.8)</w:t>
      </w:r>
      <w:r w:rsidRPr="00654F2F">
        <w:rPr>
          <w:rFonts w:ascii="Times New Roman" w:hAnsi="Times New Roman" w:cs="Times New Roman"/>
          <w:sz w:val="24"/>
          <w:szCs w:val="24"/>
        </w:rPr>
        <w:fldChar w:fldCharType="end"/>
      </w:r>
    </w:p>
    <w:p w14:paraId="3B7BB347" w14:textId="77777777" w:rsidR="005077C8" w:rsidRPr="00654F2F" w:rsidRDefault="005077C8" w:rsidP="00654F2F">
      <w:pPr>
        <w:pStyle w:val="Heading3"/>
        <w:spacing w:before="0" w:afterLines="160" w:after="384" w:line="240" w:lineRule="auto"/>
        <w:rPr>
          <w:rFonts w:ascii="Times New Roman" w:hAnsi="Times New Roman" w:cs="Times New Roman"/>
        </w:rPr>
      </w:pPr>
      <w:r w:rsidRPr="00654F2F">
        <w:rPr>
          <w:rFonts w:ascii="Times New Roman" w:hAnsi="Times New Roman" w:cs="Times New Roman"/>
        </w:rPr>
        <w:t>Capability: the extent an intervention can be made to fit into agents’ everyday practice</w:t>
      </w:r>
    </w:p>
    <w:p w14:paraId="13997127" w14:textId="143060A1"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New or modified ways of working (‘ensembles of practice’) are often intended to change people’s expertise and actions. Studies have also shown that the attributes of intervention components themselves affect their use: for example, their physical properties, the assumptions about use and users embedded within them, and the social relations they require for use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{"citationID":"RqZol5Cg","properties":{"formattedCitation":"(C.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May 2013)</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These elements combine to affect how agents interact with an intervention to make it operationally workable, to allocate labour, and to integrate it into practice and the social system. There are two key dimensions:</w:t>
      </w:r>
    </w:p>
    <w:p w14:paraId="0096AE27" w14:textId="77777777" w:rsidR="005077C8" w:rsidRPr="00654F2F" w:rsidRDefault="005077C8" w:rsidP="00654F2F">
      <w:pPr>
        <w:pStyle w:val="ListParagraph"/>
        <w:numPr>
          <w:ilvl w:val="0"/>
          <w:numId w:val="2"/>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Workability</w:t>
      </w:r>
      <w:r w:rsidRPr="00654F2F">
        <w:rPr>
          <w:rFonts w:ascii="Times New Roman" w:hAnsi="Times New Roman" w:cs="Times New Roman"/>
          <w:sz w:val="24"/>
          <w:szCs w:val="24"/>
        </w:rPr>
        <w:t xml:space="preserve">: how agents allocate work and interact with one another to operationalise an intervention. </w:t>
      </w:r>
    </w:p>
    <w:p w14:paraId="2FA3BE7F" w14:textId="77777777" w:rsidR="005077C8" w:rsidRPr="00654F2F" w:rsidRDefault="005077C8" w:rsidP="00654F2F">
      <w:pPr>
        <w:pStyle w:val="ListParagraph"/>
        <w:numPr>
          <w:ilvl w:val="0"/>
          <w:numId w:val="2"/>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Integration</w:t>
      </w:r>
      <w:r w:rsidRPr="00654F2F">
        <w:rPr>
          <w:rFonts w:ascii="Times New Roman" w:hAnsi="Times New Roman" w:cs="Times New Roman"/>
          <w:sz w:val="24"/>
          <w:szCs w:val="24"/>
        </w:rPr>
        <w:t>: the work carried out to integrate the intervention into existing practices, policies and systems, including procedures to develop accountability and fidelity/consistency of use and resources allocated to its operation.</w:t>
      </w:r>
    </w:p>
    <w:p w14:paraId="3EEC1485" w14:textId="50CB271A"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implication is that an intervention will be more likely to be sustained if its elements and its associated ways of working can be made operationally workable by staff or other agents, and work is carried out to integrate the intervention into existing policies and procedures.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{"citationID":"o8Q3T45O","properties":{"formattedCitation":"(May, 2013a, p. 201)","plainCitation":"(May, 2013a, p. 201)","dontUpdate":true,"noteIndex":0},"citationItems":[{"id":414,"uris":["http://zotero.org/users/5025890/items/ZLS8A3JM"],"itemData":{"id":414,"type":"article-journal","container-title":"Implementation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locator":"201"}],"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expresses this proposition as follows:</w:t>
      </w:r>
    </w:p>
    <w:p w14:paraId="6FE5620E" w14:textId="73433C05" w:rsidR="005077C8" w:rsidRPr="00654F2F" w:rsidRDefault="005077C8" w:rsidP="00654F2F">
      <w:pPr>
        <w:pStyle w:val="Normal-quotes"/>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capability of agents to operationalize a complex intervention depends on its workability and integration within a social system.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{"citationID":"IRgrc1bY","properties":{"formattedCitation":"(May, 2013a)","plainCitation":"(May, 2013a)","dontUpdate":true,"noteIndex":0},"citationItems":[{"id":414,"uris":["http://zotero.org/users/5025890/items/ZLS8A3JM"],"itemData":{"id":414,"type":"article-journal","container-title":"Implementation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 p.5)</w:t>
      </w:r>
      <w:r w:rsidRPr="00654F2F">
        <w:rPr>
          <w:rFonts w:ascii="Times New Roman" w:hAnsi="Times New Roman" w:cs="Times New Roman"/>
          <w:sz w:val="24"/>
          <w:szCs w:val="24"/>
        </w:rPr>
        <w:fldChar w:fldCharType="end"/>
      </w:r>
    </w:p>
    <w:p w14:paraId="4DEFB8C3" w14:textId="77777777" w:rsidR="005077C8" w:rsidRPr="00654F2F" w:rsidRDefault="005077C8" w:rsidP="00654F2F">
      <w:pPr>
        <w:pStyle w:val="Heading3"/>
        <w:spacing w:before="0" w:afterLines="160" w:after="384" w:line="240" w:lineRule="auto"/>
        <w:rPr>
          <w:rFonts w:ascii="Times New Roman" w:hAnsi="Times New Roman" w:cs="Times New Roman"/>
        </w:rPr>
      </w:pPr>
      <w:r w:rsidRPr="00654F2F">
        <w:rPr>
          <w:rFonts w:ascii="Times New Roman" w:hAnsi="Times New Roman" w:cs="Times New Roman"/>
        </w:rPr>
        <w:t>Contribution: the actions carried out by agents to implement an intervention</w:t>
      </w:r>
    </w:p>
    <w:p w14:paraId="008FDD32" w14:textId="6FEA80E3"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Contribution is the collective actions of agents to operationalise an intervention. This domain is also known as NPT and was the first of the four domains to be developed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{"citationID":"jXAauPkD","properties":{"formattedCitation":"(C. R. May et al. 2009)","plainCitation":"(C. R. May et al. 2009)","noteIndex":0},"citationItems":[{"id":232,"uris":["http://zotero.org/users/5025890/items/76N3MU6E"],"itemData":{"id":232,"type":"article-journal","container-title":"Implementation Science","DOI":"10.1186/1748-5908-4-29","ISSN":"1748-5908","issue":"1","language":"en","source":"Crossref","title":"Development of a theory of implementation and integration: Normalization Process Theory","title-short":"Development of a theory of implementation and integration","URL":"http://implementationscience.biomedcentral.com/articles/10.1186/1748-5908-4-29","volume":"4","author":[{"family":"May","given":"Carl R"},{"family":"Mair","given":"Frances"},{"family":"Finch","given":"Tracy"},{"family":"MacFarlane","given":"Anne"},{"family":"Dowrick","given":"Christopher"},{"family":"Treweek","given":"Shaun"},{"family":"Rapley","given":"Tim"},{"family":"Ballini","given":"Luciana"},{"family":"Ong","given":"Bie Nio"},{"family":"Rogers","given":"Anne"},{"family":"Murray","given":"Elizabeth"},{"family":"Elwyn","given":"Glyn"},{"family":"Légaré","given":"France"},{"family":"Gunn","given":"Jane"},{"family":"Montori","given":"Victor M"}],"accessed":{"date-parts":[["2018",8,22]]},"issued":{"date-parts":[["2009",12]]}}}],"schema":"https://github.com/citation-style-language/schema/raw/master/csl-citation.json"}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R. May et al. 2009)</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When agents operationalise a complex intervention, they are collectively involved in four social processes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{"citationID":"q1rxiGni","properties":{"formattedCitation":"(C.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May 2013)</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w:t>
      </w:r>
    </w:p>
    <w:p w14:paraId="2A257E2A" w14:textId="77777777" w:rsidR="005077C8" w:rsidRPr="00654F2F" w:rsidRDefault="005077C8" w:rsidP="00654F2F">
      <w:pPr>
        <w:numPr>
          <w:ilvl w:val="0"/>
          <w:numId w:val="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Coherence or sense-making:</w:t>
      </w:r>
      <w:r w:rsidRPr="00654F2F">
        <w:rPr>
          <w:rFonts w:ascii="Times New Roman" w:hAnsi="Times New Roman" w:cs="Times New Roman"/>
          <w:sz w:val="24"/>
          <w:szCs w:val="24"/>
        </w:rPr>
        <w:t xml:space="preserve"> how agents attribute meaning to intervention component, how they make sense of their use and worth and differentiate it from other processes in their social field. </w:t>
      </w:r>
    </w:p>
    <w:p w14:paraId="7B65D12B" w14:textId="77777777" w:rsidR="005077C8" w:rsidRPr="00654F2F" w:rsidRDefault="005077C8" w:rsidP="00654F2F">
      <w:pPr>
        <w:numPr>
          <w:ilvl w:val="0"/>
          <w:numId w:val="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Cognitive participation:</w:t>
      </w:r>
      <w:r w:rsidRPr="00654F2F">
        <w:rPr>
          <w:rFonts w:ascii="Times New Roman" w:hAnsi="Times New Roman" w:cs="Times New Roman"/>
          <w:sz w:val="24"/>
          <w:szCs w:val="24"/>
        </w:rPr>
        <w:t xml:space="preserve"> agents initiate work that establishes the legitimacy of an intervention and enrols themselves and others (that is, develops ‘buy-in’) into an implementation process. Cognitive participation frames how participants become members of a specific community of practice.</w:t>
      </w:r>
    </w:p>
    <w:p w14:paraId="0C166801" w14:textId="77777777" w:rsidR="005077C8" w:rsidRPr="00654F2F" w:rsidRDefault="005077C8" w:rsidP="00654F2F">
      <w:pPr>
        <w:numPr>
          <w:ilvl w:val="0"/>
          <w:numId w:val="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Collective action:</w:t>
      </w:r>
      <w:r w:rsidRPr="00654F2F">
        <w:rPr>
          <w:rFonts w:ascii="Times New Roman" w:hAnsi="Times New Roman" w:cs="Times New Roman"/>
          <w:sz w:val="24"/>
          <w:szCs w:val="24"/>
        </w:rPr>
        <w:t xml:space="preserve"> agents operationalise the work and distribute and mobilise skills and resources to enact it. Collective action frames how participants realise and perform the intervention in practice. </w:t>
      </w:r>
    </w:p>
    <w:p w14:paraId="52A0B685" w14:textId="77777777" w:rsidR="005077C8" w:rsidRPr="00654F2F" w:rsidRDefault="005077C8" w:rsidP="00654F2F">
      <w:pPr>
        <w:numPr>
          <w:ilvl w:val="0"/>
          <w:numId w:val="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lastRenderedPageBreak/>
        <w:t>Reflexive monitoring</w:t>
      </w:r>
      <w:r w:rsidRPr="00654F2F">
        <w:rPr>
          <w:rFonts w:ascii="Times New Roman" w:hAnsi="Times New Roman" w:cs="Times New Roman"/>
          <w:sz w:val="24"/>
          <w:szCs w:val="24"/>
        </w:rPr>
        <w:t xml:space="preserve"> – agents appraise, formally and informally, the effects and operation of the intervention (May &amp; Finch, 2009, p. 542-546). This dimension frames how participants collect and utilise information about the effects of the intervention. </w:t>
      </w:r>
    </w:p>
    <w:p w14:paraId="783BD4D6" w14:textId="672F10A3"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implication is that an intervention will have more potential to be implemented if agents invest work in operationalising it in practice.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{"citationID":"dz1BLjWX","properties":{"formattedCitation":"(May, 2013a, p. 201)","plainCitation":"(May, 2013a, p. 201)","dontUpdate":true,"noteIndex":0},"citationItems":[{"id":414,"uris":["http://zotero.org/users/5025890/items/ZLS8A3JM"],"itemData":{"id":414,"type":"article-journal","container-title":"Implementation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locator":"201"}],"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expresses this as the following proposition:</w:t>
      </w:r>
    </w:p>
    <w:p w14:paraId="2A6101F1" w14:textId="4723C765" w:rsidR="005077C8" w:rsidRPr="00654F2F" w:rsidRDefault="005077C8" w:rsidP="00654F2F">
      <w:pPr>
        <w:pStyle w:val="Normal-quotes"/>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implementation of a complex intervention depends on agents’ continuous contributions that carry forward in time and space.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{"citationID":"Z5lTMCRN","properties":{"formattedCitation":"(May, 2013a)","plainCitation":"(May, 2013a)","dontUpdate":true,"noteIndex":0},"citationItems":[{"id":414,"uris":["http://zotero.org/users/5025890/items/ZLS8A3JM"],"itemData":{"id":414,"type":"article-journal","container-title":"Implementation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 p.9)</w:t>
      </w:r>
      <w:r w:rsidRPr="00654F2F">
        <w:rPr>
          <w:rFonts w:ascii="Times New Roman" w:hAnsi="Times New Roman" w:cs="Times New Roman"/>
          <w:sz w:val="24"/>
          <w:szCs w:val="24"/>
        </w:rPr>
        <w:fldChar w:fldCharType="end"/>
      </w:r>
    </w:p>
    <w:p w14:paraId="6694391D" w14:textId="77777777" w:rsidR="005077C8" w:rsidRPr="00654F2F" w:rsidRDefault="005077C8" w:rsidP="00654F2F">
      <w:pPr>
        <w:pStyle w:val="Heading3"/>
        <w:spacing w:before="0" w:afterLines="160" w:after="384" w:line="240" w:lineRule="auto"/>
        <w:rPr>
          <w:rFonts w:ascii="Times New Roman" w:hAnsi="Times New Roman" w:cs="Times New Roman"/>
        </w:rPr>
      </w:pPr>
      <w:r w:rsidRPr="00654F2F">
        <w:rPr>
          <w:rFonts w:ascii="Times New Roman" w:hAnsi="Times New Roman" w:cs="Times New Roman"/>
        </w:rPr>
        <w:t>Capacity: the influence of the social context on intervention implementation</w:t>
      </w:r>
    </w:p>
    <w:p w14:paraId="01161331" w14:textId="3C901B9A"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Social networks form relational pathways through which different kinds of work are done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{"citationID":"xVTVx3ng","properties":{"formattedCitation":"(C.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May 2013)</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The structure of these social networks affects how information flows between agents (and groups of agents) and affects how work relating to an intervention is communicated and operationalised. Implementation may be required across expansive, physically distributed, social fields (for example, large-scale policy implementation across a health-care system) or may be carried out across much smaller, </w:t>
      </w:r>
      <w:proofErr w:type="gramStart"/>
      <w:r w:rsidRPr="00654F2F">
        <w:rPr>
          <w:rFonts w:ascii="Times New Roman" w:hAnsi="Times New Roman" w:cs="Times New Roman"/>
          <w:sz w:val="24"/>
          <w:szCs w:val="24"/>
        </w:rPr>
        <w:t>tightly-knit</w:t>
      </w:r>
      <w:proofErr w:type="gramEnd"/>
      <w:r w:rsidRPr="00654F2F">
        <w:rPr>
          <w:rFonts w:ascii="Times New Roman" w:hAnsi="Times New Roman" w:cs="Times New Roman"/>
          <w:sz w:val="24"/>
          <w:szCs w:val="24"/>
        </w:rPr>
        <w:t xml:space="preserve"> fields (for example, a team within an organisation). Nonetheless, agents act with a shared set of understandings about the purpose of the network, its relationships and who has power, and rules. Collective action takes place within this social field and this domain frames the basic conditions for people’s expression of agency to invest in implementation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{"citationID":"9b5N5T8t","properties":{"formattedCitation":"(C. May 2013)","plainCitation":"(C. May 2013)","noteIndex":0},"citationItems":[{"id":414,"uris":["http://zotero.org/users/5025890/items/ZLS8A3JM"],"itemData":{"id":414,"type":"article-journal","container-title":"Implementation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009F0BE0" w:rsidRPr="00654F2F">
        <w:rPr>
          <w:rFonts w:ascii="Times New Roman" w:hAnsi="Times New Roman" w:cs="Times New Roman"/>
          <w:sz w:val="24"/>
          <w:szCs w:val="24"/>
        </w:rPr>
        <w:t>(C. May 2013)</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w:t>
      </w:r>
    </w:p>
    <w:p w14:paraId="46EAF7BF" w14:textId="77777777"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There are four key dimensions of capacity:</w:t>
      </w:r>
    </w:p>
    <w:p w14:paraId="3F2F3607" w14:textId="77777777" w:rsidR="005077C8" w:rsidRPr="00654F2F" w:rsidRDefault="005077C8" w:rsidP="00654F2F">
      <w:pPr>
        <w:pStyle w:val="ListParagraph"/>
        <w:numPr>
          <w:ilvl w:val="0"/>
          <w:numId w:val="3"/>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Social norms:</w:t>
      </w:r>
      <w:r w:rsidRPr="00654F2F">
        <w:rPr>
          <w:rFonts w:ascii="Times New Roman" w:hAnsi="Times New Roman" w:cs="Times New Roman"/>
          <w:sz w:val="24"/>
          <w:szCs w:val="24"/>
        </w:rPr>
        <w:t xml:space="preserve"> collective rules or understandings of acceptable behaviour that govern agents’ behaviour, rewards and involvement in an implementation process.</w:t>
      </w:r>
    </w:p>
    <w:p w14:paraId="11386F1B" w14:textId="77777777" w:rsidR="005077C8" w:rsidRPr="00654F2F" w:rsidRDefault="005077C8" w:rsidP="00654F2F">
      <w:pPr>
        <w:pStyle w:val="ListParagraph"/>
        <w:numPr>
          <w:ilvl w:val="0"/>
          <w:numId w:val="3"/>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Social roles:</w:t>
      </w:r>
      <w:r w:rsidRPr="00654F2F">
        <w:rPr>
          <w:rFonts w:ascii="Times New Roman" w:hAnsi="Times New Roman" w:cs="Times New Roman"/>
          <w:sz w:val="24"/>
          <w:szCs w:val="24"/>
        </w:rPr>
        <w:t xml:space="preserve"> socially patterned identities within a setting which define expectations of different agents and what they are authorised (or not) to do to operationalise an intervention.</w:t>
      </w:r>
    </w:p>
    <w:p w14:paraId="3D0B1A01" w14:textId="77777777" w:rsidR="005077C8" w:rsidRPr="00654F2F" w:rsidRDefault="005077C8" w:rsidP="00654F2F">
      <w:pPr>
        <w:pStyle w:val="ListParagraph"/>
        <w:numPr>
          <w:ilvl w:val="0"/>
          <w:numId w:val="3"/>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Cognitive/informational resources</w:t>
      </w:r>
      <w:r w:rsidRPr="00654F2F">
        <w:rPr>
          <w:rFonts w:ascii="Times New Roman" w:hAnsi="Times New Roman" w:cs="Times New Roman"/>
          <w:sz w:val="24"/>
          <w:szCs w:val="24"/>
        </w:rPr>
        <w:t>: whether and how knowledge, information or evidence are disseminated and distributed to agents in an implementation process</w:t>
      </w:r>
    </w:p>
    <w:p w14:paraId="6DF15EDE" w14:textId="77777777" w:rsidR="005077C8" w:rsidRPr="00654F2F" w:rsidRDefault="005077C8" w:rsidP="00654F2F">
      <w:pPr>
        <w:pStyle w:val="ListParagraph"/>
        <w:numPr>
          <w:ilvl w:val="0"/>
          <w:numId w:val="3"/>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Material resources</w:t>
      </w:r>
      <w:r w:rsidRPr="00654F2F">
        <w:rPr>
          <w:rFonts w:ascii="Times New Roman" w:hAnsi="Times New Roman" w:cs="Times New Roman"/>
          <w:sz w:val="24"/>
          <w:szCs w:val="24"/>
        </w:rPr>
        <w:t xml:space="preserve">: funding, equipment, physical space, and any other material resources that are mobilised by agents in an implementation process. </w:t>
      </w:r>
    </w:p>
    <w:p w14:paraId="7F8CE3E8" w14:textId="5311BA2E" w:rsidR="005077C8" w:rsidRPr="00654F2F" w:rsidRDefault="005077C8"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implication is that an intervention will be more likely to be implemented if it aligns with existing norms and roles and there are sufficient material and cognitive resources to support agents to implement an intervention.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{"citationID":"9uKVmr6T","properties":{"formattedCitation":"(May, 2013a, p. 201)","plainCitation":"(May, 2013a, p. 201)","dontUpdate":true,"noteIndex":0},"citationItems":[{"id":414,"uris":["http://zotero.org/users/5025890/items/ZLS8A3JM"],"itemData":{"id":414,"type":"article-journal","container-title":"Implementation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locator":"201"}],"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w:t>
      </w:r>
      <w:r w:rsidRPr="00654F2F">
        <w:rPr>
          <w:rFonts w:ascii="Times New Roman" w:hAnsi="Times New Roman" w:cs="Times New Roman"/>
          <w:sz w:val="24"/>
          <w:szCs w:val="24"/>
        </w:rPr>
        <w:fldChar w:fldCharType="end"/>
      </w:r>
      <w:r w:rsidRPr="00654F2F">
        <w:rPr>
          <w:rFonts w:ascii="Times New Roman" w:hAnsi="Times New Roman" w:cs="Times New Roman"/>
          <w:sz w:val="24"/>
          <w:szCs w:val="24"/>
        </w:rPr>
        <w:t xml:space="preserve"> expresses this as a single proposition:</w:t>
      </w:r>
    </w:p>
    <w:p w14:paraId="19CC6A1A" w14:textId="23E46FC1" w:rsidR="005077C8" w:rsidRPr="00654F2F" w:rsidRDefault="005077C8" w:rsidP="00654F2F">
      <w:pPr>
        <w:pStyle w:val="Normal-quotes"/>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incorporation of a complex intervention within a social system depends on agents’ capacity to cooperate and coordinate their actions. </w:t>
      </w:r>
      <w:r w:rsidRPr="00654F2F">
        <w:rPr>
          <w:rFonts w:ascii="Times New Roman" w:hAnsi="Times New Roman" w:cs="Times New Roman"/>
          <w:sz w:val="24"/>
          <w:szCs w:val="24"/>
        </w:rPr>
        <w:fldChar w:fldCharType="begin"/>
      </w:r>
      <w:r w:rsidR="009F0BE0" w:rsidRPr="00654F2F">
        <w:rPr>
          <w:rFonts w:ascii="Times New Roman" w:hAnsi="Times New Roman" w:cs="Times New Roman"/>
          <w:sz w:val="24"/>
          <w:szCs w:val="24"/>
        </w:rPr>
        <w:instrText xml:space="preserve"> ADDIN ZOTERO_ITEM CSL_CITATION {"citationID":"knHGlqGt","properties":{"formattedCitation":"(May, 2013a)","plainCitation":"(May, 2013a)","dontUpdate":true,"noteIndex":0},"citationItems":[{"id":414,"uris":["http://zotero.org/users/5025890/items/ZLS8A3JM"],"itemData":{"id":414,"type":"article-journal","container-title":"Implementation Science","DOI":"10.1186/1748-5908-8-18","ISSN":"1748-5908","issue":"1","language":"en","source":"Crossref","title":"Towards a general theory of implementation","URL":"http://implementationscience.biomedcentral.com/articles/10.1186/1748-5908-8-18","volume":"8","author":[{"family":"May","given":"Carl"}],"accessed":{"date-parts":[["2019",2,14]]},"issued":{"date-parts":[["2013",12]]}}}],"schema":"https://github.com/citation-style-language/schema/raw/master/csl-citation.json"} </w:instrText>
      </w:r>
      <w:r w:rsidRPr="00654F2F">
        <w:rPr>
          <w:rFonts w:ascii="Times New Roman" w:hAnsi="Times New Roman" w:cs="Times New Roman"/>
          <w:sz w:val="24"/>
          <w:szCs w:val="24"/>
        </w:rPr>
        <w:fldChar w:fldCharType="separate"/>
      </w:r>
      <w:r w:rsidRPr="00654F2F">
        <w:rPr>
          <w:rFonts w:ascii="Times New Roman" w:hAnsi="Times New Roman" w:cs="Times New Roman"/>
          <w:sz w:val="24"/>
          <w:szCs w:val="24"/>
        </w:rPr>
        <w:t>(May, 2013a, p.6)</w:t>
      </w:r>
      <w:r w:rsidRPr="00654F2F">
        <w:rPr>
          <w:rFonts w:ascii="Times New Roman" w:hAnsi="Times New Roman" w:cs="Times New Roman"/>
          <w:sz w:val="24"/>
          <w:szCs w:val="24"/>
        </w:rPr>
        <w:fldChar w:fldCharType="end"/>
      </w:r>
    </w:p>
    <w:p w14:paraId="086C014E" w14:textId="22F44F15" w:rsidR="00101120" w:rsidRPr="00654F2F" w:rsidRDefault="00101120" w:rsidP="00654F2F">
      <w:pPr>
        <w:pStyle w:val="Heading3"/>
        <w:spacing w:before="0" w:afterLines="160" w:after="384" w:line="240" w:lineRule="auto"/>
        <w:rPr>
          <w:rFonts w:ascii="Times New Roman" w:hAnsi="Times New Roman" w:cs="Times New Roman"/>
        </w:rPr>
      </w:pPr>
      <w:r w:rsidRPr="00654F2F">
        <w:rPr>
          <w:rFonts w:ascii="Times New Roman" w:hAnsi="Times New Roman" w:cs="Times New Roman"/>
        </w:rPr>
        <w:lastRenderedPageBreak/>
        <w:t>How the GTI informed data collection and analysis</w:t>
      </w:r>
    </w:p>
    <w:p w14:paraId="5F0D299C" w14:textId="6D7C1BE6" w:rsidR="00C90E7A" w:rsidRPr="00654F2F" w:rsidRDefault="00101120"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The GTI informed the research questions examining </w:t>
      </w:r>
      <w:r w:rsidR="00AE4206" w:rsidRPr="00654F2F">
        <w:rPr>
          <w:rFonts w:ascii="Times New Roman" w:hAnsi="Times New Roman" w:cs="Times New Roman"/>
          <w:sz w:val="24"/>
          <w:szCs w:val="24"/>
        </w:rPr>
        <w:t>staff motivation and schools’ capacities</w:t>
      </w:r>
      <w:r w:rsidRPr="00654F2F">
        <w:rPr>
          <w:rFonts w:ascii="Times New Roman" w:hAnsi="Times New Roman" w:cs="Times New Roman"/>
          <w:sz w:val="24"/>
          <w:szCs w:val="24"/>
        </w:rPr>
        <w:t xml:space="preserve"> to sustain the intervention. The theory was used in the development of the data collection tools: the staff interview guide (assessing each intervention component’s impact on work, attitudes, skills/knowledge and relationships) and the student interview guide (assessing students’ views on the integration of the intervention</w:t>
      </w:r>
      <w:r w:rsidR="007D54A7" w:rsidRPr="00654F2F">
        <w:rPr>
          <w:rFonts w:ascii="Times New Roman" w:hAnsi="Times New Roman" w:cs="Times New Roman"/>
          <w:sz w:val="24"/>
          <w:szCs w:val="24"/>
        </w:rPr>
        <w:t>)</w:t>
      </w:r>
      <w:r w:rsidRPr="00654F2F">
        <w:rPr>
          <w:rFonts w:ascii="Times New Roman" w:hAnsi="Times New Roman" w:cs="Times New Roman"/>
          <w:sz w:val="24"/>
          <w:szCs w:val="24"/>
        </w:rPr>
        <w:t xml:space="preserve">. </w:t>
      </w:r>
    </w:p>
    <w:p w14:paraId="0498DB5D" w14:textId="19395514" w:rsidR="003B08F0" w:rsidRPr="00654F2F" w:rsidRDefault="00FA0200"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GTI </w:t>
      </w:r>
      <w:r w:rsidR="005A4C4D" w:rsidRPr="00654F2F">
        <w:rPr>
          <w:rFonts w:ascii="Times New Roman" w:hAnsi="Times New Roman" w:cs="Times New Roman"/>
          <w:sz w:val="24"/>
          <w:szCs w:val="24"/>
        </w:rPr>
        <w:t>contributed to</w:t>
      </w:r>
      <w:r w:rsidRPr="00654F2F">
        <w:rPr>
          <w:rFonts w:ascii="Times New Roman" w:hAnsi="Times New Roman" w:cs="Times New Roman"/>
          <w:sz w:val="24"/>
          <w:szCs w:val="24"/>
        </w:rPr>
        <w:t xml:space="preserve"> the analysis of the data</w:t>
      </w:r>
      <w:r w:rsidR="005A4C4D" w:rsidRPr="00654F2F">
        <w:rPr>
          <w:rFonts w:ascii="Times New Roman" w:hAnsi="Times New Roman" w:cs="Times New Roman"/>
          <w:sz w:val="24"/>
          <w:szCs w:val="24"/>
        </w:rPr>
        <w:t xml:space="preserve"> by informing </w:t>
      </w:r>
      <w:r w:rsidR="00C90E7A" w:rsidRPr="00654F2F">
        <w:rPr>
          <w:rFonts w:ascii="Times New Roman" w:hAnsi="Times New Roman" w:cs="Times New Roman"/>
          <w:sz w:val="24"/>
          <w:szCs w:val="24"/>
        </w:rPr>
        <w:t>the overarching structure of higher-order themes and sub-themes that were developed, enabling the analysis to move beyond merely identifying specific facilitators and barriers, and instead developing explanations that look at broader sustainability processes within schools</w:t>
      </w:r>
      <w:r w:rsidR="005A4C4D" w:rsidRPr="00654F2F">
        <w:rPr>
          <w:rFonts w:ascii="Times New Roman" w:hAnsi="Times New Roman" w:cs="Times New Roman"/>
          <w:sz w:val="24"/>
          <w:szCs w:val="24"/>
        </w:rPr>
        <w:t>.</w:t>
      </w:r>
      <w:r w:rsidR="003B08F0" w:rsidRPr="00654F2F">
        <w:rPr>
          <w:rFonts w:ascii="Times New Roman" w:hAnsi="Times New Roman" w:cs="Times New Roman"/>
          <w:sz w:val="24"/>
          <w:szCs w:val="24"/>
        </w:rPr>
        <w:t xml:space="preserve"> The ‘capability’ domain did not inform our final themes; we found that data that could have been coded under ‘capability’ fit sufficiently well under other domains. For example, the ‘workability’ of RP and action groups was related to timetabling and the paucity of time. </w:t>
      </w:r>
    </w:p>
    <w:p w14:paraId="070F6B3B" w14:textId="13957222" w:rsidR="006C3188" w:rsidRPr="00654F2F" w:rsidRDefault="00AA7D50"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To make the analysis process more ‘workable’ for the research questions in the study, while staying close to the language of the theory, the overarching domains were translated: the word “agents” was replaced with “school staff”; “implementation” or “implementation processes” were replaced with “implementation over time” or “implementation processes over time”; and “intervention” was replaced with “Learning Together”. For example, “Social norms: collective rules or understandings of acceptable behaviour that govern agents’ behaviour, rewards and involvement in an implementation process,” was replaced with, “Social norms: collective rules or understandings of acceptable behaviour that govern </w:t>
      </w:r>
      <w:r w:rsidRPr="00654F2F">
        <w:rPr>
          <w:rFonts w:ascii="Times New Roman" w:hAnsi="Times New Roman" w:cs="Times New Roman"/>
          <w:sz w:val="24"/>
          <w:szCs w:val="24"/>
          <w:u w:val="single"/>
        </w:rPr>
        <w:t>school staff’s</w:t>
      </w:r>
      <w:r w:rsidRPr="00654F2F">
        <w:rPr>
          <w:rFonts w:ascii="Times New Roman" w:hAnsi="Times New Roman" w:cs="Times New Roman"/>
          <w:sz w:val="24"/>
          <w:szCs w:val="24"/>
        </w:rPr>
        <w:t xml:space="preserve"> behaviour, rewards and involvement in an </w:t>
      </w:r>
      <w:r w:rsidRPr="00654F2F">
        <w:rPr>
          <w:rFonts w:ascii="Times New Roman" w:hAnsi="Times New Roman" w:cs="Times New Roman"/>
          <w:sz w:val="24"/>
          <w:szCs w:val="24"/>
          <w:u w:val="single"/>
        </w:rPr>
        <w:t>implementation process over time</w:t>
      </w:r>
      <w:r w:rsidRPr="00654F2F">
        <w:rPr>
          <w:rFonts w:ascii="Times New Roman" w:hAnsi="Times New Roman" w:cs="Times New Roman"/>
          <w:sz w:val="24"/>
          <w:szCs w:val="24"/>
        </w:rPr>
        <w:t xml:space="preserve">.” </w:t>
      </w:r>
      <w:r w:rsidR="003146DE" w:rsidRPr="00654F2F">
        <w:rPr>
          <w:rFonts w:ascii="Times New Roman" w:hAnsi="Times New Roman" w:cs="Times New Roman"/>
          <w:sz w:val="24"/>
          <w:szCs w:val="24"/>
        </w:rPr>
        <w:t xml:space="preserve">The descriptions of the dimensions under ‘Potential’ were also slightly re-worded for clarity: individual intentions were described as </w:t>
      </w:r>
      <w:r w:rsidR="003146DE" w:rsidRPr="00654F2F">
        <w:rPr>
          <w:rFonts w:ascii="Times New Roman" w:hAnsi="Times New Roman" w:cs="Times New Roman"/>
          <w:i/>
          <w:sz w:val="24"/>
          <w:szCs w:val="24"/>
        </w:rPr>
        <w:t>individual differences between</w:t>
      </w:r>
      <w:r w:rsidR="003146DE" w:rsidRPr="00654F2F">
        <w:rPr>
          <w:rFonts w:ascii="Times New Roman" w:hAnsi="Times New Roman" w:cs="Times New Roman"/>
          <w:sz w:val="24"/>
          <w:szCs w:val="24"/>
        </w:rPr>
        <w:t xml:space="preserve"> school staff in their readiness to transform personal beliefs and attitudes </w:t>
      </w:r>
      <w:r w:rsidR="003146DE" w:rsidRPr="00654F2F">
        <w:rPr>
          <w:rFonts w:ascii="Times New Roman" w:hAnsi="Times New Roman" w:cs="Times New Roman"/>
          <w:i/>
          <w:sz w:val="24"/>
          <w:szCs w:val="24"/>
        </w:rPr>
        <w:t>about how to improve students’ health, wellbeing and behaviour</w:t>
      </w:r>
      <w:r w:rsidR="003146DE" w:rsidRPr="00654F2F">
        <w:rPr>
          <w:rFonts w:ascii="Times New Roman" w:hAnsi="Times New Roman" w:cs="Times New Roman"/>
          <w:sz w:val="24"/>
          <w:szCs w:val="24"/>
        </w:rPr>
        <w:t xml:space="preserve"> into intervention behaviours, and shared commitments were described as school staff’s </w:t>
      </w:r>
      <w:r w:rsidR="003146DE" w:rsidRPr="00654F2F">
        <w:rPr>
          <w:rFonts w:ascii="Times New Roman" w:hAnsi="Times New Roman" w:cs="Times New Roman"/>
          <w:i/>
          <w:sz w:val="24"/>
          <w:szCs w:val="24"/>
        </w:rPr>
        <w:t>collective</w:t>
      </w:r>
      <w:r w:rsidR="003146DE" w:rsidRPr="00654F2F">
        <w:rPr>
          <w:rFonts w:ascii="Times New Roman" w:hAnsi="Times New Roman" w:cs="Times New Roman"/>
          <w:sz w:val="24"/>
          <w:szCs w:val="24"/>
        </w:rPr>
        <w:t xml:space="preserve"> readiness to translate shared beliefs and attitudes </w:t>
      </w:r>
      <w:r w:rsidR="003146DE" w:rsidRPr="00654F2F">
        <w:rPr>
          <w:rFonts w:ascii="Times New Roman" w:hAnsi="Times New Roman" w:cs="Times New Roman"/>
          <w:i/>
          <w:sz w:val="24"/>
          <w:szCs w:val="24"/>
        </w:rPr>
        <w:t>about how to improve students’ health, wellbeing and behaviour</w:t>
      </w:r>
      <w:r w:rsidR="003146DE" w:rsidRPr="00654F2F">
        <w:rPr>
          <w:rFonts w:ascii="Times New Roman" w:hAnsi="Times New Roman" w:cs="Times New Roman"/>
          <w:sz w:val="24"/>
          <w:szCs w:val="24"/>
        </w:rPr>
        <w:t xml:space="preserve"> into intervention behaviours. </w:t>
      </w:r>
    </w:p>
    <w:p w14:paraId="5A123EFB" w14:textId="68C9214D" w:rsidR="006C3188" w:rsidRPr="00654F2F" w:rsidRDefault="006C3188" w:rsidP="00654F2F">
      <w:pPr>
        <w:spacing w:afterLines="160" w:after="384" w:line="240" w:lineRule="auto"/>
        <w:rPr>
          <w:rFonts w:ascii="Times New Roman" w:hAnsi="Times New Roman" w:cs="Times New Roman"/>
          <w:b/>
          <w:sz w:val="24"/>
          <w:szCs w:val="24"/>
        </w:rPr>
      </w:pPr>
      <w:r w:rsidRPr="00654F2F">
        <w:rPr>
          <w:rFonts w:ascii="Times New Roman" w:hAnsi="Times New Roman" w:cs="Times New Roman"/>
          <w:b/>
          <w:sz w:val="24"/>
          <w:szCs w:val="24"/>
        </w:rPr>
        <w:t>Potential: school staff’s motivation to implement Learning Together over time</w:t>
      </w:r>
    </w:p>
    <w:p w14:paraId="09071035" w14:textId="77777777" w:rsidR="006C3188" w:rsidRPr="00654F2F" w:rsidRDefault="006C3188" w:rsidP="00654F2F">
      <w:pPr>
        <w:pStyle w:val="ListParagraph"/>
        <w:numPr>
          <w:ilvl w:val="0"/>
          <w:numId w:val="8"/>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Individual intentions</w:t>
      </w:r>
      <w:r w:rsidRPr="00654F2F">
        <w:rPr>
          <w:rFonts w:ascii="Times New Roman" w:hAnsi="Times New Roman" w:cs="Times New Roman"/>
          <w:sz w:val="24"/>
          <w:szCs w:val="24"/>
        </w:rPr>
        <w:t xml:space="preserve">: individual differences in school staff’s readiness to transform personal beliefs and attitudes about how to improve students’ health, wellbeing and behaviour into behaviours prescribed by Learning Together, affecting their motivation to participate in an intervention over time. </w:t>
      </w:r>
    </w:p>
    <w:p w14:paraId="6F057FBE" w14:textId="77777777" w:rsidR="006C3188" w:rsidRPr="00654F2F" w:rsidRDefault="006C3188" w:rsidP="00654F2F">
      <w:pPr>
        <w:pStyle w:val="ListParagraph"/>
        <w:numPr>
          <w:ilvl w:val="0"/>
          <w:numId w:val="8"/>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Shared commitments</w:t>
      </w:r>
      <w:r w:rsidRPr="00654F2F">
        <w:rPr>
          <w:rFonts w:ascii="Times New Roman" w:hAnsi="Times New Roman" w:cs="Times New Roman"/>
          <w:sz w:val="24"/>
          <w:szCs w:val="24"/>
        </w:rPr>
        <w:t xml:space="preserve">: school staff’s collective readiness to translate shared beliefs and attitudes about how to improve students’ health, wellbeing and behaviour into the behaviours prescribed by Learning Together, affecting their shared commitment to participate in the intervention over time. </w:t>
      </w:r>
    </w:p>
    <w:p w14:paraId="193F10B4" w14:textId="77777777" w:rsidR="006C3188" w:rsidRPr="00654F2F" w:rsidRDefault="006C3188" w:rsidP="00654F2F">
      <w:pPr>
        <w:spacing w:afterLines="160" w:after="384" w:line="240" w:lineRule="auto"/>
        <w:rPr>
          <w:rFonts w:ascii="Times New Roman" w:hAnsi="Times New Roman" w:cs="Times New Roman"/>
          <w:b/>
          <w:sz w:val="24"/>
          <w:szCs w:val="24"/>
        </w:rPr>
      </w:pPr>
      <w:r w:rsidRPr="00654F2F">
        <w:rPr>
          <w:rFonts w:ascii="Times New Roman" w:hAnsi="Times New Roman" w:cs="Times New Roman"/>
          <w:b/>
          <w:sz w:val="24"/>
          <w:szCs w:val="24"/>
        </w:rPr>
        <w:t>Capability: the extent Learning Together could be made to fit into school staff’s everyday practice</w:t>
      </w:r>
    </w:p>
    <w:p w14:paraId="237088EF" w14:textId="77777777" w:rsidR="006C3188" w:rsidRPr="00654F2F" w:rsidRDefault="006C3188" w:rsidP="00654F2F">
      <w:pPr>
        <w:pStyle w:val="ListParagraph"/>
        <w:numPr>
          <w:ilvl w:val="0"/>
          <w:numId w:val="9"/>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lastRenderedPageBreak/>
        <w:t>Workability</w:t>
      </w:r>
      <w:r w:rsidRPr="00654F2F">
        <w:rPr>
          <w:rFonts w:ascii="Times New Roman" w:hAnsi="Times New Roman" w:cs="Times New Roman"/>
          <w:sz w:val="24"/>
          <w:szCs w:val="24"/>
        </w:rPr>
        <w:t xml:space="preserve">: how school staff allocate work and interact with one another to operationalise Learning Together. </w:t>
      </w:r>
    </w:p>
    <w:p w14:paraId="2F41ED80" w14:textId="77777777" w:rsidR="006C3188" w:rsidRPr="00654F2F" w:rsidRDefault="006C3188" w:rsidP="00654F2F">
      <w:pPr>
        <w:pStyle w:val="ListParagraph"/>
        <w:numPr>
          <w:ilvl w:val="0"/>
          <w:numId w:val="9"/>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Integration</w:t>
      </w:r>
      <w:r w:rsidRPr="00654F2F">
        <w:rPr>
          <w:rFonts w:ascii="Times New Roman" w:hAnsi="Times New Roman" w:cs="Times New Roman"/>
          <w:sz w:val="24"/>
          <w:szCs w:val="24"/>
        </w:rPr>
        <w:t>: the work carried out to integrate the Learning Together into existing practices, policies and systems, including procedures to develop accountability and fidelity/consistency of use and resources allocated to its operation over time.</w:t>
      </w:r>
    </w:p>
    <w:p w14:paraId="4EE58C95" w14:textId="77777777" w:rsidR="006C3188" w:rsidRPr="00654F2F" w:rsidRDefault="006C3188" w:rsidP="00654F2F">
      <w:pPr>
        <w:spacing w:afterLines="160" w:after="384" w:line="240" w:lineRule="auto"/>
        <w:rPr>
          <w:rFonts w:ascii="Times New Roman" w:hAnsi="Times New Roman" w:cs="Times New Roman"/>
          <w:b/>
          <w:sz w:val="24"/>
          <w:szCs w:val="24"/>
        </w:rPr>
      </w:pPr>
      <w:r w:rsidRPr="00654F2F">
        <w:rPr>
          <w:rFonts w:ascii="Times New Roman" w:hAnsi="Times New Roman" w:cs="Times New Roman"/>
          <w:b/>
          <w:sz w:val="24"/>
          <w:szCs w:val="24"/>
        </w:rPr>
        <w:t>Contribution: the actions carried out by school staff to implement Learning Together over time</w:t>
      </w:r>
    </w:p>
    <w:p w14:paraId="574F0459" w14:textId="77777777" w:rsidR="006C3188" w:rsidRPr="00654F2F" w:rsidRDefault="006C3188" w:rsidP="00654F2F">
      <w:pPr>
        <w:pStyle w:val="ListParagraph"/>
        <w:numPr>
          <w:ilvl w:val="0"/>
          <w:numId w:val="10"/>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Coherence or sense-making:</w:t>
      </w:r>
      <w:r w:rsidRPr="00654F2F">
        <w:rPr>
          <w:rFonts w:ascii="Times New Roman" w:hAnsi="Times New Roman" w:cs="Times New Roman"/>
          <w:sz w:val="24"/>
          <w:szCs w:val="24"/>
        </w:rPr>
        <w:t xml:space="preserve"> how school staff attribute meaning to Learning Together components, how they make sense of their use/ worth and differentiate them from other processes in their work at school. </w:t>
      </w:r>
    </w:p>
    <w:p w14:paraId="0D66AA78" w14:textId="77777777" w:rsidR="006C3188" w:rsidRPr="00654F2F" w:rsidRDefault="006C3188" w:rsidP="00654F2F">
      <w:pPr>
        <w:pStyle w:val="ListParagraph"/>
        <w:numPr>
          <w:ilvl w:val="0"/>
          <w:numId w:val="10"/>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Cognitive participation:</w:t>
      </w:r>
      <w:r w:rsidRPr="00654F2F">
        <w:rPr>
          <w:rFonts w:ascii="Times New Roman" w:hAnsi="Times New Roman" w:cs="Times New Roman"/>
          <w:sz w:val="24"/>
          <w:szCs w:val="24"/>
        </w:rPr>
        <w:t xml:space="preserve"> school staff initiate work that establishes the legitimacy of Learning Together and enrols them and others (that is, develops ‘buy-in’) into the implementation process over time. </w:t>
      </w:r>
    </w:p>
    <w:p w14:paraId="36A672CB" w14:textId="77777777" w:rsidR="006C3188" w:rsidRPr="00654F2F" w:rsidRDefault="006C3188" w:rsidP="00654F2F">
      <w:pPr>
        <w:pStyle w:val="ListParagraph"/>
        <w:numPr>
          <w:ilvl w:val="0"/>
          <w:numId w:val="10"/>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Collective action:</w:t>
      </w:r>
      <w:r w:rsidRPr="00654F2F">
        <w:rPr>
          <w:rFonts w:ascii="Times New Roman" w:hAnsi="Times New Roman" w:cs="Times New Roman"/>
          <w:sz w:val="24"/>
          <w:szCs w:val="24"/>
        </w:rPr>
        <w:t xml:space="preserve"> how school staff operationalise Learning </w:t>
      </w:r>
      <w:proofErr w:type="spellStart"/>
      <w:r w:rsidRPr="00654F2F">
        <w:rPr>
          <w:rFonts w:ascii="Times New Roman" w:hAnsi="Times New Roman" w:cs="Times New Roman"/>
          <w:sz w:val="24"/>
          <w:szCs w:val="24"/>
        </w:rPr>
        <w:t>Together’s</w:t>
      </w:r>
      <w:proofErr w:type="spellEnd"/>
      <w:r w:rsidRPr="00654F2F">
        <w:rPr>
          <w:rFonts w:ascii="Times New Roman" w:hAnsi="Times New Roman" w:cs="Times New Roman"/>
          <w:sz w:val="24"/>
          <w:szCs w:val="24"/>
        </w:rPr>
        <w:t xml:space="preserve"> components and distribute and mobilise skills and resources to enact them over time. </w:t>
      </w:r>
    </w:p>
    <w:p w14:paraId="3EBF217E" w14:textId="4D54691B" w:rsidR="006C3188" w:rsidRPr="00654F2F" w:rsidRDefault="006C3188" w:rsidP="00654F2F">
      <w:pPr>
        <w:pStyle w:val="ListParagraph"/>
        <w:numPr>
          <w:ilvl w:val="0"/>
          <w:numId w:val="10"/>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Reflexive monitoring</w:t>
      </w:r>
      <w:r w:rsidRPr="00654F2F">
        <w:rPr>
          <w:rFonts w:ascii="Times New Roman" w:hAnsi="Times New Roman" w:cs="Times New Roman"/>
          <w:sz w:val="24"/>
          <w:szCs w:val="24"/>
        </w:rPr>
        <w:t xml:space="preserve"> – school staff appraise, formally and informally, the effects and operation of Learning Together. </w:t>
      </w:r>
    </w:p>
    <w:p w14:paraId="4574B59E" w14:textId="77777777" w:rsidR="006C3188" w:rsidRPr="00654F2F" w:rsidRDefault="006C3188" w:rsidP="00654F2F">
      <w:pPr>
        <w:spacing w:afterLines="160" w:after="384" w:line="240" w:lineRule="auto"/>
        <w:rPr>
          <w:rFonts w:ascii="Times New Roman" w:hAnsi="Times New Roman" w:cs="Times New Roman"/>
          <w:b/>
          <w:sz w:val="24"/>
          <w:szCs w:val="24"/>
        </w:rPr>
      </w:pPr>
      <w:r w:rsidRPr="00654F2F">
        <w:rPr>
          <w:rFonts w:ascii="Times New Roman" w:hAnsi="Times New Roman" w:cs="Times New Roman"/>
          <w:b/>
          <w:sz w:val="24"/>
          <w:szCs w:val="24"/>
        </w:rPr>
        <w:t xml:space="preserve">Capacity: the influence of the social context on Learning </w:t>
      </w:r>
      <w:proofErr w:type="spellStart"/>
      <w:r w:rsidRPr="00654F2F">
        <w:rPr>
          <w:rFonts w:ascii="Times New Roman" w:hAnsi="Times New Roman" w:cs="Times New Roman"/>
          <w:b/>
          <w:sz w:val="24"/>
          <w:szCs w:val="24"/>
        </w:rPr>
        <w:t>Together’s</w:t>
      </w:r>
      <w:proofErr w:type="spellEnd"/>
      <w:r w:rsidRPr="00654F2F">
        <w:rPr>
          <w:rFonts w:ascii="Times New Roman" w:hAnsi="Times New Roman" w:cs="Times New Roman"/>
          <w:b/>
          <w:sz w:val="24"/>
          <w:szCs w:val="24"/>
        </w:rPr>
        <w:t xml:space="preserve"> implementation over time</w:t>
      </w:r>
    </w:p>
    <w:p w14:paraId="296835E2" w14:textId="77777777" w:rsidR="006C3188" w:rsidRPr="00654F2F" w:rsidRDefault="006C3188" w:rsidP="00654F2F">
      <w:pPr>
        <w:pStyle w:val="ListParagraph"/>
        <w:numPr>
          <w:ilvl w:val="0"/>
          <w:numId w:val="1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Social norms:</w:t>
      </w:r>
      <w:r w:rsidRPr="00654F2F">
        <w:rPr>
          <w:rFonts w:ascii="Times New Roman" w:hAnsi="Times New Roman" w:cs="Times New Roman"/>
          <w:sz w:val="24"/>
          <w:szCs w:val="24"/>
        </w:rPr>
        <w:t xml:space="preserve"> collective rules or understandings of acceptable behaviour that govern school staff’s behaviour, rewards and involvement in the implementation process over time.</w:t>
      </w:r>
    </w:p>
    <w:p w14:paraId="1DE7DD85" w14:textId="77777777" w:rsidR="006C3188" w:rsidRPr="00654F2F" w:rsidRDefault="006C3188" w:rsidP="00654F2F">
      <w:pPr>
        <w:pStyle w:val="ListParagraph"/>
        <w:numPr>
          <w:ilvl w:val="0"/>
          <w:numId w:val="1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Social roles:</w:t>
      </w:r>
      <w:r w:rsidRPr="00654F2F">
        <w:rPr>
          <w:rFonts w:ascii="Times New Roman" w:hAnsi="Times New Roman" w:cs="Times New Roman"/>
          <w:sz w:val="24"/>
          <w:szCs w:val="24"/>
        </w:rPr>
        <w:t xml:space="preserve"> socially patterned identities within schools which define expectations of different staff and what they are authorised (or not) to do to operationalise Learning Together over time.</w:t>
      </w:r>
    </w:p>
    <w:p w14:paraId="6329F68E" w14:textId="77777777" w:rsidR="006C3188" w:rsidRPr="00654F2F" w:rsidRDefault="006C3188" w:rsidP="00654F2F">
      <w:pPr>
        <w:pStyle w:val="ListParagraph"/>
        <w:numPr>
          <w:ilvl w:val="0"/>
          <w:numId w:val="1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Cognitive/informational resources</w:t>
      </w:r>
      <w:r w:rsidRPr="00654F2F">
        <w:rPr>
          <w:rFonts w:ascii="Times New Roman" w:hAnsi="Times New Roman" w:cs="Times New Roman"/>
          <w:sz w:val="24"/>
          <w:szCs w:val="24"/>
        </w:rPr>
        <w:t xml:space="preserve">: whether/how knowledge, information or evidence about Learning Together are disseminated and distributed to staff over time. </w:t>
      </w:r>
    </w:p>
    <w:p w14:paraId="5BE48B1D" w14:textId="77777777" w:rsidR="006C3188" w:rsidRPr="00654F2F" w:rsidRDefault="006C3188" w:rsidP="00654F2F">
      <w:pPr>
        <w:pStyle w:val="ListParagraph"/>
        <w:numPr>
          <w:ilvl w:val="0"/>
          <w:numId w:val="11"/>
        </w:numPr>
        <w:spacing w:afterLines="160" w:after="384" w:line="240" w:lineRule="auto"/>
        <w:rPr>
          <w:rFonts w:ascii="Times New Roman" w:hAnsi="Times New Roman" w:cs="Times New Roman"/>
          <w:sz w:val="24"/>
          <w:szCs w:val="24"/>
        </w:rPr>
      </w:pPr>
      <w:r w:rsidRPr="00654F2F">
        <w:rPr>
          <w:rFonts w:ascii="Times New Roman" w:hAnsi="Times New Roman" w:cs="Times New Roman"/>
          <w:i/>
          <w:sz w:val="24"/>
          <w:szCs w:val="24"/>
        </w:rPr>
        <w:t>Material resources</w:t>
      </w:r>
      <w:r w:rsidRPr="00654F2F">
        <w:rPr>
          <w:rFonts w:ascii="Times New Roman" w:hAnsi="Times New Roman" w:cs="Times New Roman"/>
          <w:sz w:val="24"/>
          <w:szCs w:val="24"/>
        </w:rPr>
        <w:t xml:space="preserve">: funding, equipment, physical space, and any other material resources that are mobilised by staff to implement Learning Together over time. </w:t>
      </w:r>
    </w:p>
    <w:p w14:paraId="1D352A79" w14:textId="36097251" w:rsidR="005077C8" w:rsidRPr="00654F2F" w:rsidRDefault="00315A2A" w:rsidP="00654F2F">
      <w:pPr>
        <w:pStyle w:val="Heading3"/>
        <w:spacing w:before="0" w:afterLines="160" w:after="384" w:line="240" w:lineRule="auto"/>
        <w:rPr>
          <w:rFonts w:ascii="Times New Roman" w:hAnsi="Times New Roman" w:cs="Times New Roman"/>
        </w:rPr>
      </w:pPr>
      <w:r w:rsidRPr="00654F2F">
        <w:rPr>
          <w:rFonts w:ascii="Times New Roman" w:hAnsi="Times New Roman" w:cs="Times New Roman"/>
        </w:rPr>
        <w:t>References</w:t>
      </w:r>
    </w:p>
    <w:p w14:paraId="6BD8198B" w14:textId="62D3B663" w:rsidR="00315A2A" w:rsidRPr="00654F2F" w:rsidRDefault="00315A2A"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May, C., 2013a. Agency and implementation: Understanding the embedding of healthcare innovations in practice. Social Science &amp; Medicine 78, 26–33. </w:t>
      </w:r>
      <w:hyperlink r:id="rId7" w:history="1">
        <w:r w:rsidRPr="00654F2F">
          <w:rPr>
            <w:rStyle w:val="Hyperlink"/>
            <w:rFonts w:ascii="Times New Roman" w:hAnsi="Times New Roman" w:cs="Times New Roman"/>
            <w:sz w:val="24"/>
            <w:szCs w:val="24"/>
          </w:rPr>
          <w:t>https://doi.org/10.1016/j.socscimed.2012.11.021</w:t>
        </w:r>
      </w:hyperlink>
    </w:p>
    <w:p w14:paraId="6A2A130A" w14:textId="1AE7562F" w:rsidR="00FE66B3" w:rsidRPr="00654F2F" w:rsidRDefault="00FE66B3"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May, C., 2013b. Towards a general theory of implementation. Implementation Science 8. </w:t>
      </w:r>
      <w:hyperlink r:id="rId8" w:history="1">
        <w:r w:rsidR="00315A2A" w:rsidRPr="00654F2F">
          <w:rPr>
            <w:rStyle w:val="Hyperlink"/>
            <w:rFonts w:ascii="Times New Roman" w:hAnsi="Times New Roman" w:cs="Times New Roman"/>
            <w:sz w:val="24"/>
            <w:szCs w:val="24"/>
          </w:rPr>
          <w:t>https://doi.org/10.1186/1748-5908-8-18</w:t>
        </w:r>
      </w:hyperlink>
    </w:p>
    <w:p w14:paraId="120FDC90" w14:textId="352C691E" w:rsidR="005077C8" w:rsidRPr="00654F2F" w:rsidRDefault="00FE66B3" w:rsidP="00654F2F">
      <w:pPr>
        <w:spacing w:afterLines="160" w:after="384" w:line="240" w:lineRule="auto"/>
        <w:rPr>
          <w:rFonts w:ascii="Times New Roman" w:hAnsi="Times New Roman" w:cs="Times New Roman"/>
          <w:sz w:val="24"/>
          <w:szCs w:val="24"/>
        </w:rPr>
      </w:pPr>
      <w:r w:rsidRPr="00654F2F">
        <w:rPr>
          <w:rFonts w:ascii="Times New Roman" w:hAnsi="Times New Roman" w:cs="Times New Roman"/>
          <w:sz w:val="24"/>
          <w:szCs w:val="24"/>
        </w:rPr>
        <w:t xml:space="preserve">May, C., Finch, T., 2009. Implementing, Embedding, and Integrating Practices: An Outline of Normalization Process Theory. Sociology 43, 535–554. </w:t>
      </w:r>
      <w:hyperlink r:id="rId9" w:history="1">
        <w:r w:rsidR="00315A2A" w:rsidRPr="00654F2F">
          <w:rPr>
            <w:rStyle w:val="Hyperlink"/>
            <w:rFonts w:ascii="Times New Roman" w:hAnsi="Times New Roman" w:cs="Times New Roman"/>
            <w:sz w:val="24"/>
            <w:szCs w:val="24"/>
          </w:rPr>
          <w:t>https://doi.org/10.1177/0038038509103208</w:t>
        </w:r>
      </w:hyperlink>
    </w:p>
    <w:sectPr w:rsidR="005077C8" w:rsidRPr="00654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7F30"/>
    <w:multiLevelType w:val="hybridMultilevel"/>
    <w:tmpl w:val="48ECDE48"/>
    <w:lvl w:ilvl="0" w:tplc="08090001">
      <w:start w:val="1"/>
      <w:numFmt w:val="bullet"/>
      <w:lvlText w:val=""/>
      <w:lvlJc w:val="left"/>
      <w:pPr>
        <w:ind w:left="225" w:hanging="360"/>
      </w:pPr>
      <w:rPr>
        <w:rFonts w:ascii="Symbol" w:hAnsi="Symbol"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1" w15:restartNumberingAfterBreak="0">
    <w:nsid w:val="14692F47"/>
    <w:multiLevelType w:val="hybridMultilevel"/>
    <w:tmpl w:val="EF24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17FB9"/>
    <w:multiLevelType w:val="hybridMultilevel"/>
    <w:tmpl w:val="731C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30E3"/>
    <w:multiLevelType w:val="hybridMultilevel"/>
    <w:tmpl w:val="478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836B1"/>
    <w:multiLevelType w:val="hybridMultilevel"/>
    <w:tmpl w:val="C046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0272D3"/>
    <w:multiLevelType w:val="hybridMultilevel"/>
    <w:tmpl w:val="9D32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0D7123"/>
    <w:multiLevelType w:val="hybridMultilevel"/>
    <w:tmpl w:val="217C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E07C20"/>
    <w:multiLevelType w:val="hybridMultilevel"/>
    <w:tmpl w:val="55DC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6E76D3"/>
    <w:multiLevelType w:val="hybridMultilevel"/>
    <w:tmpl w:val="DBE69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926DB2"/>
    <w:multiLevelType w:val="hybridMultilevel"/>
    <w:tmpl w:val="0A48B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3E12D7"/>
    <w:multiLevelType w:val="hybridMultilevel"/>
    <w:tmpl w:val="F2789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28568">
    <w:abstractNumId w:val="0"/>
  </w:num>
  <w:num w:numId="2" w16cid:durableId="1703747488">
    <w:abstractNumId w:val="7"/>
  </w:num>
  <w:num w:numId="3" w16cid:durableId="1985158475">
    <w:abstractNumId w:val="8"/>
  </w:num>
  <w:num w:numId="4" w16cid:durableId="960379133">
    <w:abstractNumId w:val="4"/>
  </w:num>
  <w:num w:numId="5" w16cid:durableId="644774699">
    <w:abstractNumId w:val="1"/>
  </w:num>
  <w:num w:numId="6" w16cid:durableId="1550073994">
    <w:abstractNumId w:val="3"/>
  </w:num>
  <w:num w:numId="7" w16cid:durableId="799763454">
    <w:abstractNumId w:val="2"/>
  </w:num>
  <w:num w:numId="8" w16cid:durableId="566497704">
    <w:abstractNumId w:val="10"/>
  </w:num>
  <w:num w:numId="9" w16cid:durableId="821652833">
    <w:abstractNumId w:val="6"/>
  </w:num>
  <w:num w:numId="10" w16cid:durableId="39912013">
    <w:abstractNumId w:val="5"/>
  </w:num>
  <w:num w:numId="11" w16cid:durableId="286275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C8"/>
    <w:rsid w:val="0005510B"/>
    <w:rsid w:val="000810EB"/>
    <w:rsid w:val="000E6FFE"/>
    <w:rsid w:val="00101120"/>
    <w:rsid w:val="001446FC"/>
    <w:rsid w:val="0017348E"/>
    <w:rsid w:val="0022084C"/>
    <w:rsid w:val="002A5ABD"/>
    <w:rsid w:val="003146DE"/>
    <w:rsid w:val="00315A2A"/>
    <w:rsid w:val="0031647E"/>
    <w:rsid w:val="003B08F0"/>
    <w:rsid w:val="003B553B"/>
    <w:rsid w:val="003B6027"/>
    <w:rsid w:val="004B53BD"/>
    <w:rsid w:val="004C2C70"/>
    <w:rsid w:val="004E070D"/>
    <w:rsid w:val="005077C8"/>
    <w:rsid w:val="005569A8"/>
    <w:rsid w:val="005A4C4D"/>
    <w:rsid w:val="00641B4B"/>
    <w:rsid w:val="00654F2F"/>
    <w:rsid w:val="00694415"/>
    <w:rsid w:val="006C3188"/>
    <w:rsid w:val="006C7978"/>
    <w:rsid w:val="00775165"/>
    <w:rsid w:val="0078012B"/>
    <w:rsid w:val="007A6164"/>
    <w:rsid w:val="007D54A7"/>
    <w:rsid w:val="007F282A"/>
    <w:rsid w:val="008150E7"/>
    <w:rsid w:val="00825AB3"/>
    <w:rsid w:val="009F0BE0"/>
    <w:rsid w:val="00AA7D50"/>
    <w:rsid w:val="00AE4206"/>
    <w:rsid w:val="00B15220"/>
    <w:rsid w:val="00B85D64"/>
    <w:rsid w:val="00BD3C34"/>
    <w:rsid w:val="00C25DD4"/>
    <w:rsid w:val="00C43656"/>
    <w:rsid w:val="00C73577"/>
    <w:rsid w:val="00C74F15"/>
    <w:rsid w:val="00C90E7A"/>
    <w:rsid w:val="00D44ED8"/>
    <w:rsid w:val="00D856F2"/>
    <w:rsid w:val="00DE7EAB"/>
    <w:rsid w:val="00E00EFB"/>
    <w:rsid w:val="00E07833"/>
    <w:rsid w:val="00E7520C"/>
    <w:rsid w:val="00EE5D58"/>
    <w:rsid w:val="00F043E1"/>
    <w:rsid w:val="00FA0200"/>
    <w:rsid w:val="00FE6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E6E1"/>
  <w15:chartTrackingRefBased/>
  <w15:docId w15:val="{9F06689F-AAA1-4192-AF82-7837BE2C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C8"/>
    <w:pPr>
      <w:spacing w:after="0" w:line="360" w:lineRule="auto"/>
    </w:pPr>
    <w:rPr>
      <w:rFonts w:ascii="Arial" w:hAnsi="Arial"/>
      <w:kern w:val="0"/>
      <w:sz w:val="20"/>
      <w14:ligatures w14:val="none"/>
    </w:rPr>
  </w:style>
  <w:style w:type="paragraph" w:styleId="Heading1">
    <w:name w:val="heading 1"/>
    <w:basedOn w:val="Normal"/>
    <w:next w:val="Normal"/>
    <w:link w:val="Heading1Char"/>
    <w:uiPriority w:val="9"/>
    <w:qFormat/>
    <w:rsid w:val="005077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7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77C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5A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7C8"/>
    <w:pPr>
      <w:ind w:left="720"/>
      <w:contextualSpacing/>
    </w:pPr>
  </w:style>
  <w:style w:type="paragraph" w:customStyle="1" w:styleId="Normal-quotes">
    <w:name w:val="Normal - quotes"/>
    <w:basedOn w:val="Normal"/>
    <w:qFormat/>
    <w:rsid w:val="005077C8"/>
    <w:pPr>
      <w:tabs>
        <w:tab w:val="left" w:pos="567"/>
      </w:tabs>
      <w:ind w:left="567"/>
    </w:pPr>
    <w:rPr>
      <w:i/>
    </w:rPr>
  </w:style>
  <w:style w:type="paragraph" w:customStyle="1" w:styleId="Heading3thesis">
    <w:name w:val="Heading 3 thesis"/>
    <w:basedOn w:val="Normal"/>
    <w:qFormat/>
    <w:rsid w:val="005077C8"/>
    <w:pPr>
      <w:keepNext/>
      <w:keepLines/>
      <w:spacing w:before="240" w:after="240"/>
      <w:outlineLvl w:val="0"/>
    </w:pPr>
    <w:rPr>
      <w:rFonts w:eastAsiaTheme="majorEastAsia" w:cstheme="majorBidi"/>
      <w:b/>
      <w:szCs w:val="32"/>
    </w:rPr>
  </w:style>
  <w:style w:type="character" w:customStyle="1" w:styleId="Heading1Char">
    <w:name w:val="Heading 1 Char"/>
    <w:basedOn w:val="DefaultParagraphFont"/>
    <w:link w:val="Heading1"/>
    <w:uiPriority w:val="9"/>
    <w:rsid w:val="005077C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077C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077C8"/>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77516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165"/>
    <w:rPr>
      <w:rFonts w:asciiTheme="majorHAnsi" w:eastAsiaTheme="majorEastAsia" w:hAnsiTheme="majorHAnsi" w:cstheme="majorBidi"/>
      <w:spacing w:val="-10"/>
      <w:kern w:val="28"/>
      <w:sz w:val="56"/>
      <w:szCs w:val="56"/>
      <w14:ligatures w14:val="none"/>
    </w:rPr>
  </w:style>
  <w:style w:type="paragraph" w:styleId="IntenseQuote">
    <w:name w:val="Intense Quote"/>
    <w:basedOn w:val="Normal"/>
    <w:next w:val="Normal"/>
    <w:link w:val="IntenseQuoteChar"/>
    <w:uiPriority w:val="30"/>
    <w:qFormat/>
    <w:rsid w:val="007751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75165"/>
    <w:rPr>
      <w:rFonts w:ascii="Arial" w:hAnsi="Arial"/>
      <w:i/>
      <w:iCs/>
      <w:color w:val="4472C4" w:themeColor="accent1"/>
      <w:kern w:val="0"/>
      <w:sz w:val="20"/>
      <w14:ligatures w14:val="none"/>
    </w:rPr>
  </w:style>
  <w:style w:type="paragraph" w:styleId="Bibliography">
    <w:name w:val="Bibliography"/>
    <w:basedOn w:val="Normal"/>
    <w:next w:val="Normal"/>
    <w:uiPriority w:val="37"/>
    <w:semiHidden/>
    <w:unhideWhenUsed/>
    <w:rsid w:val="00FE66B3"/>
  </w:style>
  <w:style w:type="character" w:styleId="Hyperlink">
    <w:name w:val="Hyperlink"/>
    <w:basedOn w:val="DefaultParagraphFont"/>
    <w:uiPriority w:val="99"/>
    <w:unhideWhenUsed/>
    <w:rsid w:val="00315A2A"/>
    <w:rPr>
      <w:color w:val="0563C1" w:themeColor="hyperlink"/>
      <w:u w:val="single"/>
    </w:rPr>
  </w:style>
  <w:style w:type="character" w:styleId="UnresolvedMention">
    <w:name w:val="Unresolved Mention"/>
    <w:basedOn w:val="DefaultParagraphFont"/>
    <w:uiPriority w:val="99"/>
    <w:semiHidden/>
    <w:unhideWhenUsed/>
    <w:rsid w:val="00315A2A"/>
    <w:rPr>
      <w:color w:val="605E5C"/>
      <w:shd w:val="clear" w:color="auto" w:fill="E1DFDD"/>
    </w:rPr>
  </w:style>
  <w:style w:type="character" w:customStyle="1" w:styleId="Heading4Char">
    <w:name w:val="Heading 4 Char"/>
    <w:basedOn w:val="DefaultParagraphFont"/>
    <w:link w:val="Heading4"/>
    <w:uiPriority w:val="9"/>
    <w:rsid w:val="00315A2A"/>
    <w:rPr>
      <w:rFonts w:asciiTheme="majorHAnsi" w:eastAsiaTheme="majorEastAsia" w:hAnsiTheme="majorHAnsi" w:cstheme="majorBidi"/>
      <w:i/>
      <w:iCs/>
      <w:color w:val="2F5496" w:themeColor="accent1" w:themeShade="BF"/>
      <w:kern w:val="0"/>
      <w:sz w:val="20"/>
      <w14:ligatures w14:val="none"/>
    </w:rPr>
  </w:style>
  <w:style w:type="paragraph" w:customStyle="1" w:styleId="Heading1thesis">
    <w:name w:val="Heading 1 thesis"/>
    <w:basedOn w:val="Heading1"/>
    <w:qFormat/>
    <w:rsid w:val="006C3188"/>
    <w:pPr>
      <w:spacing w:after="240"/>
    </w:pPr>
    <w:rPr>
      <w:rFonts w:ascii="Arial" w:hAnsi="Arial"/>
      <w:b/>
      <w:color w:val="auto"/>
      <w:sz w:val="24"/>
    </w:rPr>
  </w:style>
  <w:style w:type="paragraph" w:customStyle="1" w:styleId="Tableheading">
    <w:name w:val="Table heading"/>
    <w:basedOn w:val="Normal"/>
    <w:qFormat/>
    <w:rsid w:val="007A6164"/>
    <w:pPr>
      <w:keepNext/>
      <w:keepLines/>
      <w:spacing w:before="240" w:after="120"/>
    </w:pPr>
    <w:rPr>
      <w:rFonts w:eastAsiaTheme="majorEastAsia" w:cstheme="majorBidi"/>
      <w: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748-5908-8-18" TargetMode="External"/><Relationship Id="rId3" Type="http://schemas.openxmlformats.org/officeDocument/2006/relationships/styles" Target="styles.xml"/><Relationship Id="rId7" Type="http://schemas.openxmlformats.org/officeDocument/2006/relationships/hyperlink" Target="https://doi.org/10.1016/j.socscimed.2012.11.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003803850910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62F6-54D3-40F8-B1CC-899E6C61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4183</Words>
  <Characters>23844</Characters>
  <Application>Microsoft Office Word</Application>
  <DocSecurity>0</DocSecurity>
  <Lines>198</Lines>
  <Paragraphs>55</Paragraphs>
  <ScaleCrop>false</ScaleCrop>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Herlitz, Lauren</dc:creator>
  <cp:keywords/>
  <dc:description/>
  <cp:lastModifiedBy>Herlitz, Lauren</cp:lastModifiedBy>
  <cp:revision>43</cp:revision>
  <dcterms:created xsi:type="dcterms:W3CDTF">2024-03-08T14:09:00Z</dcterms:created>
  <dcterms:modified xsi:type="dcterms:W3CDTF">2025-01-13T13:17:00Z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id="82E0fVMl"/&gt;&lt;style id="http://www.zotero.org/styles/chicago-author-date" locale="en-GB" hasBibliography="1" bibliographyStyleHasBeenSet="0"/&gt;&lt;prefs&gt;&lt;pref name="fieldType" value="Field"/&gt;&lt;/prefs&gt;&lt;/d</vt:lpwstr>
  </property>
  <property fmtid="{D5CDD505-2E9C-101B-9397-08002B2CF9AE}" pid="3" name="ZOTERO_PREF_2">
    <vt:lpwstr>ata&gt;</vt:lpwstr>
  </property>
</Properties>
</file>