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5EE90" w14:textId="7194A00C" w:rsidR="00E33F72" w:rsidRDefault="00153602" w:rsidP="00153602">
      <w:pPr>
        <w:spacing w:line="240" w:lineRule="auto"/>
        <w:rPr>
          <w:rFonts w:ascii="Times New Roman" w:hAnsi="Times New Roman" w:cs="Times New Roman"/>
          <w:color w:val="0E2841" w:themeColor="text2"/>
          <w:sz w:val="24"/>
          <w:szCs w:val="24"/>
        </w:rPr>
      </w:pPr>
      <w:r>
        <w:rPr>
          <w:rFonts w:ascii="Times New Roman" w:hAnsi="Times New Roman" w:cs="Times New Roman"/>
          <w:color w:val="0E2841" w:themeColor="text2"/>
          <w:sz w:val="24"/>
          <w:szCs w:val="24"/>
        </w:rPr>
        <w:t>Supplementary</w:t>
      </w:r>
      <w:r w:rsidR="00E33F72" w:rsidRPr="00153602">
        <w:rPr>
          <w:rFonts w:ascii="Times New Roman" w:hAnsi="Times New Roman" w:cs="Times New Roman"/>
          <w:color w:val="0E2841" w:themeColor="text2"/>
          <w:sz w:val="24"/>
          <w:szCs w:val="24"/>
        </w:rPr>
        <w:t xml:space="preserve"> file </w:t>
      </w:r>
      <w:r>
        <w:rPr>
          <w:rFonts w:ascii="Times New Roman" w:hAnsi="Times New Roman" w:cs="Times New Roman"/>
          <w:color w:val="0E2841" w:themeColor="text2"/>
          <w:sz w:val="24"/>
          <w:szCs w:val="24"/>
        </w:rPr>
        <w:t>8</w:t>
      </w:r>
      <w:r w:rsidR="00E33F72" w:rsidRPr="00153602">
        <w:rPr>
          <w:rFonts w:ascii="Times New Roman" w:hAnsi="Times New Roman" w:cs="Times New Roman"/>
          <w:color w:val="0E2841" w:themeColor="text2"/>
          <w:sz w:val="24"/>
          <w:szCs w:val="24"/>
        </w:rPr>
        <w:t>: how staff described the responsibilities of different staff in the school in relation to behaviour management</w:t>
      </w:r>
    </w:p>
    <w:p w14:paraId="7F0C3BF5" w14:textId="77777777" w:rsidR="006E7D49" w:rsidRPr="00153602" w:rsidRDefault="006E7D49" w:rsidP="00153602">
      <w:pPr>
        <w:spacing w:line="240" w:lineRule="auto"/>
        <w:rPr>
          <w:rFonts w:ascii="Times New Roman" w:hAnsi="Times New Roman" w:cs="Times New Roman"/>
          <w:color w:val="0E2841" w:themeColor="text2"/>
          <w:sz w:val="24"/>
          <w:szCs w:val="24"/>
        </w:rPr>
      </w:pPr>
    </w:p>
    <w:tbl>
      <w:tblPr>
        <w:tblStyle w:val="TableGrid"/>
        <w:tblW w:w="9351" w:type="dxa"/>
        <w:tblLook w:val="04A0" w:firstRow="1" w:lastRow="0" w:firstColumn="1" w:lastColumn="0" w:noHBand="0" w:noVBand="1"/>
      </w:tblPr>
      <w:tblGrid>
        <w:gridCol w:w="1584"/>
        <w:gridCol w:w="3231"/>
        <w:gridCol w:w="4536"/>
      </w:tblGrid>
      <w:tr w:rsidR="00E33F72" w:rsidRPr="006E7D49" w14:paraId="29F4587B" w14:textId="77777777" w:rsidTr="00E33F72">
        <w:tc>
          <w:tcPr>
            <w:tcW w:w="1584" w:type="dxa"/>
          </w:tcPr>
          <w:p w14:paraId="2550B630" w14:textId="77777777" w:rsidR="00E33F72" w:rsidRPr="006E7D49" w:rsidRDefault="00E33F72" w:rsidP="00153602">
            <w:pPr>
              <w:spacing w:line="240" w:lineRule="auto"/>
              <w:rPr>
                <w:rFonts w:ascii="Times New Roman" w:hAnsi="Times New Roman" w:cs="Times New Roman"/>
                <w:b/>
                <w:sz w:val="22"/>
              </w:rPr>
            </w:pPr>
            <w:r w:rsidRPr="006E7D49">
              <w:rPr>
                <w:rFonts w:ascii="Times New Roman" w:hAnsi="Times New Roman" w:cs="Times New Roman"/>
                <w:b/>
                <w:sz w:val="22"/>
              </w:rPr>
              <w:t>Level of responsibility</w:t>
            </w:r>
          </w:p>
        </w:tc>
        <w:tc>
          <w:tcPr>
            <w:tcW w:w="3231" w:type="dxa"/>
          </w:tcPr>
          <w:p w14:paraId="246A2801" w14:textId="77777777" w:rsidR="00E33F72" w:rsidRPr="006E7D49" w:rsidRDefault="00E33F72" w:rsidP="00153602">
            <w:pPr>
              <w:spacing w:line="240" w:lineRule="auto"/>
              <w:rPr>
                <w:rFonts w:ascii="Times New Roman" w:hAnsi="Times New Roman" w:cs="Times New Roman"/>
                <w:b/>
                <w:sz w:val="22"/>
              </w:rPr>
            </w:pPr>
            <w:r w:rsidRPr="006E7D49">
              <w:rPr>
                <w:rFonts w:ascii="Times New Roman" w:hAnsi="Times New Roman" w:cs="Times New Roman"/>
                <w:b/>
                <w:sz w:val="22"/>
              </w:rPr>
              <w:t>Position</w:t>
            </w:r>
          </w:p>
        </w:tc>
        <w:tc>
          <w:tcPr>
            <w:tcW w:w="4536" w:type="dxa"/>
          </w:tcPr>
          <w:p w14:paraId="178D7CAB" w14:textId="77777777" w:rsidR="00E33F72" w:rsidRPr="006E7D49" w:rsidRDefault="00E33F72" w:rsidP="00153602">
            <w:pPr>
              <w:spacing w:line="240" w:lineRule="auto"/>
              <w:rPr>
                <w:rFonts w:ascii="Times New Roman" w:hAnsi="Times New Roman" w:cs="Times New Roman"/>
                <w:b/>
                <w:sz w:val="22"/>
              </w:rPr>
            </w:pPr>
            <w:r w:rsidRPr="006E7D49">
              <w:rPr>
                <w:rFonts w:ascii="Times New Roman" w:hAnsi="Times New Roman" w:cs="Times New Roman"/>
                <w:b/>
                <w:sz w:val="22"/>
              </w:rPr>
              <w:t>Responsibility for behaviour</w:t>
            </w:r>
          </w:p>
        </w:tc>
      </w:tr>
      <w:tr w:rsidR="00E33F72" w:rsidRPr="006E7D49" w14:paraId="553CFD8D" w14:textId="77777777" w:rsidTr="00E33F72">
        <w:tc>
          <w:tcPr>
            <w:tcW w:w="1584" w:type="dxa"/>
            <w:vMerge w:val="restart"/>
          </w:tcPr>
          <w:p w14:paraId="1DF32E8B"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i/>
                <w:sz w:val="22"/>
              </w:rPr>
              <w:t>Support and specialist staff</w:t>
            </w:r>
          </w:p>
        </w:tc>
        <w:tc>
          <w:tcPr>
            <w:tcW w:w="3231" w:type="dxa"/>
          </w:tcPr>
          <w:p w14:paraId="154D4565"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 xml:space="preserve">Auxiliary staff – reception staff, canteen staff, office staff </w:t>
            </w:r>
          </w:p>
        </w:tc>
        <w:tc>
          <w:tcPr>
            <w:tcW w:w="4536" w:type="dxa"/>
          </w:tcPr>
          <w:p w14:paraId="506BDE53"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Modelling behaviour through daily interaction with all students.</w:t>
            </w:r>
          </w:p>
        </w:tc>
      </w:tr>
      <w:tr w:rsidR="00E33F72" w:rsidRPr="006E7D49" w14:paraId="3A1BB4DB" w14:textId="77777777" w:rsidTr="00E33F72">
        <w:tc>
          <w:tcPr>
            <w:tcW w:w="1584" w:type="dxa"/>
            <w:vMerge/>
          </w:tcPr>
          <w:p w14:paraId="1FD7FD8A" w14:textId="77777777" w:rsidR="00E33F72" w:rsidRPr="006E7D49" w:rsidRDefault="00E33F72" w:rsidP="00153602">
            <w:pPr>
              <w:spacing w:line="240" w:lineRule="auto"/>
              <w:rPr>
                <w:rFonts w:ascii="Times New Roman" w:hAnsi="Times New Roman" w:cs="Times New Roman"/>
                <w:sz w:val="22"/>
              </w:rPr>
            </w:pPr>
          </w:p>
        </w:tc>
        <w:tc>
          <w:tcPr>
            <w:tcW w:w="3231" w:type="dxa"/>
          </w:tcPr>
          <w:p w14:paraId="3C265F84"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Pastoral support staff, e.g. pastoral support officer. Learning support staff, e.g. teaching assistants. External health staff – health link worker, school nurse, school counsellors</w:t>
            </w:r>
          </w:p>
        </w:tc>
        <w:tc>
          <w:tcPr>
            <w:tcW w:w="4536" w:type="dxa"/>
          </w:tcPr>
          <w:p w14:paraId="272B1043"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Welfare support for students with additional social, emotional, behavioural, and/or learning needs.</w:t>
            </w:r>
          </w:p>
        </w:tc>
      </w:tr>
      <w:tr w:rsidR="00E33F72" w:rsidRPr="006E7D49" w14:paraId="728DC220" w14:textId="77777777" w:rsidTr="00E33F72">
        <w:tc>
          <w:tcPr>
            <w:tcW w:w="1584" w:type="dxa"/>
          </w:tcPr>
          <w:p w14:paraId="53F5F938"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i/>
                <w:sz w:val="22"/>
              </w:rPr>
              <w:t xml:space="preserve">Teaching staff without additional responsibilities </w:t>
            </w:r>
          </w:p>
        </w:tc>
        <w:tc>
          <w:tcPr>
            <w:tcW w:w="3231" w:type="dxa"/>
          </w:tcPr>
          <w:p w14:paraId="1E66B402"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 xml:space="preserve">Cover/supply teachers </w:t>
            </w:r>
          </w:p>
          <w:p w14:paraId="65148252"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 xml:space="preserve">Teachers in training and newly qualified teachers </w:t>
            </w:r>
          </w:p>
          <w:p w14:paraId="5ED87C92"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Subject teachers without additional responsibilities</w:t>
            </w:r>
          </w:p>
        </w:tc>
        <w:tc>
          <w:tcPr>
            <w:tcW w:w="4536" w:type="dxa"/>
          </w:tcPr>
          <w:p w14:paraId="322FE5C0"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 xml:space="preserve">Management of student behaviour in classrooms, corridors, and in school outside areas. </w:t>
            </w:r>
          </w:p>
        </w:tc>
      </w:tr>
      <w:tr w:rsidR="00E33F72" w:rsidRPr="006E7D49" w14:paraId="2A6C66A7" w14:textId="77777777" w:rsidTr="00E33F72">
        <w:tc>
          <w:tcPr>
            <w:tcW w:w="1584" w:type="dxa"/>
          </w:tcPr>
          <w:p w14:paraId="435D3B7D"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i/>
                <w:sz w:val="22"/>
              </w:rPr>
              <w:t>Teaching staff with lower-level responsibilities</w:t>
            </w:r>
          </w:p>
        </w:tc>
        <w:tc>
          <w:tcPr>
            <w:tcW w:w="3231" w:type="dxa"/>
          </w:tcPr>
          <w:p w14:paraId="6ABFF99B"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 xml:space="preserve">Teachers who are form tutors </w:t>
            </w:r>
          </w:p>
        </w:tc>
        <w:tc>
          <w:tcPr>
            <w:tcW w:w="4536" w:type="dxa"/>
          </w:tcPr>
          <w:p w14:paraId="61D7AF49"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Management of student behaviour in classrooms, corridors, and in school outside areas. First point of contact for students with additional pastoral or learning needs in their form class.</w:t>
            </w:r>
          </w:p>
        </w:tc>
      </w:tr>
      <w:tr w:rsidR="00E33F72" w:rsidRPr="006E7D49" w14:paraId="0BC4DC91" w14:textId="77777777" w:rsidTr="00E33F72">
        <w:tc>
          <w:tcPr>
            <w:tcW w:w="1584" w:type="dxa"/>
            <w:vMerge w:val="restart"/>
          </w:tcPr>
          <w:p w14:paraId="1BAAD40F"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i/>
                <w:sz w:val="22"/>
              </w:rPr>
              <w:t>Teaching staff with middle management responsibilities</w:t>
            </w:r>
          </w:p>
        </w:tc>
        <w:tc>
          <w:tcPr>
            <w:tcW w:w="3231" w:type="dxa"/>
          </w:tcPr>
          <w:p w14:paraId="0396108E"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Assistant Heads of Year/Year Leads</w:t>
            </w:r>
          </w:p>
        </w:tc>
        <w:tc>
          <w:tcPr>
            <w:tcW w:w="4536" w:type="dxa"/>
          </w:tcPr>
          <w:p w14:paraId="2F05C78B"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 xml:space="preserve">Management of student behaviour in classrooms, corridors, and in school outside areas. Additional pastoral responsibilities for the year group, which can include behaviour and attendance. </w:t>
            </w:r>
          </w:p>
        </w:tc>
      </w:tr>
      <w:tr w:rsidR="00E33F72" w:rsidRPr="006E7D49" w14:paraId="70F26A36" w14:textId="77777777" w:rsidTr="00E33F72">
        <w:trPr>
          <w:trHeight w:val="881"/>
        </w:trPr>
        <w:tc>
          <w:tcPr>
            <w:tcW w:w="1584" w:type="dxa"/>
            <w:vMerge/>
          </w:tcPr>
          <w:p w14:paraId="1A4E5B94" w14:textId="77777777" w:rsidR="00E33F72" w:rsidRPr="006E7D49" w:rsidRDefault="00E33F72" w:rsidP="00153602">
            <w:pPr>
              <w:spacing w:line="240" w:lineRule="auto"/>
              <w:rPr>
                <w:rFonts w:ascii="Times New Roman" w:hAnsi="Times New Roman" w:cs="Times New Roman"/>
                <w:i/>
                <w:sz w:val="22"/>
              </w:rPr>
            </w:pPr>
          </w:p>
        </w:tc>
        <w:tc>
          <w:tcPr>
            <w:tcW w:w="3231" w:type="dxa"/>
          </w:tcPr>
          <w:p w14:paraId="4B1BF962"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 xml:space="preserve">Heads of Year/Year Leads  </w:t>
            </w:r>
          </w:p>
        </w:tc>
        <w:tc>
          <w:tcPr>
            <w:tcW w:w="4536" w:type="dxa"/>
          </w:tcPr>
          <w:p w14:paraId="0B3AFC6C"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Management of student behaviour in classrooms, corridors, and in school outside areas. Additional oversight and responsibility for pastoral needs and behaviour in year group.</w:t>
            </w:r>
          </w:p>
        </w:tc>
      </w:tr>
      <w:tr w:rsidR="00E33F72" w:rsidRPr="006E7D49" w14:paraId="7B6F0D96" w14:textId="77777777" w:rsidTr="00E33F72">
        <w:tc>
          <w:tcPr>
            <w:tcW w:w="1584" w:type="dxa"/>
            <w:vMerge/>
          </w:tcPr>
          <w:p w14:paraId="1EE1958D" w14:textId="77777777" w:rsidR="00E33F72" w:rsidRPr="006E7D49" w:rsidRDefault="00E33F72" w:rsidP="00153602">
            <w:pPr>
              <w:spacing w:line="240" w:lineRule="auto"/>
              <w:rPr>
                <w:rFonts w:ascii="Times New Roman" w:hAnsi="Times New Roman" w:cs="Times New Roman"/>
                <w:i/>
                <w:sz w:val="22"/>
              </w:rPr>
            </w:pPr>
          </w:p>
        </w:tc>
        <w:tc>
          <w:tcPr>
            <w:tcW w:w="3231" w:type="dxa"/>
          </w:tcPr>
          <w:p w14:paraId="4F33067B"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 xml:space="preserve">Head of Departments </w:t>
            </w:r>
          </w:p>
          <w:p w14:paraId="738C88BA" w14:textId="77777777" w:rsidR="00E33F72" w:rsidRPr="006E7D49" w:rsidRDefault="00E33F72" w:rsidP="00153602">
            <w:pPr>
              <w:spacing w:line="240" w:lineRule="auto"/>
              <w:rPr>
                <w:rFonts w:ascii="Times New Roman" w:hAnsi="Times New Roman" w:cs="Times New Roman"/>
                <w:sz w:val="22"/>
              </w:rPr>
            </w:pPr>
          </w:p>
        </w:tc>
        <w:tc>
          <w:tcPr>
            <w:tcW w:w="4536" w:type="dxa"/>
          </w:tcPr>
          <w:p w14:paraId="716644EC"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Management of student behaviour in classrooms, corridors, and in school outside areas. Additional oversight and responsibility for behaviour management in subject department.</w:t>
            </w:r>
          </w:p>
        </w:tc>
      </w:tr>
      <w:tr w:rsidR="00E33F72" w:rsidRPr="006E7D49" w14:paraId="3D5E5233" w14:textId="77777777" w:rsidTr="00E33F72">
        <w:tc>
          <w:tcPr>
            <w:tcW w:w="1584" w:type="dxa"/>
            <w:vMerge/>
          </w:tcPr>
          <w:p w14:paraId="6E693D6F" w14:textId="77777777" w:rsidR="00E33F72" w:rsidRPr="006E7D49" w:rsidRDefault="00E33F72" w:rsidP="00153602">
            <w:pPr>
              <w:spacing w:line="240" w:lineRule="auto"/>
              <w:rPr>
                <w:rFonts w:ascii="Times New Roman" w:hAnsi="Times New Roman" w:cs="Times New Roman"/>
                <w:i/>
                <w:sz w:val="22"/>
              </w:rPr>
            </w:pPr>
          </w:p>
        </w:tc>
        <w:tc>
          <w:tcPr>
            <w:tcW w:w="3231" w:type="dxa"/>
          </w:tcPr>
          <w:p w14:paraId="5666B499"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Heads of Key Stage (higher middle management)</w:t>
            </w:r>
          </w:p>
        </w:tc>
        <w:tc>
          <w:tcPr>
            <w:tcW w:w="4536" w:type="dxa"/>
          </w:tcPr>
          <w:p w14:paraId="3D2B335D"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Management of student behaviour in classrooms, corridors, and in school outside areas. Additional oversight and responsibility for pastoral needs and behaviour across multiple year groups.</w:t>
            </w:r>
          </w:p>
        </w:tc>
      </w:tr>
      <w:tr w:rsidR="00E33F72" w:rsidRPr="006E7D49" w14:paraId="35A7F4E0" w14:textId="77777777" w:rsidTr="00E33F72">
        <w:tc>
          <w:tcPr>
            <w:tcW w:w="1584" w:type="dxa"/>
          </w:tcPr>
          <w:p w14:paraId="66843914" w14:textId="77777777" w:rsidR="00E33F72" w:rsidRPr="006E7D49" w:rsidRDefault="00E33F72" w:rsidP="00153602">
            <w:pPr>
              <w:spacing w:line="240" w:lineRule="auto"/>
              <w:rPr>
                <w:rFonts w:ascii="Times New Roman" w:hAnsi="Times New Roman" w:cs="Times New Roman"/>
                <w:i/>
                <w:sz w:val="22"/>
              </w:rPr>
            </w:pPr>
            <w:r w:rsidRPr="006E7D49">
              <w:rPr>
                <w:rFonts w:ascii="Times New Roman" w:hAnsi="Times New Roman" w:cs="Times New Roman"/>
                <w:i/>
                <w:sz w:val="22"/>
              </w:rPr>
              <w:t>Teaching staff with high level management responsibilities</w:t>
            </w:r>
          </w:p>
        </w:tc>
        <w:tc>
          <w:tcPr>
            <w:tcW w:w="3231" w:type="dxa"/>
          </w:tcPr>
          <w:p w14:paraId="798EAA33"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Assistant head teachers</w:t>
            </w:r>
          </w:p>
          <w:p w14:paraId="712462FB"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 xml:space="preserve">Associate head teachers </w:t>
            </w:r>
          </w:p>
          <w:p w14:paraId="1BF62C26" w14:textId="77777777" w:rsidR="00E33F72" w:rsidRPr="006E7D49" w:rsidRDefault="00E33F72" w:rsidP="00153602">
            <w:pPr>
              <w:spacing w:line="240" w:lineRule="auto"/>
              <w:rPr>
                <w:rFonts w:ascii="Times New Roman" w:hAnsi="Times New Roman" w:cs="Times New Roman"/>
                <w:i/>
                <w:sz w:val="22"/>
              </w:rPr>
            </w:pPr>
            <w:r w:rsidRPr="006E7D49">
              <w:rPr>
                <w:rFonts w:ascii="Times New Roman" w:hAnsi="Times New Roman" w:cs="Times New Roman"/>
                <w:sz w:val="22"/>
              </w:rPr>
              <w:t>Head teachers</w:t>
            </w:r>
          </w:p>
        </w:tc>
        <w:tc>
          <w:tcPr>
            <w:tcW w:w="4536" w:type="dxa"/>
          </w:tcPr>
          <w:p w14:paraId="4E08761C"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Management of student behaviour in classrooms, corridors, and in school outside areas. Responsibility for cross-year group issues or multiple year groups, such as oversight of pastoral care, key stages, or sixth form. Responsibility for students with serious behaviour problems, including involvement in the decision to exclude a student.</w:t>
            </w:r>
          </w:p>
        </w:tc>
      </w:tr>
      <w:tr w:rsidR="00E33F72" w:rsidRPr="006E7D49" w14:paraId="488B8CA7" w14:textId="77777777" w:rsidTr="00E33F72">
        <w:tc>
          <w:tcPr>
            <w:tcW w:w="1584" w:type="dxa"/>
          </w:tcPr>
          <w:p w14:paraId="076A1403" w14:textId="77777777" w:rsidR="00E33F72" w:rsidRPr="006E7D49" w:rsidRDefault="00E33F72" w:rsidP="00153602">
            <w:pPr>
              <w:spacing w:line="240" w:lineRule="auto"/>
              <w:rPr>
                <w:rFonts w:ascii="Times New Roman" w:hAnsi="Times New Roman" w:cs="Times New Roman"/>
                <w:i/>
                <w:sz w:val="22"/>
              </w:rPr>
            </w:pPr>
            <w:r w:rsidRPr="006E7D49">
              <w:rPr>
                <w:rFonts w:ascii="Times New Roman" w:hAnsi="Times New Roman" w:cs="Times New Roman"/>
                <w:i/>
                <w:sz w:val="22"/>
              </w:rPr>
              <w:t>Other groups of influence</w:t>
            </w:r>
          </w:p>
        </w:tc>
        <w:tc>
          <w:tcPr>
            <w:tcW w:w="3231" w:type="dxa"/>
          </w:tcPr>
          <w:p w14:paraId="0B8E7A61" w14:textId="77777777" w:rsidR="00E33F72" w:rsidRPr="006E7D49" w:rsidRDefault="00E33F72" w:rsidP="00153602">
            <w:pPr>
              <w:spacing w:line="240" w:lineRule="auto"/>
              <w:rPr>
                <w:rFonts w:ascii="Times New Roman" w:hAnsi="Times New Roman" w:cs="Times New Roman"/>
                <w:i/>
                <w:sz w:val="22"/>
              </w:rPr>
            </w:pPr>
            <w:r w:rsidRPr="006E7D49">
              <w:rPr>
                <w:rFonts w:ascii="Times New Roman" w:hAnsi="Times New Roman" w:cs="Times New Roman"/>
                <w:sz w:val="22"/>
              </w:rPr>
              <w:t>Governors, parents, student bodies, for example, prefects, sixth form leadership, school council.</w:t>
            </w:r>
          </w:p>
        </w:tc>
        <w:tc>
          <w:tcPr>
            <w:tcW w:w="4536" w:type="dxa"/>
          </w:tcPr>
          <w:p w14:paraId="73F9930F" w14:textId="77777777" w:rsidR="00E33F72" w:rsidRPr="006E7D49" w:rsidRDefault="00E33F72" w:rsidP="00153602">
            <w:pPr>
              <w:spacing w:line="240" w:lineRule="auto"/>
              <w:rPr>
                <w:rFonts w:ascii="Times New Roman" w:hAnsi="Times New Roman" w:cs="Times New Roman"/>
                <w:sz w:val="22"/>
              </w:rPr>
            </w:pPr>
            <w:r w:rsidRPr="006E7D49">
              <w:rPr>
                <w:rFonts w:ascii="Times New Roman" w:hAnsi="Times New Roman" w:cs="Times New Roman"/>
                <w:sz w:val="22"/>
              </w:rPr>
              <w:t>Consult with school middle and high-level leaders and have influence over welfare and behaviour policies.</w:t>
            </w:r>
          </w:p>
        </w:tc>
      </w:tr>
    </w:tbl>
    <w:p w14:paraId="10764C10" w14:textId="77777777" w:rsidR="00E33F72" w:rsidRPr="00153602" w:rsidRDefault="00E33F72" w:rsidP="00153602">
      <w:pPr>
        <w:spacing w:line="240" w:lineRule="auto"/>
        <w:rPr>
          <w:rFonts w:ascii="Times New Roman" w:hAnsi="Times New Roman" w:cs="Times New Roman"/>
          <w:sz w:val="24"/>
          <w:szCs w:val="24"/>
        </w:rPr>
      </w:pPr>
    </w:p>
    <w:sectPr w:rsidR="00E33F72" w:rsidRPr="00153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72"/>
    <w:rsid w:val="000810EB"/>
    <w:rsid w:val="00153602"/>
    <w:rsid w:val="0022084C"/>
    <w:rsid w:val="002A5ABD"/>
    <w:rsid w:val="00612C2B"/>
    <w:rsid w:val="006C7978"/>
    <w:rsid w:val="006E7D49"/>
    <w:rsid w:val="00805A85"/>
    <w:rsid w:val="00857D29"/>
    <w:rsid w:val="008C3102"/>
    <w:rsid w:val="00D44ED8"/>
    <w:rsid w:val="00D856F2"/>
    <w:rsid w:val="00E00EFB"/>
    <w:rsid w:val="00E33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5327"/>
  <w15:chartTrackingRefBased/>
  <w15:docId w15:val="{88406957-5E30-49CC-8A7F-059049A2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F72"/>
    <w:pPr>
      <w:spacing w:after="0" w:line="360" w:lineRule="auto"/>
    </w:pPr>
    <w:rPr>
      <w:rFonts w:ascii="Arial" w:hAnsi="Arial"/>
      <w:kern w:val="0"/>
      <w:sz w:val="20"/>
      <w14:ligatures w14:val="none"/>
    </w:rPr>
  </w:style>
  <w:style w:type="paragraph" w:styleId="Heading1">
    <w:name w:val="heading 1"/>
    <w:basedOn w:val="Normal"/>
    <w:next w:val="Normal"/>
    <w:link w:val="Heading1Char"/>
    <w:uiPriority w:val="9"/>
    <w:qFormat/>
    <w:rsid w:val="00E33F7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33F7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33F7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3F7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E33F7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E33F72"/>
    <w:pPr>
      <w:keepNext/>
      <w:keepLines/>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E33F72"/>
    <w:pPr>
      <w:keepNext/>
      <w:keepLines/>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E33F72"/>
    <w:pPr>
      <w:keepNext/>
      <w:keepLines/>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E33F72"/>
    <w:pPr>
      <w:keepNext/>
      <w:keepLines/>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F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F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F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F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F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F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F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F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F72"/>
    <w:rPr>
      <w:rFonts w:eastAsiaTheme="majorEastAsia" w:cstheme="majorBidi"/>
      <w:color w:val="272727" w:themeColor="text1" w:themeTint="D8"/>
    </w:rPr>
  </w:style>
  <w:style w:type="paragraph" w:styleId="Title">
    <w:name w:val="Title"/>
    <w:basedOn w:val="Normal"/>
    <w:next w:val="Normal"/>
    <w:link w:val="TitleChar"/>
    <w:uiPriority w:val="10"/>
    <w:qFormat/>
    <w:rsid w:val="00E33F7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3F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F7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3F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F72"/>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E33F72"/>
    <w:rPr>
      <w:i/>
      <w:iCs/>
      <w:color w:val="404040" w:themeColor="text1" w:themeTint="BF"/>
    </w:rPr>
  </w:style>
  <w:style w:type="paragraph" w:styleId="ListParagraph">
    <w:name w:val="List Paragraph"/>
    <w:basedOn w:val="Normal"/>
    <w:uiPriority w:val="34"/>
    <w:qFormat/>
    <w:rsid w:val="00E33F72"/>
    <w:pPr>
      <w:spacing w:after="160"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E33F72"/>
    <w:rPr>
      <w:i/>
      <w:iCs/>
      <w:color w:val="0F4761" w:themeColor="accent1" w:themeShade="BF"/>
    </w:rPr>
  </w:style>
  <w:style w:type="paragraph" w:styleId="IntenseQuote">
    <w:name w:val="Intense Quote"/>
    <w:basedOn w:val="Normal"/>
    <w:next w:val="Normal"/>
    <w:link w:val="IntenseQuoteChar"/>
    <w:uiPriority w:val="30"/>
    <w:qFormat/>
    <w:rsid w:val="00E33F7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E33F72"/>
    <w:rPr>
      <w:i/>
      <w:iCs/>
      <w:color w:val="0F4761" w:themeColor="accent1" w:themeShade="BF"/>
    </w:rPr>
  </w:style>
  <w:style w:type="character" w:styleId="IntenseReference">
    <w:name w:val="Intense Reference"/>
    <w:basedOn w:val="DefaultParagraphFont"/>
    <w:uiPriority w:val="32"/>
    <w:qFormat/>
    <w:rsid w:val="00E33F72"/>
    <w:rPr>
      <w:b/>
      <w:bCs/>
      <w:smallCaps/>
      <w:color w:val="0F4761" w:themeColor="accent1" w:themeShade="BF"/>
      <w:spacing w:val="5"/>
    </w:rPr>
  </w:style>
  <w:style w:type="table" w:styleId="TableGrid">
    <w:name w:val="Table Grid"/>
    <w:basedOn w:val="TableNormal"/>
    <w:uiPriority w:val="59"/>
    <w:rsid w:val="00E33F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Herlitz, Lauren</dc:creator>
  <cp:keywords/>
  <dc:description/>
  <cp:lastModifiedBy>Herlitz, Lauren</cp:lastModifiedBy>
  <cp:revision>5</cp:revision>
  <dcterms:created xsi:type="dcterms:W3CDTF">2024-07-11T10:30:00Z</dcterms:created>
  <dcterms:modified xsi:type="dcterms:W3CDTF">2025-01-13T13:39:00Z</dcterms:modified>
</cp:coreProperties>
</file>