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44A53" w:rsidRDefault="00654E8F" w:rsidP="0001436A">
      <w:pPr>
        <w:pStyle w:val="SupplementaryMaterial"/>
        <w:rPr>
          <w:b w:val="0"/>
          <w:color w:val="000000" w:themeColor="text1"/>
        </w:rPr>
      </w:pPr>
      <w:r w:rsidRPr="00144A53">
        <w:rPr>
          <w:color w:val="000000" w:themeColor="text1"/>
        </w:rPr>
        <w:t>Supplementary Material</w:t>
      </w:r>
    </w:p>
    <w:p w14:paraId="2F3E5C92" w14:textId="77777777" w:rsidR="007B1802" w:rsidRPr="00144A53" w:rsidRDefault="007B1802" w:rsidP="007B1802">
      <w:pPr>
        <w:pStyle w:val="aff6"/>
        <w:rPr>
          <w:color w:val="000000" w:themeColor="text1"/>
        </w:rPr>
      </w:pPr>
      <w:r w:rsidRPr="00144A53">
        <w:rPr>
          <w:color w:val="000000" w:themeColor="text1"/>
        </w:rPr>
        <w:t>Cyclic di-AMP alleviates periodontitis by activating PI3K/Akt/NrF2 pathways</w:t>
      </w:r>
    </w:p>
    <w:p w14:paraId="06720EC1" w14:textId="77777777" w:rsidR="007B1802" w:rsidRPr="00144A53" w:rsidRDefault="007B1802" w:rsidP="007B1802">
      <w:pPr>
        <w:pStyle w:val="AuthorList"/>
        <w:rPr>
          <w:color w:val="000000" w:themeColor="text1"/>
        </w:rPr>
      </w:pPr>
      <w:r w:rsidRPr="00144A53">
        <w:rPr>
          <w:color w:val="000000" w:themeColor="text1"/>
        </w:rPr>
        <w:t>Kaihua Luo</w:t>
      </w:r>
      <w:r w:rsidRPr="00144A53">
        <w:rPr>
          <w:color w:val="000000" w:themeColor="text1"/>
          <w:vertAlign w:val="superscript"/>
        </w:rPr>
        <w:t>1</w:t>
      </w:r>
      <w:r w:rsidRPr="00144A53">
        <w:rPr>
          <w:rFonts w:hint="eastAsia"/>
          <w:color w:val="000000" w:themeColor="text1"/>
          <w:vertAlign w:val="superscript"/>
          <w:lang w:eastAsia="zh-CN"/>
        </w:rPr>
        <w:t xml:space="preserve">, </w:t>
      </w:r>
      <w:proofErr w:type="gramStart"/>
      <w:r w:rsidRPr="00144A53">
        <w:rPr>
          <w:rFonts w:hint="eastAsia"/>
          <w:color w:val="000000" w:themeColor="text1"/>
          <w:vertAlign w:val="superscript"/>
          <w:lang w:eastAsia="zh-CN"/>
        </w:rPr>
        <w:t xml:space="preserve">2 </w:t>
      </w:r>
      <w:r w:rsidRPr="00144A53">
        <w:rPr>
          <w:color w:val="000000" w:themeColor="text1"/>
        </w:rPr>
        <w:t>,</w:t>
      </w:r>
      <w:proofErr w:type="gramEnd"/>
      <w:r w:rsidRPr="00144A53">
        <w:rPr>
          <w:color w:val="000000" w:themeColor="text1"/>
        </w:rPr>
        <w:t xml:space="preserve"> </w:t>
      </w:r>
      <w:proofErr w:type="spellStart"/>
      <w:r w:rsidRPr="00144A53">
        <w:rPr>
          <w:color w:val="000000" w:themeColor="text1"/>
        </w:rPr>
        <w:t>Qinrui</w:t>
      </w:r>
      <w:proofErr w:type="spellEnd"/>
      <w:r w:rsidRPr="00144A53">
        <w:rPr>
          <w:color w:val="000000" w:themeColor="text1"/>
        </w:rPr>
        <w:t xml:space="preserve"> Wu</w:t>
      </w:r>
      <w:r w:rsidRPr="00144A53">
        <w:rPr>
          <w:rFonts w:hint="eastAsia"/>
          <w:color w:val="000000" w:themeColor="text1"/>
          <w:vertAlign w:val="superscript"/>
          <w:lang w:eastAsia="zh-CN"/>
        </w:rPr>
        <w:t>1, 2</w:t>
      </w:r>
      <w:r w:rsidRPr="00144A53">
        <w:rPr>
          <w:color w:val="000000" w:themeColor="text1"/>
        </w:rPr>
        <w:t>, Zhengyi Li</w:t>
      </w:r>
      <w:r w:rsidRPr="00144A53">
        <w:rPr>
          <w:rFonts w:hint="eastAsia"/>
          <w:color w:val="000000" w:themeColor="text1"/>
          <w:vertAlign w:val="superscript"/>
          <w:lang w:eastAsia="zh-CN"/>
        </w:rPr>
        <w:t>1</w:t>
      </w:r>
      <w:r w:rsidRPr="00144A53">
        <w:rPr>
          <w:color w:val="000000" w:themeColor="text1"/>
        </w:rPr>
        <w:t xml:space="preserve">, </w:t>
      </w:r>
      <w:proofErr w:type="spellStart"/>
      <w:r w:rsidRPr="00144A53">
        <w:rPr>
          <w:color w:val="000000" w:themeColor="text1"/>
        </w:rPr>
        <w:t>Yajie</w:t>
      </w:r>
      <w:proofErr w:type="spellEnd"/>
      <w:r w:rsidRPr="00144A53">
        <w:rPr>
          <w:color w:val="000000" w:themeColor="text1"/>
        </w:rPr>
        <w:t xml:space="preserve"> Wu</w:t>
      </w:r>
      <w:r w:rsidRPr="00144A53">
        <w:rPr>
          <w:rFonts w:hint="eastAsia"/>
          <w:color w:val="000000" w:themeColor="text1"/>
          <w:vertAlign w:val="superscript"/>
          <w:lang w:eastAsia="zh-CN"/>
        </w:rPr>
        <w:t>1, 2</w:t>
      </w:r>
      <w:r w:rsidRPr="00144A53">
        <w:rPr>
          <w:color w:val="000000" w:themeColor="text1"/>
        </w:rPr>
        <w:t>, Zhifei Su</w:t>
      </w:r>
      <w:r w:rsidRPr="00144A53">
        <w:rPr>
          <w:rFonts w:hint="eastAsia"/>
          <w:color w:val="000000" w:themeColor="text1"/>
          <w:vertAlign w:val="superscript"/>
          <w:lang w:eastAsia="zh-CN"/>
        </w:rPr>
        <w:t>1, 2</w:t>
      </w:r>
      <w:r w:rsidRPr="00144A53">
        <w:rPr>
          <w:color w:val="000000" w:themeColor="text1"/>
        </w:rPr>
        <w:t xml:space="preserve">, </w:t>
      </w:r>
      <w:proofErr w:type="spellStart"/>
      <w:r w:rsidRPr="00144A53">
        <w:rPr>
          <w:color w:val="000000" w:themeColor="text1"/>
        </w:rPr>
        <w:t>Fangjie</w:t>
      </w:r>
      <w:proofErr w:type="spellEnd"/>
      <w:r w:rsidRPr="00144A53">
        <w:rPr>
          <w:color w:val="000000" w:themeColor="text1"/>
        </w:rPr>
        <w:t xml:space="preserve"> Zhou</w:t>
      </w:r>
      <w:r w:rsidRPr="00144A53">
        <w:rPr>
          <w:rFonts w:hint="eastAsia"/>
          <w:color w:val="000000" w:themeColor="text1"/>
          <w:vertAlign w:val="superscript"/>
          <w:lang w:eastAsia="zh-CN"/>
        </w:rPr>
        <w:t>1, 2</w:t>
      </w:r>
      <w:r w:rsidRPr="00144A53">
        <w:rPr>
          <w:color w:val="000000" w:themeColor="text1"/>
        </w:rPr>
        <w:t xml:space="preserve">, </w:t>
      </w:r>
      <w:proofErr w:type="spellStart"/>
      <w:r w:rsidRPr="00144A53">
        <w:rPr>
          <w:color w:val="000000" w:themeColor="text1"/>
        </w:rPr>
        <w:t>Qinyang</w:t>
      </w:r>
      <w:proofErr w:type="spellEnd"/>
      <w:r w:rsidRPr="00144A53">
        <w:rPr>
          <w:color w:val="000000" w:themeColor="text1"/>
        </w:rPr>
        <w:t xml:space="preserve"> Li</w:t>
      </w:r>
      <w:r w:rsidRPr="00144A53">
        <w:rPr>
          <w:rFonts w:hint="eastAsia"/>
          <w:color w:val="000000" w:themeColor="text1"/>
          <w:vertAlign w:val="superscript"/>
          <w:lang w:eastAsia="zh-CN"/>
        </w:rPr>
        <w:t>1, 2</w:t>
      </w:r>
      <w:r w:rsidRPr="00144A53">
        <w:rPr>
          <w:color w:val="000000" w:themeColor="text1"/>
        </w:rPr>
        <w:t>, Biao Ren</w:t>
      </w:r>
      <w:r w:rsidRPr="00144A53">
        <w:rPr>
          <w:rFonts w:hint="eastAsia"/>
          <w:color w:val="000000" w:themeColor="text1"/>
          <w:vertAlign w:val="superscript"/>
          <w:lang w:eastAsia="zh-CN"/>
        </w:rPr>
        <w:t>1</w:t>
      </w:r>
      <w:r w:rsidRPr="00144A53">
        <w:rPr>
          <w:color w:val="000000" w:themeColor="text1"/>
        </w:rPr>
        <w:t>, Yuqing Li</w:t>
      </w:r>
      <w:r w:rsidRPr="00144A53">
        <w:rPr>
          <w:rFonts w:hint="eastAsia"/>
          <w:color w:val="000000" w:themeColor="text1"/>
          <w:vertAlign w:val="superscript"/>
          <w:lang w:eastAsia="zh-CN"/>
        </w:rPr>
        <w:t>1</w:t>
      </w:r>
      <w:r w:rsidRPr="00144A53">
        <w:rPr>
          <w:color w:val="000000" w:themeColor="text1"/>
        </w:rPr>
        <w:t>, Jiyao Li</w:t>
      </w:r>
      <w:r w:rsidRPr="00144A53">
        <w:rPr>
          <w:rFonts w:hint="eastAsia"/>
          <w:color w:val="000000" w:themeColor="text1"/>
          <w:vertAlign w:val="superscript"/>
          <w:lang w:eastAsia="zh-CN"/>
        </w:rPr>
        <w:t>1, 2</w:t>
      </w:r>
      <w:r w:rsidRPr="00144A53">
        <w:rPr>
          <w:color w:val="000000" w:themeColor="text1"/>
          <w:vertAlign w:val="superscript"/>
        </w:rPr>
        <w:t>*</w:t>
      </w:r>
      <w:r w:rsidRPr="00144A53">
        <w:rPr>
          <w:color w:val="000000" w:themeColor="text1"/>
        </w:rPr>
        <w:t>, Xian Peng</w:t>
      </w:r>
      <w:r w:rsidRPr="00144A53">
        <w:rPr>
          <w:rFonts w:hint="eastAsia"/>
          <w:color w:val="000000" w:themeColor="text1"/>
          <w:vertAlign w:val="superscript"/>
          <w:lang w:eastAsia="zh-CN"/>
        </w:rPr>
        <w:t>1</w:t>
      </w:r>
      <w:r w:rsidRPr="00144A53">
        <w:rPr>
          <w:color w:val="000000" w:themeColor="text1"/>
          <w:vertAlign w:val="superscript"/>
        </w:rPr>
        <w:t>*</w:t>
      </w:r>
    </w:p>
    <w:p w14:paraId="60ACC10D" w14:textId="77777777" w:rsidR="007B1802" w:rsidRPr="00144A53" w:rsidRDefault="007B1802" w:rsidP="007B1802">
      <w:pPr>
        <w:spacing w:before="240" w:after="0"/>
        <w:rPr>
          <w:rFonts w:cs="Times New Roman"/>
          <w:b/>
          <w:color w:val="000000" w:themeColor="text1"/>
          <w:szCs w:val="24"/>
        </w:rPr>
      </w:pPr>
      <w:r w:rsidRPr="00144A53">
        <w:rPr>
          <w:rFonts w:cs="Times New Roman"/>
          <w:color w:val="000000" w:themeColor="text1"/>
          <w:szCs w:val="24"/>
          <w:vertAlign w:val="superscript"/>
        </w:rPr>
        <w:t>1</w:t>
      </w:r>
      <w:r w:rsidRPr="00144A53">
        <w:rPr>
          <w:rFonts w:cs="Times New Roman" w:hint="eastAsia"/>
          <w:color w:val="000000" w:themeColor="text1"/>
          <w:szCs w:val="24"/>
        </w:rPr>
        <w:t>State Key Laboratory of Oral Diseases &amp; National Center for Stomatology &amp; National Clinical Research Center for Oral Diseases</w:t>
      </w:r>
      <w:r w:rsidRPr="00144A53">
        <w:rPr>
          <w:rFonts w:cs="Times New Roman" w:hint="eastAsia"/>
          <w:color w:val="000000" w:themeColor="text1"/>
          <w:szCs w:val="24"/>
          <w:lang w:eastAsia="zh-CN"/>
        </w:rPr>
        <w:t xml:space="preserve">, </w:t>
      </w:r>
      <w:r w:rsidRPr="00144A53">
        <w:rPr>
          <w:rFonts w:cs="Times New Roman" w:hint="eastAsia"/>
          <w:color w:val="000000" w:themeColor="text1"/>
          <w:szCs w:val="24"/>
        </w:rPr>
        <w:t>West China Hospital of Stomatology, Sichuan University, Chengdu 610041, Sichuan, China</w:t>
      </w:r>
    </w:p>
    <w:p w14:paraId="5E76FFBD" w14:textId="77777777" w:rsidR="007B1802" w:rsidRPr="00144A53" w:rsidRDefault="007B1802" w:rsidP="007B1802">
      <w:pPr>
        <w:spacing w:after="0"/>
        <w:rPr>
          <w:rFonts w:cs="Times New Roman"/>
          <w:b/>
          <w:color w:val="000000" w:themeColor="text1"/>
          <w:szCs w:val="24"/>
        </w:rPr>
      </w:pPr>
      <w:r w:rsidRPr="00144A53">
        <w:rPr>
          <w:rFonts w:cs="Times New Roman"/>
          <w:color w:val="000000" w:themeColor="text1"/>
          <w:szCs w:val="24"/>
          <w:vertAlign w:val="superscript"/>
        </w:rPr>
        <w:t>2</w:t>
      </w:r>
      <w:r w:rsidRPr="00144A53">
        <w:rPr>
          <w:rFonts w:cs="Times New Roman"/>
          <w:color w:val="000000" w:themeColor="text1"/>
          <w:szCs w:val="24"/>
        </w:rPr>
        <w:t>Department of Cariology and Endodontics, West China Hospital of Stomatology, Sichuan University, Chengdu 610041, Sichuan</w:t>
      </w:r>
      <w:r w:rsidRPr="00144A53">
        <w:rPr>
          <w:rFonts w:cs="Times New Roman" w:hint="eastAsia"/>
          <w:color w:val="000000" w:themeColor="text1"/>
          <w:szCs w:val="24"/>
          <w:lang w:eastAsia="zh-CN"/>
        </w:rPr>
        <w:t>,</w:t>
      </w:r>
      <w:r w:rsidRPr="00144A53">
        <w:rPr>
          <w:rFonts w:cs="Times New Roman"/>
          <w:color w:val="000000" w:themeColor="text1"/>
          <w:szCs w:val="24"/>
        </w:rPr>
        <w:t xml:space="preserve"> China</w:t>
      </w:r>
    </w:p>
    <w:p w14:paraId="163DE4B5" w14:textId="77777777" w:rsidR="007B1802" w:rsidRPr="00144A53" w:rsidRDefault="007B1802" w:rsidP="007B1802">
      <w:pPr>
        <w:spacing w:before="240" w:after="0"/>
        <w:rPr>
          <w:rFonts w:cs="Times New Roman"/>
          <w:b/>
          <w:color w:val="000000" w:themeColor="text1"/>
          <w:szCs w:val="24"/>
        </w:rPr>
      </w:pPr>
      <w:r w:rsidRPr="00144A53">
        <w:rPr>
          <w:rFonts w:cs="Times New Roman"/>
          <w:b/>
          <w:color w:val="000000" w:themeColor="text1"/>
          <w:szCs w:val="24"/>
        </w:rPr>
        <w:t xml:space="preserve">* Correspondence: </w:t>
      </w:r>
      <w:r w:rsidRPr="00144A53">
        <w:rPr>
          <w:rFonts w:cs="Times New Roman"/>
          <w:b/>
          <w:color w:val="000000" w:themeColor="text1"/>
          <w:szCs w:val="24"/>
        </w:rPr>
        <w:br/>
      </w:r>
      <w:r w:rsidRPr="00144A53">
        <w:rPr>
          <w:rFonts w:cs="Times New Roman"/>
          <w:color w:val="000000" w:themeColor="text1"/>
          <w:szCs w:val="24"/>
        </w:rPr>
        <w:t>Jiyao Li,</w:t>
      </w:r>
      <w:r w:rsidRPr="00144A53">
        <w:rPr>
          <w:rFonts w:cs="Times New Roman" w:hint="eastAsia"/>
          <w:color w:val="000000" w:themeColor="text1"/>
          <w:szCs w:val="24"/>
          <w:lang w:eastAsia="zh-CN"/>
        </w:rPr>
        <w:t xml:space="preserve"> jiyaoliscu@163.com</w:t>
      </w:r>
      <w:r w:rsidRPr="00144A53">
        <w:rPr>
          <w:rFonts w:cs="Times New Roman"/>
          <w:color w:val="000000" w:themeColor="text1"/>
          <w:szCs w:val="24"/>
        </w:rPr>
        <w:t>; Xian Peng,</w:t>
      </w:r>
      <w:r w:rsidRPr="00144A53">
        <w:rPr>
          <w:rFonts w:cs="Times New Roman" w:hint="eastAsia"/>
          <w:color w:val="000000" w:themeColor="text1"/>
          <w:szCs w:val="24"/>
          <w:lang w:eastAsia="zh-CN"/>
        </w:rPr>
        <w:t xml:space="preserve"> </w:t>
      </w:r>
      <w:r w:rsidRPr="00144A53">
        <w:rPr>
          <w:rFonts w:cs="Times New Roman"/>
          <w:color w:val="000000" w:themeColor="text1"/>
          <w:szCs w:val="24"/>
        </w:rPr>
        <w:t>pengx@scu.edu.cn;</w:t>
      </w:r>
    </w:p>
    <w:p w14:paraId="29026311" w14:textId="68AE775C" w:rsidR="00EA3D3C" w:rsidRPr="00144A53" w:rsidRDefault="007B1802" w:rsidP="0001436A">
      <w:pPr>
        <w:pStyle w:val="1"/>
        <w:rPr>
          <w:color w:val="000000" w:themeColor="text1"/>
        </w:rPr>
      </w:pPr>
      <w:r w:rsidRPr="00144A53">
        <w:rPr>
          <w:color w:val="000000" w:themeColor="text1"/>
        </w:rPr>
        <w:t>Materials and methods:</w:t>
      </w:r>
    </w:p>
    <w:p w14:paraId="3E458F20" w14:textId="77777777" w:rsidR="00AA7B0B" w:rsidRPr="00403F93" w:rsidRDefault="00AA7B0B" w:rsidP="00AA7B0B">
      <w:pPr>
        <w:pStyle w:val="2"/>
        <w:numPr>
          <w:ilvl w:val="0"/>
          <w:numId w:val="0"/>
        </w:numPr>
        <w:rPr>
          <w:rFonts w:eastAsiaTheme="minorEastAsia"/>
          <w:color w:val="000000" w:themeColor="text1"/>
          <w:lang w:eastAsia="zh-CN"/>
        </w:rPr>
      </w:pPr>
      <w:r w:rsidRPr="00403F93">
        <w:rPr>
          <w:rFonts w:eastAsiaTheme="minorEastAsia"/>
          <w:color w:val="000000" w:themeColor="text1"/>
          <w:lang w:eastAsia="zh-CN"/>
        </w:rPr>
        <w:t>Reagents</w:t>
      </w:r>
    </w:p>
    <w:p w14:paraId="0D9086A2" w14:textId="77777777" w:rsidR="00AA7B0B" w:rsidRPr="00403F93" w:rsidRDefault="00AA7B0B" w:rsidP="00AA7B0B">
      <w:pPr>
        <w:rPr>
          <w:rFonts w:cs="Times New Roman"/>
          <w:color w:val="000000" w:themeColor="text1"/>
          <w:lang w:eastAsia="zh-CN"/>
        </w:rPr>
      </w:pPr>
      <w:bookmarkStart w:id="0" w:name="OLE_LINK1093"/>
      <w:bookmarkStart w:id="1" w:name="OLE_LINK1094"/>
      <w:r w:rsidRPr="00403F93">
        <w:rPr>
          <w:rFonts w:cs="Times New Roman" w:hint="eastAsia"/>
          <w:color w:val="000000" w:themeColor="text1"/>
        </w:rPr>
        <w:t xml:space="preserve">The c-di-AMP (purity </w:t>
      </w:r>
      <w:r w:rsidRPr="00403F93">
        <w:rPr>
          <w:rFonts w:cs="Times New Roman" w:hint="eastAsia"/>
          <w:color w:val="000000" w:themeColor="text1"/>
        </w:rPr>
        <w:t>≥</w:t>
      </w:r>
      <w:r w:rsidRPr="00403F93">
        <w:rPr>
          <w:rFonts w:cs="Times New Roman" w:hint="eastAsia"/>
          <w:color w:val="000000" w:themeColor="text1"/>
        </w:rPr>
        <w:t xml:space="preserve"> 98%) was obtained from Sigma-Aldrich technology, Co. (Shanghai, China) and diluted in PBS for in vivo and in vitro experiments. LPS from </w:t>
      </w:r>
      <w:proofErr w:type="spellStart"/>
      <w:r w:rsidRPr="00403F93">
        <w:rPr>
          <w:rFonts w:cs="Times New Roman" w:hint="eastAsia"/>
          <w:i/>
          <w:iCs/>
          <w:color w:val="000000" w:themeColor="text1"/>
        </w:rPr>
        <w:t>Porphyromonas</w:t>
      </w:r>
      <w:proofErr w:type="spellEnd"/>
      <w:r w:rsidRPr="00403F93">
        <w:rPr>
          <w:rFonts w:cs="Times New Roman" w:hint="eastAsia"/>
          <w:i/>
          <w:iCs/>
          <w:color w:val="000000" w:themeColor="text1"/>
        </w:rPr>
        <w:t xml:space="preserve"> </w:t>
      </w:r>
      <w:proofErr w:type="spellStart"/>
      <w:r w:rsidRPr="00403F93">
        <w:rPr>
          <w:rFonts w:cs="Times New Roman" w:hint="eastAsia"/>
          <w:i/>
          <w:iCs/>
          <w:color w:val="000000" w:themeColor="text1"/>
        </w:rPr>
        <w:t>gingivalis</w:t>
      </w:r>
      <w:proofErr w:type="spellEnd"/>
      <w:r w:rsidRPr="00403F93">
        <w:rPr>
          <w:rFonts w:cs="Times New Roman" w:hint="eastAsia"/>
          <w:color w:val="000000" w:themeColor="text1"/>
        </w:rPr>
        <w:t xml:space="preserve"> was obtained from Sigma-Aldrich technology, Co. (Shanghai, China). </w:t>
      </w:r>
      <w:r w:rsidRPr="00403F93">
        <w:rPr>
          <w:rFonts w:cs="Times New Roman"/>
          <w:color w:val="000000" w:themeColor="text1"/>
          <w:lang w:eastAsia="zh-CN"/>
        </w:rPr>
        <w:t xml:space="preserve">The Akt inhibitor MK-2206 and the STING inhibitor C176 were purchased from </w:t>
      </w:r>
      <w:proofErr w:type="spellStart"/>
      <w:r w:rsidRPr="00403F93">
        <w:rPr>
          <w:rFonts w:cs="Times New Roman"/>
          <w:color w:val="000000" w:themeColor="text1"/>
          <w:lang w:eastAsia="zh-CN"/>
        </w:rPr>
        <w:t>APExBIO</w:t>
      </w:r>
      <w:proofErr w:type="spellEnd"/>
      <w:r w:rsidRPr="00403F93">
        <w:rPr>
          <w:rFonts w:cs="Times New Roman"/>
          <w:color w:val="000000" w:themeColor="text1"/>
          <w:lang w:eastAsia="zh-CN"/>
        </w:rPr>
        <w:t xml:space="preserve"> (USA). Stock solutions of MK-2206</w:t>
      </w:r>
      <w:r w:rsidRPr="00403F93">
        <w:rPr>
          <w:rFonts w:cs="Times New Roman" w:hint="eastAsia"/>
          <w:color w:val="000000" w:themeColor="text1"/>
          <w:lang w:eastAsia="zh-CN"/>
        </w:rPr>
        <w:t xml:space="preserve"> </w:t>
      </w:r>
      <w:r w:rsidRPr="00403F93">
        <w:rPr>
          <w:rFonts w:cs="Times New Roman"/>
          <w:color w:val="000000" w:themeColor="text1"/>
          <w:lang w:eastAsia="zh-CN"/>
        </w:rPr>
        <w:t>(10</w:t>
      </w:r>
      <w:r w:rsidRPr="00403F93">
        <w:rPr>
          <w:rFonts w:cs="Times New Roman" w:hint="eastAsia"/>
          <w:color w:val="000000" w:themeColor="text1"/>
          <w:lang w:eastAsia="zh-CN"/>
        </w:rPr>
        <w:t xml:space="preserve"> </w:t>
      </w:r>
      <w:r w:rsidRPr="00403F93">
        <w:rPr>
          <w:rFonts w:cs="Times New Roman"/>
          <w:color w:val="000000" w:themeColor="text1"/>
          <w:lang w:eastAsia="zh-CN"/>
        </w:rPr>
        <w:t>mM) and C176 (10</w:t>
      </w:r>
      <w:r w:rsidRPr="00403F93">
        <w:rPr>
          <w:rFonts w:cs="Times New Roman" w:hint="eastAsia"/>
          <w:color w:val="000000" w:themeColor="text1"/>
          <w:lang w:eastAsia="zh-CN"/>
        </w:rPr>
        <w:t xml:space="preserve"> </w:t>
      </w:r>
      <w:r w:rsidRPr="00403F93">
        <w:rPr>
          <w:rFonts w:cs="Times New Roman"/>
          <w:color w:val="000000" w:themeColor="text1"/>
          <w:lang w:eastAsia="zh-CN"/>
        </w:rPr>
        <w:t xml:space="preserve">mM) were prepared in dimethyl sulfoxide (DMSO) and further diluted in PBS to achieve final working concentrations of </w:t>
      </w:r>
      <w:bookmarkStart w:id="2" w:name="OLE_LINK1095"/>
      <w:bookmarkStart w:id="3" w:name="OLE_LINK1096"/>
      <w:r w:rsidRPr="00403F93">
        <w:rPr>
          <w:rFonts w:cs="Times New Roman" w:hint="eastAsia"/>
          <w:color w:val="000000" w:themeColor="text1"/>
          <w:lang w:eastAsia="zh-CN"/>
        </w:rPr>
        <w:t xml:space="preserve">1 </w:t>
      </w:r>
      <w:r w:rsidRPr="00403F93">
        <w:rPr>
          <w:rFonts w:cs="Times New Roman"/>
          <w:color w:val="000000" w:themeColor="text1"/>
          <w:lang w:eastAsia="zh-CN"/>
        </w:rPr>
        <w:t>µM</w:t>
      </w:r>
      <w:bookmarkEnd w:id="2"/>
      <w:bookmarkEnd w:id="3"/>
      <w:r w:rsidRPr="00403F93">
        <w:rPr>
          <w:rFonts w:cs="Times New Roman"/>
          <w:color w:val="000000" w:themeColor="text1"/>
          <w:lang w:eastAsia="zh-CN"/>
        </w:rPr>
        <w:t xml:space="preserve"> for MK-2206 and </w:t>
      </w:r>
      <w:r w:rsidRPr="00403F93">
        <w:rPr>
          <w:rFonts w:cs="Times New Roman" w:hint="eastAsia"/>
          <w:color w:val="000000" w:themeColor="text1"/>
          <w:lang w:eastAsia="zh-CN"/>
        </w:rPr>
        <w:t xml:space="preserve">1 </w:t>
      </w:r>
      <w:r w:rsidRPr="00403F93">
        <w:rPr>
          <w:rFonts w:cs="Times New Roman"/>
          <w:color w:val="000000" w:themeColor="text1"/>
          <w:lang w:eastAsia="zh-CN"/>
        </w:rPr>
        <w:t>µM for C176 in experimental conditions.</w:t>
      </w:r>
      <w:bookmarkEnd w:id="0"/>
      <w:bookmarkEnd w:id="1"/>
    </w:p>
    <w:p w14:paraId="7C89BDAE" w14:textId="77777777" w:rsidR="00AA7B0B" w:rsidRPr="00403F93" w:rsidRDefault="00AA7B0B" w:rsidP="00AA7B0B">
      <w:pPr>
        <w:pStyle w:val="2"/>
        <w:numPr>
          <w:ilvl w:val="0"/>
          <w:numId w:val="0"/>
        </w:numPr>
        <w:ind w:left="567" w:hanging="567"/>
        <w:rPr>
          <w:rFonts w:eastAsiaTheme="minorEastAsia"/>
          <w:color w:val="000000" w:themeColor="text1"/>
          <w:lang w:eastAsia="zh-CN"/>
        </w:rPr>
      </w:pPr>
      <w:r w:rsidRPr="00403F93">
        <w:rPr>
          <w:rFonts w:eastAsiaTheme="minorEastAsia"/>
          <w:color w:val="000000" w:themeColor="text1"/>
          <w:lang w:eastAsia="zh-CN"/>
        </w:rPr>
        <w:t>Animal Experiments</w:t>
      </w:r>
    </w:p>
    <w:p w14:paraId="4B3EAB54" w14:textId="77777777" w:rsidR="00AA7B0B" w:rsidRPr="00403F93" w:rsidRDefault="00AA7B0B" w:rsidP="00AA7B0B">
      <w:pPr>
        <w:rPr>
          <w:rFonts w:cs="Times New Roman"/>
          <w:color w:val="000000" w:themeColor="text1"/>
        </w:rPr>
      </w:pPr>
      <w:r w:rsidRPr="00403F93">
        <w:rPr>
          <w:rFonts w:cs="Times New Roman"/>
          <w:color w:val="000000" w:themeColor="text1"/>
        </w:rPr>
        <w:t>Six</w:t>
      </w:r>
      <w:r w:rsidRPr="00403F93">
        <w:rPr>
          <w:rFonts w:cs="Times New Roman" w:hint="eastAsia"/>
          <w:color w:val="000000" w:themeColor="text1"/>
          <w:lang w:eastAsia="zh-CN"/>
        </w:rPr>
        <w:t>-</w:t>
      </w:r>
      <w:r w:rsidRPr="00403F93">
        <w:rPr>
          <w:rFonts w:cs="Times New Roman"/>
          <w:color w:val="000000" w:themeColor="text1"/>
        </w:rPr>
        <w:t>week</w:t>
      </w:r>
      <w:r w:rsidRPr="00403F93">
        <w:rPr>
          <w:rFonts w:cs="Times New Roman" w:hint="eastAsia"/>
          <w:color w:val="000000" w:themeColor="text1"/>
          <w:lang w:eastAsia="zh-CN"/>
        </w:rPr>
        <w:t>-</w:t>
      </w:r>
      <w:r w:rsidRPr="00403F93">
        <w:rPr>
          <w:rFonts w:cs="Times New Roman"/>
          <w:color w:val="000000" w:themeColor="text1"/>
        </w:rPr>
        <w:t>old male healthy C57BL/6 mice were purchased from Chengdu Dossy Experimental Animals Co., Ltd. (Chengdu, China) and fed in a temperature-controlled room, with a 12 h light-dark cycles. The study was conducted according to the guidelines of ARRIVE and the experimental protocols were approved by the Animal Care and Use Committee of West China Hospital of Stomatology Hospital, Sichuan University, Chengdu China (WCHSIRB-D-2020-031).</w:t>
      </w:r>
    </w:p>
    <w:p w14:paraId="3E3F9DBE" w14:textId="77777777" w:rsidR="00AA7B0B" w:rsidRPr="00403F93" w:rsidRDefault="00AA7B0B" w:rsidP="00AA7B0B">
      <w:pPr>
        <w:rPr>
          <w:rFonts w:cs="Times New Roman"/>
          <w:color w:val="000000" w:themeColor="text1"/>
          <w:lang w:eastAsia="zh-CN"/>
        </w:rPr>
      </w:pPr>
      <w:r w:rsidRPr="00403F93">
        <w:rPr>
          <w:rFonts w:cs="Times New Roman"/>
          <w:color w:val="000000" w:themeColor="text1"/>
        </w:rPr>
        <w:t>After a 2</w:t>
      </w:r>
      <w:bookmarkStart w:id="4" w:name="OLE_LINK1024"/>
      <w:bookmarkStart w:id="5" w:name="OLE_LINK1025"/>
      <w:r w:rsidRPr="00403F93">
        <w:rPr>
          <w:rFonts w:cs="Times New Roman"/>
          <w:color w:val="000000" w:themeColor="text1"/>
        </w:rPr>
        <w:t xml:space="preserve">-week acclimatization period, mice were randomly divided into three groups </w:t>
      </w:r>
      <w:bookmarkStart w:id="6" w:name="OLE_LINK1056"/>
      <w:bookmarkStart w:id="7" w:name="OLE_LINK1057"/>
      <w:r w:rsidRPr="00403F93">
        <w:rPr>
          <w:rFonts w:cs="Times New Roman"/>
          <w:color w:val="000000" w:themeColor="text1"/>
        </w:rPr>
        <w:t>(n = 9 per group</w:t>
      </w:r>
      <w:r w:rsidRPr="00403F93">
        <w:rPr>
          <w:rFonts w:cs="Times New Roman" w:hint="eastAsia"/>
          <w:color w:val="000000" w:themeColor="text1"/>
          <w:lang w:eastAsia="zh-CN"/>
        </w:rPr>
        <w:t xml:space="preserve">, </w:t>
      </w:r>
      <w:r w:rsidRPr="00403F93">
        <w:rPr>
          <w:rFonts w:cs="Times New Roman"/>
          <w:color w:val="000000" w:themeColor="text1"/>
          <w:lang w:eastAsia="zh-CN"/>
        </w:rPr>
        <w:t>with 3 mice assessed at each designated time point</w:t>
      </w:r>
      <w:r w:rsidRPr="00403F93">
        <w:rPr>
          <w:rFonts w:cs="Times New Roman"/>
          <w:color w:val="000000" w:themeColor="text1"/>
        </w:rPr>
        <w:t>)</w:t>
      </w:r>
      <w:bookmarkEnd w:id="6"/>
      <w:bookmarkEnd w:id="7"/>
      <w:r w:rsidRPr="00403F93">
        <w:rPr>
          <w:rFonts w:cs="Times New Roman"/>
          <w:color w:val="000000" w:themeColor="text1"/>
        </w:rPr>
        <w:t>:</w:t>
      </w:r>
      <w:bookmarkEnd w:id="4"/>
      <w:bookmarkEnd w:id="5"/>
      <w:r w:rsidRPr="00403F93">
        <w:rPr>
          <w:rFonts w:cs="Times New Roman"/>
          <w:color w:val="000000" w:themeColor="text1"/>
        </w:rPr>
        <w:t xml:space="preserve"> control, 10</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μM</w:t>
      </w:r>
      <w:proofErr w:type="spellEnd"/>
      <w:r w:rsidRPr="00403F93">
        <w:rPr>
          <w:rFonts w:cs="Times New Roman"/>
          <w:color w:val="000000" w:themeColor="text1"/>
        </w:rPr>
        <w:t xml:space="preserve"> c-di-AMP and 100</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μM</w:t>
      </w:r>
      <w:proofErr w:type="spellEnd"/>
      <w:r w:rsidRPr="00403F93">
        <w:rPr>
          <w:rFonts w:cs="Times New Roman"/>
          <w:color w:val="000000" w:themeColor="text1"/>
        </w:rPr>
        <w:t xml:space="preserve"> c-di-AMP intervention. The concentrations of 10</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μM</w:t>
      </w:r>
      <w:proofErr w:type="spellEnd"/>
      <w:r w:rsidRPr="00403F93">
        <w:rPr>
          <w:rFonts w:cs="Times New Roman"/>
          <w:color w:val="000000" w:themeColor="text1"/>
        </w:rPr>
        <w:t xml:space="preserve"> and 100</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μM</w:t>
      </w:r>
      <w:proofErr w:type="spellEnd"/>
      <w:r w:rsidRPr="00403F93">
        <w:rPr>
          <w:rFonts w:cs="Times New Roman"/>
          <w:color w:val="000000" w:themeColor="text1"/>
        </w:rPr>
        <w:t xml:space="preserve"> were selected based on preliminary pilot studies and our previous work</w:t>
      </w:r>
      <w:r w:rsidRPr="00403F93">
        <w:rPr>
          <w:rFonts w:cs="Times New Roman" w:hint="eastAsia"/>
          <w:color w:val="000000" w:themeColor="text1"/>
          <w:lang w:eastAsia="zh-CN"/>
        </w:rPr>
        <w:t xml:space="preserve"> </w:t>
      </w:r>
      <w:r w:rsidRPr="00403F93">
        <w:rPr>
          <w:rFonts w:cs="Times New Roman"/>
          <w:color w:val="000000" w:themeColor="text1"/>
        </w:rPr>
        <w:fldChar w:fldCharType="begin"/>
      </w:r>
      <w:r w:rsidRPr="00403F93">
        <w:rPr>
          <w:rFonts w:cs="Times New Roman"/>
          <w:color w:val="000000" w:themeColor="text1"/>
        </w:rPr>
        <w:instrText xml:space="preserve"> ADDIN EN.CITE &lt;EndNote&gt;&lt;Cite&gt;&lt;Author&gt;Wu&lt;/Author&gt;&lt;Year&gt;2023&lt;/Year&gt;&lt;RecNum&gt;37&lt;/RecNum&gt;&lt;DisplayText&gt;(Wu et al., 2023)&lt;/DisplayText&gt;&lt;record&gt;&lt;rec-number&gt;37&lt;/rec-number&gt;&lt;foreign-keys&gt;&lt;key app="EN" db-id="20vzs29z6avfw7exfw5vprs8vadxtfd9vd92" timestamp="1740349600"&gt;37&lt;/key&gt;&lt;/foreign-keys&gt;&lt;ref-type name="Journal Article"&gt;17&lt;/ref-type&gt;&lt;contributors&gt;&lt;authors&gt;&lt;author&gt;Wu, Q.&lt;/author&gt;&lt;author&gt;Li, Z.&lt;/author&gt;&lt;author&gt;Zhang, Y.&lt;/author&gt;&lt;author&gt;Luo, K.&lt;/author&gt;&lt;author&gt;Xu, X.&lt;/author&gt;&lt;author&gt;Li, J.&lt;/author&gt;&lt;author&gt;Peng, X.&lt;/author&gt;&lt;author&gt;Zhou, X.&lt;/author&gt;&lt;/authors&gt;&lt;/contributors&gt;&lt;auth-address&gt;State Key Laboratory of Oral Diseases &amp;amp; National Clinical Research Center for Oral Diseases, West China Hospital of Stomatology, Sichuan University, Chengdu, Chengdu, P.R. China.&amp;#xD;Department of Cariology and Endodontics, West China Hospital of Stomatology, Sichuan University, Chengdu, P.R. China.&lt;/auth-address&gt;&lt;titles&gt;&lt;title&gt;Cyclic di-AMP Rescues Porphyromonas gingivalis-Aggravated Atherosclerosis&lt;/title&gt;&lt;secondary-title&gt;J Dent Res&lt;/secondary-title&gt;&lt;alt-title&gt;Journal of dental research&lt;/alt-title&gt;&lt;/titles&gt;&lt;pages&gt;785-794&lt;/pages&gt;&lt;volume&gt;102&lt;/volume&gt;&lt;number&gt;7&lt;/number&gt;&lt;edition&gt;2023/04/09&lt;/edition&gt;&lt;keywords&gt;&lt;keyword&gt;Animals&lt;/keyword&gt;&lt;keyword&gt;Mice&lt;/keyword&gt;&lt;keyword&gt;Porphyromonas gingivalis&lt;/keyword&gt;&lt;keyword&gt;*Atherosclerosis&lt;/keyword&gt;&lt;keyword&gt;*Periodontitis&lt;/keyword&gt;&lt;keyword&gt;Interleukin-6&lt;/keyword&gt;&lt;keyword&gt;*Alveolar Bone Loss&lt;/keyword&gt;&lt;keyword&gt;Adenosine Monophosphate&lt;/keyword&gt;&lt;keyword&gt;cardiovascular diseases&lt;/keyword&gt;&lt;keyword&gt;host–pathogen interactions&lt;/keyword&gt;&lt;keyword&gt;microbial dysbiosis&lt;/keyword&gt;&lt;keyword&gt;periodontitis&lt;/keyword&gt;&lt;keyword&gt;second-messenger systems&lt;/keyword&gt;&lt;keyword&gt;systemic inflammation&lt;/keyword&gt;&lt;/keywords&gt;&lt;dates&gt;&lt;year&gt;2023&lt;/year&gt;&lt;pub-dates&gt;&lt;date&gt;Jul&lt;/date&gt;&lt;/pub-dates&gt;&lt;/dates&gt;&lt;isbn&gt;0022-0345&lt;/isbn&gt;&lt;accession-num&gt;37029659&lt;/accession-num&gt;&lt;urls&gt;&lt;/urls&gt;&lt;electronic-resource-num&gt;10.1177/00220345231162344&lt;/electronic-resource-num&gt;&lt;remote-database-provider&gt;NLM&lt;/remote-database-provider&gt;&lt;language&gt;eng&lt;/language&gt;&lt;/record&gt;&lt;/Cite&gt;&lt;/EndNote&gt;</w:instrText>
      </w:r>
      <w:r w:rsidRPr="00403F93">
        <w:rPr>
          <w:rFonts w:cs="Times New Roman"/>
          <w:color w:val="000000" w:themeColor="text1"/>
        </w:rPr>
        <w:fldChar w:fldCharType="separate"/>
      </w:r>
      <w:r w:rsidRPr="00403F93">
        <w:rPr>
          <w:rFonts w:cs="Times New Roman"/>
          <w:noProof/>
          <w:color w:val="000000" w:themeColor="text1"/>
        </w:rPr>
        <w:t>(Wu et al., 2023)</w:t>
      </w:r>
      <w:r w:rsidRPr="00403F93">
        <w:rPr>
          <w:rFonts w:cs="Times New Roman"/>
          <w:color w:val="000000" w:themeColor="text1"/>
        </w:rPr>
        <w:fldChar w:fldCharType="end"/>
      </w:r>
      <w:r w:rsidRPr="00403F93">
        <w:rPr>
          <w:rFonts w:cs="Times New Roman"/>
          <w:color w:val="000000" w:themeColor="text1"/>
        </w:rPr>
        <w:t xml:space="preserve">. </w:t>
      </w:r>
      <w:r w:rsidRPr="00403F93">
        <w:rPr>
          <w:rFonts w:cs="Times New Roman" w:hint="eastAsia"/>
          <w:color w:val="000000" w:themeColor="text1"/>
          <w:lang w:eastAsia="zh-CN"/>
        </w:rPr>
        <w:t>M</w:t>
      </w:r>
      <w:r w:rsidRPr="00403F93">
        <w:rPr>
          <w:rFonts w:cs="Times New Roman"/>
          <w:color w:val="000000" w:themeColor="text1"/>
        </w:rPr>
        <w:t>ice were first anesthetized with isoflurane (5% for induction and 2% for maintenance) delivered via an anesthesia chamber</w:t>
      </w:r>
      <w:r w:rsidRPr="00403F93">
        <w:rPr>
          <w:rFonts w:cs="Times New Roman" w:hint="eastAsia"/>
          <w:color w:val="000000" w:themeColor="text1"/>
          <w:lang w:eastAsia="zh-CN"/>
        </w:rPr>
        <w:t xml:space="preserve">, a </w:t>
      </w:r>
      <w:r w:rsidRPr="00403F93">
        <w:rPr>
          <w:rFonts w:cs="Times New Roman"/>
          <w:color w:val="000000" w:themeColor="text1"/>
          <w:lang w:eastAsia="zh-CN"/>
        </w:rPr>
        <w:t>method widely used in rodent studies due to its rapid onset and precise control of anesthesia depth</w:t>
      </w:r>
      <w:r w:rsidRPr="00403F93">
        <w:rPr>
          <w:rFonts w:cs="Times New Roman" w:hint="eastAsia"/>
          <w:color w:val="000000" w:themeColor="text1"/>
          <w:lang w:eastAsia="zh-CN"/>
        </w:rPr>
        <w:t xml:space="preserve">. </w:t>
      </w:r>
      <w:r w:rsidRPr="00403F93">
        <w:rPr>
          <w:rFonts w:cs="Times New Roman"/>
          <w:color w:val="000000" w:themeColor="text1"/>
        </w:rPr>
        <w:t xml:space="preserve">A ligation-induced periodontitis model was </w:t>
      </w:r>
      <w:r w:rsidRPr="00403F93">
        <w:rPr>
          <w:rFonts w:cs="Times New Roman" w:hint="eastAsia"/>
          <w:color w:val="000000" w:themeColor="text1"/>
          <w:lang w:eastAsia="zh-CN"/>
        </w:rPr>
        <w:t xml:space="preserve">then </w:t>
      </w:r>
      <w:r w:rsidRPr="00403F93">
        <w:rPr>
          <w:rFonts w:cs="Times New Roman"/>
          <w:color w:val="000000" w:themeColor="text1"/>
        </w:rPr>
        <w:t>established on the left side, with the control group receiving 0.9% NaCl solution and the intervention groups receiving either 10</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μM</w:t>
      </w:r>
      <w:proofErr w:type="spellEnd"/>
      <w:r w:rsidRPr="00403F93">
        <w:rPr>
          <w:rFonts w:cs="Times New Roman"/>
          <w:color w:val="000000" w:themeColor="text1"/>
        </w:rPr>
        <w:t xml:space="preserve"> or 100</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μM</w:t>
      </w:r>
      <w:proofErr w:type="spellEnd"/>
      <w:r w:rsidRPr="00403F93">
        <w:rPr>
          <w:rFonts w:cs="Times New Roman"/>
          <w:color w:val="000000" w:themeColor="text1"/>
        </w:rPr>
        <w:t xml:space="preserve"> c-di-AMP </w:t>
      </w:r>
      <w:r w:rsidRPr="00403F93">
        <w:rPr>
          <w:rFonts w:cs="Times New Roman"/>
          <w:color w:val="000000" w:themeColor="text1"/>
        </w:rPr>
        <w:lastRenderedPageBreak/>
        <w:t xml:space="preserve">solution. </w:t>
      </w:r>
      <w:r w:rsidRPr="00403F93">
        <w:rPr>
          <w:rFonts w:cs="Times New Roman"/>
          <w:color w:val="000000" w:themeColor="text1"/>
          <w:lang w:eastAsia="zh-CN"/>
        </w:rPr>
        <w:t>A</w:t>
      </w:r>
      <w:r w:rsidRPr="00403F93">
        <w:rPr>
          <w:rFonts w:cs="Times New Roman" w:hint="eastAsia"/>
          <w:color w:val="000000" w:themeColor="text1"/>
          <w:lang w:eastAsia="zh-CN"/>
        </w:rPr>
        <w:t xml:space="preserve">fter </w:t>
      </w:r>
      <w:r w:rsidRPr="00403F93">
        <w:rPr>
          <w:rFonts w:cs="Times New Roman"/>
          <w:color w:val="000000" w:themeColor="text1"/>
        </w:rPr>
        <w:t>model</w:t>
      </w:r>
      <w:r w:rsidRPr="00403F93">
        <w:rPr>
          <w:rFonts w:cs="Times New Roman" w:hint="eastAsia"/>
          <w:color w:val="000000" w:themeColor="text1"/>
          <w:lang w:eastAsia="zh-CN"/>
        </w:rPr>
        <w:t xml:space="preserve"> establishment, </w:t>
      </w:r>
      <w:r w:rsidRPr="00403F93">
        <w:rPr>
          <w:rFonts w:cs="Times New Roman"/>
          <w:color w:val="000000" w:themeColor="text1"/>
        </w:rPr>
        <w:t>25</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μL</w:t>
      </w:r>
      <w:proofErr w:type="spellEnd"/>
      <w:r w:rsidRPr="00403F93">
        <w:rPr>
          <w:rFonts w:cs="Times New Roman"/>
          <w:color w:val="000000" w:themeColor="text1"/>
        </w:rPr>
        <w:t xml:space="preserve"> of the respective</w:t>
      </w:r>
      <w:r w:rsidRPr="00403F93">
        <w:rPr>
          <w:rFonts w:cs="Times New Roman" w:hint="eastAsia"/>
          <w:color w:val="000000" w:themeColor="text1"/>
          <w:lang w:eastAsia="zh-CN"/>
        </w:rPr>
        <w:t xml:space="preserve"> </w:t>
      </w:r>
      <w:r w:rsidRPr="00403F93">
        <w:rPr>
          <w:rFonts w:cs="Times New Roman"/>
          <w:color w:val="000000" w:themeColor="text1"/>
        </w:rPr>
        <w:t xml:space="preserve">solution was locally injected at six sites around the first maxillary molar. </w:t>
      </w:r>
      <w:r w:rsidRPr="00403F93">
        <w:rPr>
          <w:rFonts w:cs="Times New Roman" w:hint="eastAsia"/>
          <w:color w:val="000000" w:themeColor="text1"/>
          <w:lang w:eastAsia="zh-CN"/>
        </w:rPr>
        <w:t>Ligature</w:t>
      </w:r>
      <w:r w:rsidRPr="00403F93">
        <w:rPr>
          <w:rFonts w:cs="Times New Roman"/>
          <w:color w:val="000000" w:themeColor="text1"/>
        </w:rPr>
        <w:t>s were checked every two days.</w:t>
      </w:r>
      <w:r w:rsidRPr="00403F93">
        <w:rPr>
          <w:rFonts w:cs="Times New Roman" w:hint="eastAsia"/>
          <w:color w:val="000000" w:themeColor="text1"/>
          <w:lang w:eastAsia="zh-CN"/>
        </w:rPr>
        <w:t xml:space="preserve"> </w:t>
      </w:r>
      <w:r w:rsidRPr="00403F93">
        <w:rPr>
          <w:rFonts w:cs="Times New Roman"/>
          <w:color w:val="000000" w:themeColor="text1"/>
        </w:rPr>
        <w:t>The experiments were started with mice at 8-week of age after 1-week of adaptive feeding and terminated at the 11th week (Fig. 1A). The study was conducted in two independent experimental rounds to ensure the reproducibility of the results.</w:t>
      </w:r>
    </w:p>
    <w:p w14:paraId="29934EE7" w14:textId="77777777" w:rsidR="00AA7B0B" w:rsidRPr="00403F93" w:rsidRDefault="00AA7B0B" w:rsidP="00AA7B0B">
      <w:pPr>
        <w:rPr>
          <w:rFonts w:cs="Times New Roman"/>
          <w:color w:val="000000" w:themeColor="text1"/>
        </w:rPr>
      </w:pPr>
      <w:r w:rsidRPr="00403F93">
        <w:rPr>
          <w:rFonts w:cs="Times New Roman"/>
          <w:color w:val="000000" w:themeColor="text1"/>
        </w:rPr>
        <w:t>All mice were sacrificed humanely using established protocols to ensure they were anesthetized and unconscious before sample collection. Euthanasia was performed using an overdose of pentobarbital sodium. Mice were administered an intraperitoneal injection of pentobarbital sodium at a dose of 150 mg/kg body weight. This dosage ensured rapid induction of deep anesthesia followed by euthanasia. Death was confirmed by the absence of heartbeat and respiration, and cervical dislocation was performed as a secondary method to ensure death.</w:t>
      </w:r>
    </w:p>
    <w:p w14:paraId="1346B555" w14:textId="77777777" w:rsidR="00AA7B0B" w:rsidRPr="00403F93" w:rsidRDefault="00AA7B0B" w:rsidP="00AA7B0B">
      <w:pPr>
        <w:rPr>
          <w:rFonts w:cs="Times New Roman"/>
          <w:color w:val="000000" w:themeColor="text1"/>
          <w:lang w:eastAsia="zh-CN"/>
        </w:rPr>
      </w:pPr>
      <w:r w:rsidRPr="00403F93">
        <w:rPr>
          <w:rFonts w:cs="Times New Roman"/>
          <w:color w:val="000000" w:themeColor="text1"/>
        </w:rPr>
        <w:t xml:space="preserve">Alveolar bones and gingival tissue were harvested from the mice, postfixed with 4% paraformaldehyde overnight, and stored in 70% ethanol at 4 °C for long-term storage. Silk samples were </w:t>
      </w:r>
      <w:r w:rsidRPr="00403F93">
        <w:rPr>
          <w:rFonts w:cs="Times New Roman" w:hint="eastAsia"/>
          <w:color w:val="000000" w:themeColor="text1"/>
          <w:lang w:eastAsia="zh-CN"/>
        </w:rPr>
        <w:t xml:space="preserve">carefully </w:t>
      </w:r>
      <w:r w:rsidRPr="00403F93">
        <w:rPr>
          <w:rFonts w:cs="Times New Roman"/>
          <w:color w:val="000000" w:themeColor="text1"/>
        </w:rPr>
        <w:t>collected before euthanasia in sterile Eppendorf tubes and kept at -80</w:t>
      </w:r>
      <w:r w:rsidRPr="00403F93">
        <w:rPr>
          <w:rFonts w:cs="Times New Roman" w:hint="eastAsia"/>
          <w:color w:val="000000" w:themeColor="text1"/>
        </w:rPr>
        <w:t>℃</w:t>
      </w:r>
      <w:r w:rsidRPr="00403F93">
        <w:rPr>
          <w:rFonts w:cs="Times New Roman" w:hint="eastAsia"/>
          <w:color w:val="000000" w:themeColor="text1"/>
        </w:rPr>
        <w:t xml:space="preserve"> for future analysis. Alveolar bone tissue was collected from all mice for </w:t>
      </w:r>
      <w:proofErr w:type="spellStart"/>
      <w:r w:rsidRPr="00403F93">
        <w:rPr>
          <w:rFonts w:cs="Times New Roman"/>
          <w:color w:val="000000" w:themeColor="text1"/>
        </w:rPr>
        <w:t>μCT</w:t>
      </w:r>
      <w:proofErr w:type="spellEnd"/>
      <w:r w:rsidRPr="00403F93">
        <w:rPr>
          <w:rFonts w:cs="Times New Roman"/>
          <w:color w:val="000000" w:themeColor="text1"/>
        </w:rPr>
        <w:t xml:space="preserve"> </w:t>
      </w:r>
      <w:r w:rsidRPr="00403F93">
        <w:rPr>
          <w:rFonts w:cs="Times New Roman" w:hint="eastAsia"/>
          <w:color w:val="000000" w:themeColor="text1"/>
        </w:rPr>
        <w:t>analysis (Miyajima et al. 2014; Morelli et al. 2018; Rekhi et al. 2021). And only 2-week alveolar bone with gingival tissue were collected for H&amp;E staining (</w:t>
      </w:r>
      <w:proofErr w:type="spellStart"/>
      <w:r w:rsidRPr="00403F93">
        <w:rPr>
          <w:rFonts w:cs="Times New Roman" w:hint="eastAsia"/>
          <w:color w:val="000000" w:themeColor="text1"/>
        </w:rPr>
        <w:t>Leite</w:t>
      </w:r>
      <w:proofErr w:type="spellEnd"/>
      <w:r w:rsidRPr="00403F93">
        <w:rPr>
          <w:rFonts w:cs="Times New Roman" w:hint="eastAsia"/>
          <w:color w:val="000000" w:themeColor="text1"/>
        </w:rPr>
        <w:t xml:space="preserve"> et al. 2017; </w:t>
      </w:r>
      <w:proofErr w:type="spellStart"/>
      <w:r w:rsidRPr="00403F93">
        <w:rPr>
          <w:rFonts w:cs="Times New Roman"/>
          <w:color w:val="000000" w:themeColor="text1"/>
        </w:rPr>
        <w:t>Marchesan</w:t>
      </w:r>
      <w:proofErr w:type="spellEnd"/>
      <w:r w:rsidRPr="00403F93">
        <w:rPr>
          <w:rFonts w:cs="Times New Roman"/>
          <w:color w:val="000000" w:themeColor="text1"/>
        </w:rPr>
        <w:t xml:space="preserve"> et al. 2018).</w:t>
      </w:r>
    </w:p>
    <w:p w14:paraId="1AA74750" w14:textId="77777777" w:rsidR="00AA7B0B" w:rsidRPr="00403F93" w:rsidRDefault="00AA7B0B" w:rsidP="00AA7B0B">
      <w:pPr>
        <w:pStyle w:val="2"/>
        <w:numPr>
          <w:ilvl w:val="0"/>
          <w:numId w:val="0"/>
        </w:numPr>
        <w:ind w:left="567" w:hanging="567"/>
        <w:rPr>
          <w:rFonts w:eastAsiaTheme="minorEastAsia"/>
          <w:color w:val="000000" w:themeColor="text1"/>
          <w:lang w:eastAsia="zh-CN"/>
        </w:rPr>
      </w:pPr>
      <w:r w:rsidRPr="00403F93">
        <w:rPr>
          <w:rFonts w:eastAsiaTheme="minorEastAsia"/>
          <w:color w:val="000000" w:themeColor="text1"/>
          <w:lang w:eastAsia="zh-CN"/>
        </w:rPr>
        <w:t>Micro-Computed Tomography Analysis</w:t>
      </w:r>
    </w:p>
    <w:p w14:paraId="1E677BD7" w14:textId="77777777" w:rsidR="00AA7B0B" w:rsidRPr="00403F93" w:rsidRDefault="00AA7B0B" w:rsidP="00AA7B0B">
      <w:pPr>
        <w:rPr>
          <w:rFonts w:cs="Times New Roman"/>
          <w:color w:val="000000" w:themeColor="text1"/>
          <w:lang w:eastAsia="zh-CN"/>
        </w:rPr>
      </w:pPr>
      <w:r w:rsidRPr="00403F93">
        <w:rPr>
          <w:rFonts w:cs="Times New Roman"/>
          <w:color w:val="000000" w:themeColor="text1"/>
        </w:rPr>
        <w:t xml:space="preserve">The microarchitectural properties of alveolar bone tissues were imported with µCT system. Parameter settings were as follows: the scanning was performed at 70 kV and 200 </w:t>
      </w:r>
      <w:proofErr w:type="spellStart"/>
      <w:r w:rsidRPr="00403F93">
        <w:rPr>
          <w:rFonts w:cs="Times New Roman"/>
          <w:color w:val="000000" w:themeColor="text1"/>
        </w:rPr>
        <w:t>μA</w:t>
      </w:r>
      <w:proofErr w:type="spellEnd"/>
      <w:r w:rsidRPr="00403F93">
        <w:rPr>
          <w:rFonts w:cs="Times New Roman"/>
          <w:color w:val="000000" w:themeColor="text1"/>
        </w:rPr>
        <w:t xml:space="preserve"> with 300</w:t>
      </w:r>
      <w:r w:rsidRPr="00403F93">
        <w:rPr>
          <w:rFonts w:cs="Times New Roman" w:hint="eastAsia"/>
          <w:color w:val="000000" w:themeColor="text1"/>
          <w:lang w:eastAsia="zh-CN"/>
        </w:rPr>
        <w:t xml:space="preserve"> </w:t>
      </w:r>
      <w:proofErr w:type="spellStart"/>
      <w:r w:rsidRPr="00403F93">
        <w:rPr>
          <w:rFonts w:cs="Times New Roman"/>
          <w:color w:val="000000" w:themeColor="text1"/>
        </w:rPr>
        <w:t>ms</w:t>
      </w:r>
      <w:proofErr w:type="spellEnd"/>
      <w:r w:rsidRPr="00403F93">
        <w:rPr>
          <w:rFonts w:cs="Times New Roman"/>
          <w:color w:val="000000" w:themeColor="text1"/>
        </w:rPr>
        <w:t xml:space="preserve"> integration time at a voxel resolution of 10</w:t>
      </w:r>
      <w:r w:rsidRPr="00403F93">
        <w:rPr>
          <w:rFonts w:cs="Times New Roman" w:hint="eastAsia"/>
          <w:color w:val="000000" w:themeColor="text1"/>
          <w:lang w:eastAsia="zh-CN"/>
        </w:rPr>
        <w:t xml:space="preserve"> </w:t>
      </w:r>
      <w:proofErr w:type="spellStart"/>
      <w:r w:rsidRPr="00403F93">
        <w:rPr>
          <w:rFonts w:cs="Times New Roman"/>
          <w:color w:val="000000" w:themeColor="text1"/>
        </w:rPr>
        <w:t>μm</w:t>
      </w:r>
      <w:proofErr w:type="spellEnd"/>
      <w:r w:rsidRPr="00403F93">
        <w:rPr>
          <w:rFonts w:cs="Times New Roman"/>
          <w:color w:val="000000" w:themeColor="text1"/>
        </w:rPr>
        <w:t xml:space="preserve">. The images were reconstructed using mimics (version 21.0, </w:t>
      </w:r>
      <w:proofErr w:type="spellStart"/>
      <w:r w:rsidRPr="00403F93">
        <w:rPr>
          <w:rFonts w:cs="Times New Roman"/>
          <w:color w:val="000000" w:themeColor="text1"/>
        </w:rPr>
        <w:t>Materialise</w:t>
      </w:r>
      <w:proofErr w:type="spellEnd"/>
      <w:r w:rsidRPr="00403F93">
        <w:rPr>
          <w:rFonts w:cs="Times New Roman"/>
          <w:color w:val="000000" w:themeColor="text1"/>
        </w:rPr>
        <w:t xml:space="preserve"> N.V., Leuven, Belgium). The results of BV/TV, BMD, and CEJ-ABC were obtained within the region of interest, which surrounds the second molar. CEJ-ABC was determined by measuring the average distance between the alveolar bone crest (ABC) and the cementoenamel junction (CEJ) in the sagittal images. And </w:t>
      </w:r>
      <w:r w:rsidRPr="00403F93">
        <w:rPr>
          <w:color w:val="000000" w:themeColor="text1"/>
          <w:szCs w:val="24"/>
        </w:rPr>
        <w:t>Δ</w:t>
      </w:r>
      <w:r w:rsidRPr="00403F93">
        <w:rPr>
          <w:rFonts w:cs="Times New Roman"/>
          <w:color w:val="000000" w:themeColor="text1"/>
        </w:rPr>
        <w:t>CEJ-ABC refers to the difference between CEJ-ABC on the left side and CEJ-ABC on the right side. Trabecular bone volume fraction (Bone volume/Total volume, BV/TV) was used to analyze the degree of trabecular bone resorption.</w:t>
      </w:r>
    </w:p>
    <w:p w14:paraId="0306AE4B" w14:textId="77777777" w:rsidR="00AA7B0B" w:rsidRPr="00403F93" w:rsidRDefault="00AA7B0B" w:rsidP="00AA7B0B">
      <w:pPr>
        <w:pStyle w:val="2"/>
        <w:numPr>
          <w:ilvl w:val="0"/>
          <w:numId w:val="0"/>
        </w:numPr>
        <w:ind w:left="567" w:hanging="567"/>
        <w:rPr>
          <w:rFonts w:eastAsiaTheme="minorEastAsia"/>
          <w:color w:val="000000" w:themeColor="text1"/>
          <w:lang w:eastAsia="zh-CN"/>
        </w:rPr>
      </w:pPr>
      <w:r w:rsidRPr="00403F93">
        <w:rPr>
          <w:rFonts w:eastAsiaTheme="minorEastAsia"/>
          <w:color w:val="000000" w:themeColor="text1"/>
          <w:lang w:eastAsia="zh-CN"/>
        </w:rPr>
        <w:t>Hematoxylin and Eosin Staining</w:t>
      </w:r>
    </w:p>
    <w:p w14:paraId="325915CA" w14:textId="77777777" w:rsidR="00AA7B0B" w:rsidRPr="00403F93" w:rsidRDefault="00AA7B0B" w:rsidP="00AA7B0B">
      <w:pPr>
        <w:rPr>
          <w:rFonts w:cs="Times New Roman"/>
          <w:color w:val="000000" w:themeColor="text1"/>
          <w:lang w:eastAsia="zh-CN"/>
        </w:rPr>
      </w:pPr>
      <w:bookmarkStart w:id="8" w:name="OLE_LINK1101"/>
      <w:bookmarkStart w:id="9" w:name="OLE_LINK1102"/>
      <w:r w:rsidRPr="00403F93">
        <w:rPr>
          <w:rFonts w:cs="Times New Roman"/>
          <w:color w:val="000000" w:themeColor="text1"/>
        </w:rPr>
        <w:t xml:space="preserve">To </w:t>
      </w:r>
      <w:r w:rsidRPr="00403F93">
        <w:rPr>
          <w:rFonts w:cs="Times New Roman" w:hint="eastAsia"/>
          <w:color w:val="000000" w:themeColor="text1"/>
          <w:lang w:eastAsia="zh-CN"/>
        </w:rPr>
        <w:t>evaluate</w:t>
      </w:r>
      <w:r w:rsidRPr="00403F93">
        <w:rPr>
          <w:rFonts w:cs="Times New Roman"/>
          <w:color w:val="000000" w:themeColor="text1"/>
        </w:rPr>
        <w:t xml:space="preserve"> the severity of the periodontitis condition and the height of the alveolar crest, Hematoxylin and Eosin (H&amp;E) Staining was p</w:t>
      </w:r>
      <w:r w:rsidRPr="00403F93">
        <w:rPr>
          <w:rFonts w:cs="Times New Roman" w:hint="eastAsia"/>
          <w:color w:val="000000" w:themeColor="text1"/>
          <w:lang w:eastAsia="zh-CN"/>
        </w:rPr>
        <w:t>erformed</w:t>
      </w:r>
      <w:r w:rsidRPr="00403F93">
        <w:rPr>
          <w:rFonts w:cs="Times New Roman"/>
          <w:color w:val="000000" w:themeColor="text1"/>
        </w:rPr>
        <w:t>.</w:t>
      </w:r>
      <w:r w:rsidRPr="00403F93">
        <w:rPr>
          <w:rFonts w:cs="Times New Roman" w:hint="eastAsia"/>
          <w:color w:val="000000" w:themeColor="text1"/>
          <w:lang w:eastAsia="zh-CN"/>
        </w:rPr>
        <w:t xml:space="preserve"> </w:t>
      </w:r>
      <w:r w:rsidRPr="00403F93">
        <w:rPr>
          <w:rFonts w:cs="Times New Roman"/>
          <w:color w:val="000000" w:themeColor="text1"/>
        </w:rPr>
        <w:t xml:space="preserve">Maxillary bone samples were fixed in 4% paraformaldehyde at 4°C for 24 h, decalcified in 10% EDTA (pH 7.4) for 4 weeks, embedded in paraffin, and sectioned into </w:t>
      </w:r>
      <w:r w:rsidRPr="00403F93">
        <w:rPr>
          <w:rFonts w:cs="Times New Roman" w:hint="eastAsia"/>
          <w:color w:val="000000" w:themeColor="text1"/>
          <w:lang w:eastAsia="zh-CN"/>
        </w:rPr>
        <w:t>10</w:t>
      </w:r>
      <w:r w:rsidRPr="00403F93">
        <w:rPr>
          <w:rFonts w:cs="Times New Roman"/>
          <w:color w:val="000000" w:themeColor="text1"/>
        </w:rPr>
        <w:t>-μm sagittal slices. Sections were deparaffinized, rehydrated, stained with hematoxylin (5 min) and eosin (30 sec), dehydrated, cleared in xylene, and mounted.</w:t>
      </w:r>
      <w:r w:rsidRPr="00403F93">
        <w:rPr>
          <w:rFonts w:cs="Times New Roman" w:hint="eastAsia"/>
          <w:color w:val="000000" w:themeColor="text1"/>
          <w:lang w:eastAsia="zh-CN"/>
        </w:rPr>
        <w:t xml:space="preserve"> </w:t>
      </w:r>
      <w:r w:rsidRPr="00403F93">
        <w:rPr>
          <w:rFonts w:cs="Times New Roman"/>
          <w:color w:val="000000" w:themeColor="text1"/>
          <w:lang w:eastAsia="zh-CN"/>
        </w:rPr>
        <w:t xml:space="preserve">Alveolar bone resorption was assessed by identifying </w:t>
      </w:r>
      <w:r w:rsidRPr="00403F93">
        <w:rPr>
          <w:rFonts w:cs="Times New Roman" w:hint="eastAsia"/>
          <w:color w:val="000000" w:themeColor="text1"/>
          <w:lang w:eastAsia="zh-CN"/>
        </w:rPr>
        <w:t>t</w:t>
      </w:r>
      <w:r w:rsidRPr="00403F93">
        <w:rPr>
          <w:rFonts w:cs="Times New Roman"/>
          <w:color w:val="000000" w:themeColor="text1"/>
          <w:lang w:eastAsia="zh-CN"/>
        </w:rPr>
        <w:t xml:space="preserve">he alveolar bone crest (ABC) position on H&amp;E-stained sections, with a black </w:t>
      </w:r>
      <w:r w:rsidRPr="00403F93">
        <w:rPr>
          <w:rFonts w:cs="Times New Roman" w:hint="eastAsia"/>
          <w:color w:val="000000" w:themeColor="text1"/>
          <w:lang w:eastAsia="zh-CN"/>
        </w:rPr>
        <w:t xml:space="preserve">dashed </w:t>
      </w:r>
      <w:r w:rsidRPr="00403F93">
        <w:rPr>
          <w:rFonts w:cs="Times New Roman"/>
          <w:color w:val="000000" w:themeColor="text1"/>
          <w:lang w:eastAsia="zh-CN"/>
        </w:rPr>
        <w:t>line marking its approximate height.</w:t>
      </w:r>
      <w:r w:rsidRPr="00403F93">
        <w:rPr>
          <w:rFonts w:cs="Times New Roman"/>
          <w:color w:val="000000" w:themeColor="text1"/>
        </w:rPr>
        <w:t xml:space="preserve"> </w:t>
      </w:r>
      <w:bookmarkEnd w:id="8"/>
      <w:bookmarkEnd w:id="9"/>
    </w:p>
    <w:p w14:paraId="1EA5B61C" w14:textId="77777777" w:rsidR="00AA7B0B" w:rsidRPr="00403F93" w:rsidRDefault="00AA7B0B" w:rsidP="00AA7B0B">
      <w:pPr>
        <w:pStyle w:val="2"/>
        <w:numPr>
          <w:ilvl w:val="0"/>
          <w:numId w:val="0"/>
        </w:numPr>
        <w:ind w:left="567" w:hanging="567"/>
        <w:rPr>
          <w:rFonts w:eastAsiaTheme="minorEastAsia"/>
          <w:color w:val="000000" w:themeColor="text1"/>
          <w:lang w:eastAsia="zh-CN"/>
        </w:rPr>
      </w:pPr>
      <w:r w:rsidRPr="00403F93">
        <w:rPr>
          <w:rFonts w:eastAsiaTheme="minorEastAsia"/>
          <w:color w:val="000000" w:themeColor="text1"/>
          <w:lang w:eastAsia="zh-CN"/>
        </w:rPr>
        <w:t>16S rRNA Sequencing and Analysis</w:t>
      </w:r>
    </w:p>
    <w:p w14:paraId="564824D7" w14:textId="77777777" w:rsidR="00AA7B0B" w:rsidRPr="00403F93" w:rsidRDefault="00AA7B0B" w:rsidP="00AA7B0B">
      <w:pPr>
        <w:rPr>
          <w:rFonts w:cs="Times New Roman"/>
          <w:color w:val="000000" w:themeColor="text1"/>
        </w:rPr>
      </w:pPr>
      <w:bookmarkStart w:id="10" w:name="OLE_LINK1103"/>
      <w:bookmarkStart w:id="11" w:name="OLE_LINK1104"/>
      <w:r w:rsidRPr="00403F93">
        <w:rPr>
          <w:rFonts w:cs="Times New Roman"/>
          <w:color w:val="000000" w:themeColor="text1"/>
          <w:lang w:eastAsia="zh-CN"/>
        </w:rPr>
        <w:t xml:space="preserve">The microbiomes of silk ligatures were analyzed using 16S ribosomal RNA (rRNA) sequencing. Total genomic DNA was extracted using the </w:t>
      </w:r>
      <w:proofErr w:type="spellStart"/>
      <w:r w:rsidRPr="00403F93">
        <w:rPr>
          <w:rFonts w:cs="Times New Roman"/>
          <w:color w:val="000000" w:themeColor="text1"/>
          <w:lang w:eastAsia="zh-CN"/>
        </w:rPr>
        <w:t>QIAamp</w:t>
      </w:r>
      <w:proofErr w:type="spellEnd"/>
      <w:r w:rsidRPr="00403F93">
        <w:rPr>
          <w:rFonts w:cs="Times New Roman"/>
          <w:color w:val="000000" w:themeColor="text1"/>
          <w:lang w:eastAsia="zh-CN"/>
        </w:rPr>
        <w:t xml:space="preserve"> DNA Mini Kit (QIAGEN) following the manufacturer’s instructions. DNA concentration and purity were assessed using a </w:t>
      </w:r>
      <w:proofErr w:type="spellStart"/>
      <w:r w:rsidRPr="00403F93">
        <w:rPr>
          <w:rFonts w:cs="Times New Roman" w:hint="eastAsia"/>
          <w:color w:val="000000" w:themeColor="text1"/>
          <w:lang w:eastAsia="zh-CN"/>
        </w:rPr>
        <w:t>NanoDrop</w:t>
      </w:r>
      <w:proofErr w:type="spellEnd"/>
      <w:r w:rsidRPr="00403F93">
        <w:rPr>
          <w:rFonts w:cs="Times New Roman" w:hint="eastAsia"/>
          <w:color w:val="000000" w:themeColor="text1"/>
          <w:lang w:eastAsia="zh-CN"/>
        </w:rPr>
        <w:t xml:space="preserve"> 2000 (</w:t>
      </w:r>
      <w:proofErr w:type="spellStart"/>
      <w:r w:rsidRPr="00403F93">
        <w:rPr>
          <w:rFonts w:cs="Times New Roman" w:hint="eastAsia"/>
          <w:color w:val="000000" w:themeColor="text1"/>
          <w:lang w:eastAsia="zh-CN"/>
        </w:rPr>
        <w:t>Thermo</w:t>
      </w:r>
      <w:proofErr w:type="spellEnd"/>
      <w:r w:rsidRPr="00403F93">
        <w:rPr>
          <w:rFonts w:cs="Times New Roman" w:hint="eastAsia"/>
          <w:color w:val="000000" w:themeColor="text1"/>
          <w:lang w:eastAsia="zh-CN"/>
        </w:rPr>
        <w:t xml:space="preserve"> Fisher Scientific), ensuring an average yield of </w:t>
      </w:r>
      <w:r w:rsidRPr="00403F93">
        <w:rPr>
          <w:rFonts w:cs="Times New Roman" w:hint="eastAsia"/>
          <w:color w:val="000000" w:themeColor="text1"/>
          <w:lang w:eastAsia="zh-CN"/>
        </w:rPr>
        <w:t>≥</w:t>
      </w:r>
      <w:r w:rsidRPr="00403F93">
        <w:rPr>
          <w:rFonts w:cs="Times New Roman" w:hint="eastAsia"/>
          <w:color w:val="000000" w:themeColor="text1"/>
          <w:lang w:eastAsia="zh-CN"/>
        </w:rPr>
        <w:t xml:space="preserve">20 ng/µL, and integrity was verified by </w:t>
      </w:r>
      <w:r w:rsidRPr="00403F93">
        <w:rPr>
          <w:rFonts w:cs="Times New Roman" w:hint="eastAsia"/>
          <w:color w:val="000000" w:themeColor="text1"/>
          <w:lang w:eastAsia="zh-CN"/>
        </w:rPr>
        <w:lastRenderedPageBreak/>
        <w:t xml:space="preserve">agarose gel electrophoresis. </w:t>
      </w:r>
      <w:r w:rsidRPr="00403F93">
        <w:rPr>
          <w:rFonts w:cs="Times New Roman"/>
          <w:color w:val="000000" w:themeColor="text1"/>
        </w:rPr>
        <w:t xml:space="preserve">The genome DNA was used as template for PCR amplification with the barcoded primers and </w:t>
      </w:r>
      <w:proofErr w:type="spellStart"/>
      <w:r w:rsidRPr="00403F93">
        <w:rPr>
          <w:rFonts w:cs="Times New Roman"/>
          <w:color w:val="000000" w:themeColor="text1"/>
        </w:rPr>
        <w:t>Tks</w:t>
      </w:r>
      <w:proofErr w:type="spellEnd"/>
      <w:r w:rsidRPr="00403F93">
        <w:rPr>
          <w:rFonts w:cs="Times New Roman"/>
          <w:color w:val="000000" w:themeColor="text1"/>
        </w:rPr>
        <w:t xml:space="preserve"> </w:t>
      </w:r>
      <w:proofErr w:type="spellStart"/>
      <w:r w:rsidRPr="00403F93">
        <w:rPr>
          <w:rFonts w:cs="Times New Roman"/>
          <w:color w:val="000000" w:themeColor="text1"/>
        </w:rPr>
        <w:t>Gflex</w:t>
      </w:r>
      <w:proofErr w:type="spellEnd"/>
      <w:r w:rsidRPr="00403F93">
        <w:rPr>
          <w:rFonts w:cs="Times New Roman"/>
          <w:color w:val="000000" w:themeColor="text1"/>
        </w:rPr>
        <w:t xml:space="preserve"> DNA Polymerase (Takara). For bacterial diversity analysis, V3-V4 variable regions of 16S rRNA genes was amplified with universal primers 343F and 798R performed by </w:t>
      </w:r>
      <w:proofErr w:type="spellStart"/>
      <w:r w:rsidRPr="00403F93">
        <w:rPr>
          <w:rFonts w:cs="Times New Roman"/>
          <w:color w:val="000000" w:themeColor="text1"/>
        </w:rPr>
        <w:t>oebiotech</w:t>
      </w:r>
      <w:proofErr w:type="spellEnd"/>
      <w:r w:rsidRPr="00403F93">
        <w:rPr>
          <w:rFonts w:cs="Times New Roman"/>
          <w:color w:val="000000" w:themeColor="text1"/>
        </w:rPr>
        <w:t xml:space="preserve"> Technology Co., Ltd, Shanghai, China.</w:t>
      </w:r>
    </w:p>
    <w:p w14:paraId="28BA2FB0" w14:textId="77777777" w:rsidR="00AA7B0B" w:rsidRPr="00403F93" w:rsidRDefault="00AA7B0B" w:rsidP="00AA7B0B">
      <w:pPr>
        <w:rPr>
          <w:rFonts w:cs="Times New Roman"/>
          <w:color w:val="000000" w:themeColor="text1"/>
          <w:lang w:eastAsia="zh-CN"/>
        </w:rPr>
      </w:pPr>
      <w:r w:rsidRPr="00403F93">
        <w:rPr>
          <w:rFonts w:cs="Times New Roman"/>
          <w:color w:val="000000" w:themeColor="text1"/>
          <w:lang w:eastAsia="zh-CN"/>
        </w:rPr>
        <w:t xml:space="preserve">The microbiomes of silk ligatures were analyzed using 16S ribosomal RNA (rRNA) sequencing. Total genomic DNA was extracted using the </w:t>
      </w:r>
      <w:proofErr w:type="spellStart"/>
      <w:r w:rsidRPr="00403F93">
        <w:rPr>
          <w:rFonts w:cs="Times New Roman"/>
          <w:color w:val="000000" w:themeColor="text1"/>
          <w:lang w:eastAsia="zh-CN"/>
        </w:rPr>
        <w:t>QIAamp</w:t>
      </w:r>
      <w:proofErr w:type="spellEnd"/>
      <w:r w:rsidRPr="00403F93">
        <w:rPr>
          <w:rFonts w:cs="Times New Roman"/>
          <w:color w:val="000000" w:themeColor="text1"/>
          <w:lang w:eastAsia="zh-CN"/>
        </w:rPr>
        <w:t xml:space="preserve"> DNA Mini Kit (QIAGEN) following the manufacturer’s instructions. DNA concentration and purity were assessed using a </w:t>
      </w:r>
      <w:proofErr w:type="spellStart"/>
      <w:r w:rsidRPr="00403F93">
        <w:rPr>
          <w:rFonts w:cs="Times New Roman" w:hint="eastAsia"/>
          <w:color w:val="000000" w:themeColor="text1"/>
          <w:lang w:eastAsia="zh-CN"/>
        </w:rPr>
        <w:t>NanoDrop</w:t>
      </w:r>
      <w:proofErr w:type="spellEnd"/>
      <w:r w:rsidRPr="00403F93">
        <w:rPr>
          <w:rFonts w:cs="Times New Roman" w:hint="eastAsia"/>
          <w:color w:val="000000" w:themeColor="text1"/>
          <w:lang w:eastAsia="zh-CN"/>
        </w:rPr>
        <w:t xml:space="preserve"> spectrophotometer (</w:t>
      </w:r>
      <w:proofErr w:type="spellStart"/>
      <w:r w:rsidRPr="00403F93">
        <w:rPr>
          <w:rFonts w:cs="Times New Roman" w:hint="eastAsia"/>
          <w:color w:val="000000" w:themeColor="text1"/>
          <w:lang w:eastAsia="zh-CN"/>
        </w:rPr>
        <w:t>Thermo</w:t>
      </w:r>
      <w:proofErr w:type="spellEnd"/>
      <w:r w:rsidRPr="00403F93">
        <w:rPr>
          <w:rFonts w:cs="Times New Roman" w:hint="eastAsia"/>
          <w:color w:val="000000" w:themeColor="text1"/>
          <w:lang w:eastAsia="zh-CN"/>
        </w:rPr>
        <w:t xml:space="preserve"> Fisher Scientific), ensuring an average yield of </w:t>
      </w:r>
      <w:r w:rsidRPr="00403F93">
        <w:rPr>
          <w:rFonts w:cs="Times New Roman" w:hint="eastAsia"/>
          <w:color w:val="000000" w:themeColor="text1"/>
          <w:lang w:eastAsia="zh-CN"/>
        </w:rPr>
        <w:t>≥</w:t>
      </w:r>
      <w:r w:rsidRPr="00403F93">
        <w:rPr>
          <w:rFonts w:cs="Times New Roman" w:hint="eastAsia"/>
          <w:color w:val="000000" w:themeColor="text1"/>
          <w:lang w:eastAsia="zh-CN"/>
        </w:rPr>
        <w:t>20 ng/µL, and integrity was verified by agarose gel electrophoresis. Purified DNA was used as a template for PCR amplification of the V3-V4 hypervariable regions of the 1</w:t>
      </w:r>
      <w:r w:rsidRPr="00403F93">
        <w:rPr>
          <w:rFonts w:cs="Times New Roman"/>
          <w:color w:val="000000" w:themeColor="text1"/>
          <w:lang w:eastAsia="zh-CN"/>
        </w:rPr>
        <w:t xml:space="preserve">6S rRNA gene using barcoded universal primers 343F and 798R and </w:t>
      </w:r>
      <w:proofErr w:type="spellStart"/>
      <w:r w:rsidRPr="00403F93">
        <w:rPr>
          <w:rFonts w:cs="Times New Roman"/>
          <w:color w:val="000000" w:themeColor="text1"/>
          <w:lang w:eastAsia="zh-CN"/>
        </w:rPr>
        <w:t>Tks</w:t>
      </w:r>
      <w:proofErr w:type="spellEnd"/>
      <w:r w:rsidRPr="00403F93">
        <w:rPr>
          <w:rFonts w:cs="Times New Roman"/>
          <w:color w:val="000000" w:themeColor="text1"/>
          <w:lang w:eastAsia="zh-CN"/>
        </w:rPr>
        <w:t xml:space="preserve"> </w:t>
      </w:r>
      <w:proofErr w:type="spellStart"/>
      <w:r w:rsidRPr="00403F93">
        <w:rPr>
          <w:rFonts w:cs="Times New Roman"/>
          <w:color w:val="000000" w:themeColor="text1"/>
          <w:lang w:eastAsia="zh-CN"/>
        </w:rPr>
        <w:t>Gflex</w:t>
      </w:r>
      <w:proofErr w:type="spellEnd"/>
      <w:r w:rsidRPr="00403F93">
        <w:rPr>
          <w:rFonts w:cs="Times New Roman"/>
          <w:color w:val="000000" w:themeColor="text1"/>
          <w:lang w:eastAsia="zh-CN"/>
        </w:rPr>
        <w:t xml:space="preserve"> DNA Polymerase (Takara, Japan).</w:t>
      </w:r>
    </w:p>
    <w:p w14:paraId="09C435C7" w14:textId="77777777" w:rsidR="00AA7B0B" w:rsidRPr="00403F93" w:rsidRDefault="00AA7B0B" w:rsidP="00AA7B0B">
      <w:pPr>
        <w:pStyle w:val="2"/>
        <w:numPr>
          <w:ilvl w:val="0"/>
          <w:numId w:val="0"/>
        </w:numPr>
        <w:ind w:left="567" w:hanging="567"/>
        <w:rPr>
          <w:rFonts w:eastAsiaTheme="minorEastAsia"/>
          <w:color w:val="000000" w:themeColor="text1"/>
          <w:lang w:eastAsia="zh-CN"/>
        </w:rPr>
      </w:pPr>
      <w:r w:rsidRPr="00403F93">
        <w:rPr>
          <w:rFonts w:eastAsiaTheme="minorEastAsia"/>
          <w:color w:val="000000" w:themeColor="text1"/>
          <w:lang w:eastAsia="zh-CN"/>
        </w:rPr>
        <w:t>16S rRNA Sequencing and Analysis</w:t>
      </w:r>
    </w:p>
    <w:bookmarkEnd w:id="10"/>
    <w:bookmarkEnd w:id="11"/>
    <w:p w14:paraId="474FC7AB" w14:textId="77777777" w:rsidR="00AA7B0B" w:rsidRPr="00403F93" w:rsidRDefault="00AA7B0B" w:rsidP="00AA7B0B">
      <w:pPr>
        <w:rPr>
          <w:rFonts w:cs="Times New Roman"/>
          <w:color w:val="000000" w:themeColor="text1"/>
          <w:lang w:eastAsia="zh-CN"/>
        </w:rPr>
      </w:pPr>
      <w:r w:rsidRPr="00403F93">
        <w:rPr>
          <w:rFonts w:cs="Times New Roman"/>
          <w:color w:val="000000" w:themeColor="text1"/>
        </w:rPr>
        <w:t xml:space="preserve">Total RNA was extracted from gingival tissue and human gingival epithelial cells using the </w:t>
      </w:r>
      <w:proofErr w:type="spellStart"/>
      <w:r w:rsidRPr="00403F93">
        <w:rPr>
          <w:rFonts w:cs="Times New Roman"/>
          <w:color w:val="000000" w:themeColor="text1"/>
        </w:rPr>
        <w:t>TRIzol</w:t>
      </w:r>
      <w:proofErr w:type="spellEnd"/>
      <w:r w:rsidRPr="00403F93">
        <w:rPr>
          <w:rFonts w:cs="Times New Roman"/>
          <w:color w:val="000000" w:themeColor="text1"/>
        </w:rPr>
        <w:t xml:space="preserve"> reagent (Invitrogen, USA) following the manufacturer’s protocol. RNA purity and concentration were assessed using a </w:t>
      </w:r>
      <w:proofErr w:type="spellStart"/>
      <w:r w:rsidRPr="00403F93">
        <w:rPr>
          <w:rFonts w:cs="Times New Roman"/>
          <w:color w:val="000000" w:themeColor="text1"/>
        </w:rPr>
        <w:t>NanoDrop</w:t>
      </w:r>
      <w:proofErr w:type="spellEnd"/>
      <w:r w:rsidRPr="00403F93">
        <w:rPr>
          <w:rFonts w:cs="Times New Roman"/>
          <w:color w:val="000000" w:themeColor="text1"/>
        </w:rPr>
        <w:t xml:space="preserve"> spectrophotometer (</w:t>
      </w:r>
      <w:proofErr w:type="spellStart"/>
      <w:r w:rsidRPr="00403F93">
        <w:rPr>
          <w:rFonts w:cs="Times New Roman"/>
          <w:color w:val="000000" w:themeColor="text1"/>
        </w:rPr>
        <w:t>Thermo</w:t>
      </w:r>
      <w:proofErr w:type="spellEnd"/>
      <w:r w:rsidRPr="00403F93">
        <w:rPr>
          <w:rFonts w:cs="Times New Roman"/>
          <w:color w:val="000000" w:themeColor="text1"/>
        </w:rPr>
        <w:t xml:space="preserve"> Fisher </w:t>
      </w:r>
      <w:r w:rsidRPr="00403F93">
        <w:rPr>
          <w:rFonts w:cs="Times New Roman" w:hint="eastAsia"/>
          <w:color w:val="000000" w:themeColor="text1"/>
        </w:rPr>
        <w:t xml:space="preserve">Scientific, USA), and RNA integrity was evaluated with an Agilent 2100 Bioanalyzer (Agilent Technologies, USA) to ensure an RNA integrity number (RIN) </w:t>
      </w:r>
      <w:r w:rsidRPr="00403F93">
        <w:rPr>
          <w:rFonts w:cs="Times New Roman" w:hint="eastAsia"/>
          <w:color w:val="000000" w:themeColor="text1"/>
        </w:rPr>
        <w:t>≥</w:t>
      </w:r>
      <w:r w:rsidRPr="00403F93">
        <w:rPr>
          <w:rFonts w:cs="Times New Roman" w:hint="eastAsia"/>
          <w:color w:val="000000" w:themeColor="text1"/>
        </w:rPr>
        <w:t xml:space="preserve"> 7.0.</w:t>
      </w:r>
      <w:r w:rsidRPr="00403F93">
        <w:rPr>
          <w:rFonts w:cs="Times New Roman" w:hint="eastAsia"/>
          <w:color w:val="000000" w:themeColor="text1"/>
          <w:lang w:eastAsia="zh-CN"/>
        </w:rPr>
        <w:t xml:space="preserve"> </w:t>
      </w:r>
      <w:r w:rsidRPr="00403F93">
        <w:rPr>
          <w:rFonts w:cs="Times New Roman"/>
          <w:color w:val="000000" w:themeColor="text1"/>
        </w:rPr>
        <w:t>For library construction, mRNA was enriched from total RNA using oligo</w:t>
      </w:r>
      <w:r w:rsidRPr="00403F93">
        <w:rPr>
          <w:rFonts w:cs="Times New Roman" w:hint="eastAsia"/>
          <w:color w:val="000000" w:themeColor="text1"/>
          <w:lang w:eastAsia="zh-CN"/>
        </w:rPr>
        <w:t xml:space="preserve"> </w:t>
      </w:r>
      <w:r w:rsidRPr="00403F93">
        <w:rPr>
          <w:rFonts w:cs="Times New Roman"/>
          <w:color w:val="000000" w:themeColor="text1"/>
        </w:rPr>
        <w:t xml:space="preserve">(dT) magnetic beads, followed by fragmentation, cDNA synthesis, and adapter ligation using the </w:t>
      </w:r>
      <w:proofErr w:type="spellStart"/>
      <w:r w:rsidRPr="00403F93">
        <w:rPr>
          <w:rFonts w:cs="Times New Roman"/>
          <w:color w:val="000000" w:themeColor="text1"/>
        </w:rPr>
        <w:t>NEBNext</w:t>
      </w:r>
      <w:proofErr w:type="spellEnd"/>
      <w:r w:rsidRPr="00403F93">
        <w:rPr>
          <w:rFonts w:cs="Times New Roman"/>
          <w:color w:val="000000" w:themeColor="text1"/>
        </w:rPr>
        <w:t xml:space="preserve"> Ultra RNA Library Prep Kit (New England Biolabs, USA). The purified libraries were PCR-amplified, and final sequencing libraries were quantified using a Qubit Fluorometer (</w:t>
      </w:r>
      <w:proofErr w:type="spellStart"/>
      <w:r w:rsidRPr="00403F93">
        <w:rPr>
          <w:rFonts w:cs="Times New Roman"/>
          <w:color w:val="000000" w:themeColor="text1"/>
        </w:rPr>
        <w:t>Thermo</w:t>
      </w:r>
      <w:proofErr w:type="spellEnd"/>
      <w:r w:rsidRPr="00403F93">
        <w:rPr>
          <w:rFonts w:cs="Times New Roman"/>
          <w:color w:val="000000" w:themeColor="text1"/>
        </w:rPr>
        <w:t xml:space="preserve"> Fisher Scientific, USA) and validated with an Agilent 2100 Bioanalyzer.</w:t>
      </w:r>
    </w:p>
    <w:p w14:paraId="5AABC3AF" w14:textId="77777777" w:rsidR="00AA7B0B" w:rsidRPr="00403F93" w:rsidRDefault="00AA7B0B" w:rsidP="00AA7B0B">
      <w:pPr>
        <w:pStyle w:val="2"/>
        <w:numPr>
          <w:ilvl w:val="0"/>
          <w:numId w:val="0"/>
        </w:numPr>
        <w:ind w:left="567" w:hanging="567"/>
        <w:rPr>
          <w:rFonts w:eastAsiaTheme="minorEastAsia"/>
          <w:color w:val="000000" w:themeColor="text1"/>
          <w:lang w:eastAsia="zh-CN"/>
        </w:rPr>
      </w:pPr>
      <w:r w:rsidRPr="00403F93">
        <w:rPr>
          <w:rFonts w:eastAsiaTheme="minorEastAsia"/>
          <w:color w:val="000000" w:themeColor="text1"/>
          <w:lang w:eastAsia="zh-CN"/>
        </w:rPr>
        <w:t>Cell Cultures</w:t>
      </w:r>
    </w:p>
    <w:p w14:paraId="0A7F053E" w14:textId="77777777" w:rsidR="00AA7B0B" w:rsidRPr="00403F93" w:rsidRDefault="00AA7B0B" w:rsidP="00AA7B0B">
      <w:pPr>
        <w:rPr>
          <w:rFonts w:cs="Times New Roman"/>
          <w:color w:val="000000" w:themeColor="text1"/>
          <w:lang w:eastAsia="zh-CN"/>
        </w:rPr>
      </w:pPr>
      <w:r w:rsidRPr="00403F93">
        <w:rPr>
          <w:rFonts w:cs="Times New Roman"/>
          <w:color w:val="000000" w:themeColor="text1"/>
        </w:rPr>
        <w:t xml:space="preserve">Human gingival epithelial cells (HGECs, </w:t>
      </w:r>
      <w:r w:rsidRPr="00403F93">
        <w:rPr>
          <w:rFonts w:cs="Times New Roman" w:hint="eastAsia"/>
          <w:color w:val="000000" w:themeColor="text1"/>
          <w:lang w:eastAsia="zh-CN"/>
        </w:rPr>
        <w:t>3</w:t>
      </w:r>
      <w:r w:rsidRPr="00403F93">
        <w:rPr>
          <w:rFonts w:cs="Times New Roman"/>
          <w:color w:val="000000" w:themeColor="text1"/>
        </w:rPr>
        <w:t xml:space="preserve">rd passage) were </w:t>
      </w:r>
      <w:r w:rsidRPr="00403F93">
        <w:rPr>
          <w:rFonts w:cs="Times New Roman" w:hint="eastAsia"/>
          <w:color w:val="000000" w:themeColor="text1"/>
          <w:lang w:eastAsia="zh-CN"/>
        </w:rPr>
        <w:t>obtained</w:t>
      </w:r>
      <w:r w:rsidRPr="00403F93">
        <w:rPr>
          <w:rFonts w:cs="Times New Roman"/>
          <w:color w:val="000000" w:themeColor="text1"/>
        </w:rPr>
        <w:t xml:space="preserve"> from Warner Biotechnology Co., Ltd. </w:t>
      </w:r>
      <w:bookmarkStart w:id="12" w:name="OLE_LINK1028"/>
      <w:bookmarkStart w:id="13" w:name="OLE_LINK1029"/>
      <w:r w:rsidRPr="00403F93">
        <w:rPr>
          <w:rFonts w:cs="Times New Roman"/>
          <w:color w:val="000000" w:themeColor="text1"/>
        </w:rPr>
        <w:t>HGECs</w:t>
      </w:r>
      <w:bookmarkEnd w:id="12"/>
      <w:bookmarkEnd w:id="13"/>
      <w:r w:rsidRPr="00403F93">
        <w:rPr>
          <w:rFonts w:cs="Times New Roman"/>
          <w:color w:val="000000" w:themeColor="text1"/>
        </w:rPr>
        <w:t xml:space="preserve"> were cultured and seeded at a density of 1 × 10</w:t>
      </w:r>
      <w:r w:rsidRPr="00403F93">
        <w:rPr>
          <w:rFonts w:cs="Times New Roman" w:hint="eastAsia"/>
          <w:color w:val="000000" w:themeColor="text1"/>
          <w:vertAlign w:val="superscript"/>
          <w:lang w:eastAsia="zh-CN"/>
        </w:rPr>
        <w:t>5</w:t>
      </w:r>
      <w:r w:rsidRPr="00403F93">
        <w:rPr>
          <w:rFonts w:cs="Times New Roman"/>
          <w:color w:val="000000" w:themeColor="text1"/>
        </w:rPr>
        <w:t xml:space="preserve">/mL in a growth medium (DMEM) in 6-well plates overnight. Different doses of c-di-AMP (0, </w:t>
      </w:r>
      <w:r w:rsidRPr="00403F93">
        <w:rPr>
          <w:rFonts w:cs="Times New Roman" w:hint="eastAsia"/>
          <w:color w:val="000000" w:themeColor="text1"/>
          <w:lang w:eastAsia="zh-CN"/>
        </w:rPr>
        <w:t xml:space="preserve">2, 6 </w:t>
      </w:r>
      <w:proofErr w:type="spellStart"/>
      <w:r w:rsidRPr="00403F93">
        <w:rPr>
          <w:rFonts w:cs="Times New Roman"/>
          <w:color w:val="000000" w:themeColor="text1"/>
        </w:rPr>
        <w:t>μM</w:t>
      </w:r>
      <w:proofErr w:type="spellEnd"/>
      <w:r w:rsidRPr="00403F93">
        <w:rPr>
          <w:rFonts w:cs="Times New Roman"/>
          <w:color w:val="000000" w:themeColor="text1"/>
        </w:rPr>
        <w:t xml:space="preserve">) were added to the HGECs, and the samples were incubated for 24h. </w:t>
      </w:r>
    </w:p>
    <w:p w14:paraId="45F8C7E2" w14:textId="77777777" w:rsidR="00AA7B0B" w:rsidRPr="00403F93" w:rsidRDefault="00AA7B0B" w:rsidP="00AA7B0B">
      <w:pPr>
        <w:pStyle w:val="2"/>
        <w:numPr>
          <w:ilvl w:val="0"/>
          <w:numId w:val="0"/>
        </w:numPr>
        <w:ind w:left="567" w:hanging="567"/>
        <w:rPr>
          <w:rFonts w:eastAsiaTheme="minorEastAsia"/>
          <w:color w:val="000000" w:themeColor="text1"/>
          <w:lang w:eastAsia="zh-CN"/>
        </w:rPr>
      </w:pPr>
      <w:proofErr w:type="spellStart"/>
      <w:r w:rsidRPr="00403F93">
        <w:rPr>
          <w:rFonts w:eastAsiaTheme="minorEastAsia" w:hint="eastAsia"/>
          <w:color w:val="000000" w:themeColor="text1"/>
          <w:lang w:eastAsia="zh-CN"/>
        </w:rPr>
        <w:t>q</w:t>
      </w:r>
      <w:r w:rsidRPr="00403F93">
        <w:rPr>
          <w:rFonts w:eastAsiaTheme="minorEastAsia"/>
          <w:color w:val="000000" w:themeColor="text1"/>
          <w:lang w:eastAsia="zh-CN"/>
        </w:rPr>
        <w:t>RT</w:t>
      </w:r>
      <w:proofErr w:type="spellEnd"/>
      <w:r w:rsidRPr="00403F93">
        <w:rPr>
          <w:rFonts w:eastAsiaTheme="minorEastAsia"/>
          <w:color w:val="000000" w:themeColor="text1"/>
          <w:lang w:eastAsia="zh-CN"/>
        </w:rPr>
        <w:t>-PCR</w:t>
      </w:r>
    </w:p>
    <w:p w14:paraId="7418F0F4" w14:textId="5A7D5DAC" w:rsidR="00AA7B0B" w:rsidRPr="00403F93" w:rsidRDefault="00AA7B0B" w:rsidP="00AA7B0B">
      <w:pPr>
        <w:rPr>
          <w:rFonts w:cs="Times New Roman" w:hint="eastAsia"/>
          <w:color w:val="000000" w:themeColor="text1"/>
          <w:lang w:eastAsia="zh-CN"/>
        </w:rPr>
      </w:pPr>
      <w:r w:rsidRPr="00403F93">
        <w:rPr>
          <w:rFonts w:cs="Times New Roman"/>
          <w:color w:val="000000" w:themeColor="text1"/>
          <w:lang w:eastAsia="zh-CN"/>
        </w:rPr>
        <w:t xml:space="preserve">To validate gene expression, </w:t>
      </w:r>
      <w:proofErr w:type="spellStart"/>
      <w:r w:rsidRPr="00403F93">
        <w:rPr>
          <w:rFonts w:cs="Times New Roman"/>
          <w:color w:val="000000" w:themeColor="text1"/>
          <w:lang w:eastAsia="zh-CN"/>
        </w:rPr>
        <w:t>qRT</w:t>
      </w:r>
      <w:proofErr w:type="spellEnd"/>
      <w:r w:rsidRPr="00403F93">
        <w:rPr>
          <w:rFonts w:cs="Times New Roman"/>
          <w:color w:val="000000" w:themeColor="text1"/>
          <w:lang w:eastAsia="zh-CN"/>
        </w:rPr>
        <w:t xml:space="preserve">-PCR was performed using the SYBR Green PCR Master Mix (Applied Biosystems, USA) on a </w:t>
      </w:r>
      <w:proofErr w:type="spellStart"/>
      <w:r w:rsidRPr="00403F93">
        <w:rPr>
          <w:rFonts w:cs="Times New Roman"/>
          <w:color w:val="000000" w:themeColor="text1"/>
          <w:lang w:eastAsia="zh-CN"/>
        </w:rPr>
        <w:t>QuantStudio</w:t>
      </w:r>
      <w:proofErr w:type="spellEnd"/>
      <w:r w:rsidRPr="00403F93">
        <w:rPr>
          <w:rFonts w:cs="Times New Roman"/>
          <w:color w:val="000000" w:themeColor="text1"/>
          <w:lang w:eastAsia="zh-CN"/>
        </w:rPr>
        <w:t xml:space="preserve"> 5 Real-Time PCR System (</w:t>
      </w:r>
      <w:proofErr w:type="spellStart"/>
      <w:r w:rsidRPr="00403F93">
        <w:rPr>
          <w:rFonts w:cs="Times New Roman"/>
          <w:color w:val="000000" w:themeColor="text1"/>
          <w:lang w:eastAsia="zh-CN"/>
        </w:rPr>
        <w:t>Thermo</w:t>
      </w:r>
      <w:proofErr w:type="spellEnd"/>
      <w:r w:rsidRPr="00403F93">
        <w:rPr>
          <w:rFonts w:cs="Times New Roman"/>
          <w:color w:val="000000" w:themeColor="text1"/>
          <w:lang w:eastAsia="zh-CN"/>
        </w:rPr>
        <w:t xml:space="preserve"> Fisher Scientific, USA). </w:t>
      </w:r>
      <w:r w:rsidRPr="00403F93">
        <w:rPr>
          <w:rFonts w:cs="Times New Roman" w:hint="eastAsia"/>
          <w:color w:val="000000" w:themeColor="text1"/>
          <w:lang w:eastAsia="zh-CN"/>
        </w:rPr>
        <w:t xml:space="preserve">And </w:t>
      </w:r>
      <w:r w:rsidRPr="00403F93">
        <w:rPr>
          <w:rFonts w:cs="Times New Roman"/>
          <w:color w:val="000000" w:themeColor="text1"/>
          <w:lang w:eastAsia="zh-CN"/>
        </w:rPr>
        <w:t xml:space="preserve">cDNA was synthesized using </w:t>
      </w:r>
      <w:proofErr w:type="spellStart"/>
      <w:r w:rsidRPr="00403F93">
        <w:rPr>
          <w:rFonts w:cs="Times New Roman"/>
          <w:color w:val="000000" w:themeColor="text1"/>
          <w:lang w:eastAsia="zh-CN"/>
        </w:rPr>
        <w:t>RevertAid</w:t>
      </w:r>
      <w:proofErr w:type="spellEnd"/>
      <w:r w:rsidRPr="00403F93">
        <w:rPr>
          <w:rFonts w:cs="Times New Roman"/>
          <w:color w:val="000000" w:themeColor="text1"/>
          <w:lang w:eastAsia="zh-CN"/>
        </w:rPr>
        <w:t xml:space="preserve"> First Strand cDNA Synthesis Kit (</w:t>
      </w:r>
      <w:proofErr w:type="spellStart"/>
      <w:r w:rsidRPr="00403F93">
        <w:rPr>
          <w:rFonts w:cs="Times New Roman"/>
          <w:color w:val="000000" w:themeColor="text1"/>
          <w:lang w:eastAsia="zh-CN"/>
        </w:rPr>
        <w:t>Thermo</w:t>
      </w:r>
      <w:proofErr w:type="spellEnd"/>
      <w:r w:rsidRPr="00403F93">
        <w:rPr>
          <w:rFonts w:cs="Times New Roman"/>
          <w:color w:val="000000" w:themeColor="text1"/>
          <w:lang w:eastAsia="zh-CN"/>
        </w:rPr>
        <w:t xml:space="preserve"> Fisher Scientific, USA) following the manufacturer’s instructions. Reactions were conducted in triplicates, and relative gene expression levels were determined using the 2</w:t>
      </w:r>
      <w:r w:rsidRPr="00403F93">
        <w:rPr>
          <w:rFonts w:cs="Times New Roman"/>
          <w:color w:val="000000" w:themeColor="text1"/>
          <w:vertAlign w:val="superscript"/>
          <w:lang w:eastAsia="zh-CN"/>
        </w:rPr>
        <w:t xml:space="preserve">−ΔΔCt </w:t>
      </w:r>
      <w:r w:rsidRPr="00403F93">
        <w:rPr>
          <w:rFonts w:cs="Times New Roman"/>
          <w:color w:val="000000" w:themeColor="text1"/>
          <w:lang w:eastAsia="zh-CN"/>
        </w:rPr>
        <w:t>method, with GAPDH as the internal reference gene.</w:t>
      </w:r>
      <w:r w:rsidRPr="00403F93">
        <w:rPr>
          <w:rFonts w:cs="Times New Roman" w:hint="eastAsia"/>
          <w:color w:val="000000" w:themeColor="text1"/>
          <w:lang w:eastAsia="zh-CN"/>
        </w:rPr>
        <w:t xml:space="preserve"> </w:t>
      </w:r>
      <w:bookmarkStart w:id="14" w:name="OLE_LINK1111"/>
      <w:bookmarkStart w:id="15" w:name="OLE_LINK1112"/>
      <w:r w:rsidRPr="00403F93">
        <w:rPr>
          <w:rFonts w:cs="Times New Roman"/>
          <w:color w:val="000000" w:themeColor="text1"/>
          <w:lang w:eastAsia="zh-CN"/>
        </w:rPr>
        <w:t xml:space="preserve">The primers used for </w:t>
      </w:r>
      <w:proofErr w:type="spellStart"/>
      <w:r w:rsidRPr="00403F93">
        <w:rPr>
          <w:rFonts w:cs="Times New Roman"/>
          <w:color w:val="000000" w:themeColor="text1"/>
          <w:lang w:eastAsia="zh-CN"/>
        </w:rPr>
        <w:t>qRT</w:t>
      </w:r>
      <w:proofErr w:type="spellEnd"/>
      <w:r w:rsidRPr="00403F93">
        <w:rPr>
          <w:rFonts w:cs="Times New Roman"/>
          <w:color w:val="000000" w:themeColor="text1"/>
          <w:lang w:eastAsia="zh-CN"/>
        </w:rPr>
        <w:t xml:space="preserve">-PCR amplification </w:t>
      </w:r>
      <w:bookmarkEnd w:id="14"/>
      <w:bookmarkEnd w:id="15"/>
      <w:r>
        <w:rPr>
          <w:rFonts w:cs="Times New Roman" w:hint="eastAsia"/>
          <w:color w:val="000000" w:themeColor="text1"/>
          <w:lang w:eastAsia="zh-CN"/>
        </w:rPr>
        <w:t>see Appendix table 1.</w:t>
      </w:r>
    </w:p>
    <w:p w14:paraId="7BE0C842" w14:textId="77777777" w:rsidR="00AA7B0B" w:rsidRPr="00403F93" w:rsidRDefault="00AA7B0B" w:rsidP="00AA7B0B">
      <w:pPr>
        <w:pStyle w:val="2"/>
        <w:numPr>
          <w:ilvl w:val="0"/>
          <w:numId w:val="0"/>
        </w:numPr>
        <w:ind w:left="567" w:hanging="567"/>
        <w:rPr>
          <w:rFonts w:eastAsiaTheme="minorEastAsia"/>
          <w:color w:val="000000" w:themeColor="text1"/>
          <w:lang w:eastAsia="zh-CN"/>
        </w:rPr>
      </w:pPr>
      <w:r w:rsidRPr="00403F93">
        <w:rPr>
          <w:rFonts w:eastAsiaTheme="minorEastAsia"/>
          <w:color w:val="000000" w:themeColor="text1"/>
          <w:lang w:eastAsia="zh-CN"/>
        </w:rPr>
        <w:t>Statistical Analysis</w:t>
      </w:r>
    </w:p>
    <w:p w14:paraId="796F8356" w14:textId="77777777" w:rsidR="00AA7B0B" w:rsidRPr="00403F93" w:rsidRDefault="00AA7B0B" w:rsidP="00AA7B0B">
      <w:pPr>
        <w:rPr>
          <w:rFonts w:cs="Times New Roman"/>
          <w:color w:val="000000" w:themeColor="text1"/>
        </w:rPr>
      </w:pPr>
      <w:bookmarkStart w:id="16" w:name="OLE_LINK1052"/>
      <w:bookmarkStart w:id="17" w:name="OLE_LINK1053"/>
      <w:r w:rsidRPr="00403F93">
        <w:rPr>
          <w:rFonts w:cs="Times New Roman"/>
          <w:color w:val="000000" w:themeColor="text1"/>
        </w:rPr>
        <w:t xml:space="preserve">Western blot analysis was repeated three times using individually cultured cells. Other in vitro experiments were performed once in triplicate. For in vivo experiments, the total number of mice used is indicated in the figure legends. Data are expressed as means ± standard deviations (SDs), and </w:t>
      </w:r>
      <w:r w:rsidRPr="00403F93">
        <w:rPr>
          <w:rFonts w:cs="Times New Roman" w:hint="eastAsia"/>
          <w:color w:val="000000" w:themeColor="text1"/>
          <w:lang w:eastAsia="zh-CN"/>
        </w:rPr>
        <w:t>n</w:t>
      </w:r>
      <w:r w:rsidRPr="00403F93">
        <w:rPr>
          <w:rFonts w:cs="Times New Roman"/>
          <w:color w:val="000000" w:themeColor="text1"/>
        </w:rPr>
        <w:t xml:space="preserve">ormality was assessed using the Shapiro-Wilk test, and the data were confirmed to follow a normal distribution. </w:t>
      </w:r>
      <w:r w:rsidRPr="00403F93">
        <w:rPr>
          <w:rFonts w:cs="Times New Roman" w:hint="eastAsia"/>
          <w:color w:val="000000" w:themeColor="text1"/>
          <w:lang w:eastAsia="zh-CN"/>
        </w:rPr>
        <w:t xml:space="preserve">Then </w:t>
      </w:r>
      <w:r w:rsidRPr="00403F93">
        <w:rPr>
          <w:rFonts w:cs="Times New Roman"/>
          <w:color w:val="000000" w:themeColor="text1"/>
        </w:rPr>
        <w:t xml:space="preserve">statistical analysis was performed using one-way ANOVA and Tukey’s honestly </w:t>
      </w:r>
      <w:r w:rsidRPr="00403F93">
        <w:rPr>
          <w:rFonts w:cs="Times New Roman"/>
          <w:color w:val="000000" w:themeColor="text1"/>
        </w:rPr>
        <w:lastRenderedPageBreak/>
        <w:t>using GraphPad Prism 9 (GraphPad Software Inc, San Diego, CA, USA). p-values were expressed as follows: *</w:t>
      </w:r>
      <w:r w:rsidRPr="00403F93">
        <w:rPr>
          <w:rFonts w:cs="Times New Roman" w:hint="eastAsia"/>
          <w:color w:val="000000" w:themeColor="text1"/>
          <w:lang w:eastAsia="zh-CN"/>
        </w:rPr>
        <w:t xml:space="preserve"> </w:t>
      </w:r>
      <w:r w:rsidRPr="00403F93">
        <w:rPr>
          <w:rFonts w:cs="Times New Roman"/>
          <w:color w:val="000000" w:themeColor="text1"/>
        </w:rPr>
        <w:t>p &lt; 0.05, ** p &lt; 0.01, and *** p &lt; 0.001.</w:t>
      </w:r>
    </w:p>
    <w:bookmarkEnd w:id="16"/>
    <w:bookmarkEnd w:id="17"/>
    <w:p w14:paraId="60C98C56" w14:textId="77777777" w:rsidR="007B1802" w:rsidRPr="00AA7B0B" w:rsidRDefault="007B1802" w:rsidP="007B1802">
      <w:pPr>
        <w:spacing w:line="360" w:lineRule="auto"/>
        <w:rPr>
          <w:color w:val="000000" w:themeColor="text1"/>
          <w:szCs w:val="21"/>
          <w:lang w:eastAsia="zh-CN" w:bidi="ar"/>
        </w:rPr>
      </w:pPr>
    </w:p>
    <w:p w14:paraId="040CCC90" w14:textId="77777777" w:rsidR="007B1802" w:rsidRPr="00144A53" w:rsidRDefault="007B1802" w:rsidP="007B1802">
      <w:pPr>
        <w:spacing w:line="360" w:lineRule="auto"/>
        <w:rPr>
          <w:color w:val="000000" w:themeColor="text1"/>
          <w:szCs w:val="21"/>
          <w:lang w:eastAsia="zh-CN" w:bidi="ar"/>
        </w:rPr>
      </w:pPr>
    </w:p>
    <w:p w14:paraId="5E584EE8" w14:textId="77777777" w:rsidR="00994A3D" w:rsidRPr="00144A53" w:rsidRDefault="00654E8F" w:rsidP="0001436A">
      <w:pPr>
        <w:pStyle w:val="1"/>
        <w:rPr>
          <w:color w:val="000000" w:themeColor="text1"/>
        </w:rPr>
      </w:pPr>
      <w:r w:rsidRPr="00144A53">
        <w:rPr>
          <w:color w:val="000000" w:themeColor="text1"/>
        </w:rPr>
        <w:t>Supplementary Figures and Tables</w:t>
      </w:r>
    </w:p>
    <w:p w14:paraId="44FE84BD" w14:textId="77777777" w:rsidR="007B1802" w:rsidRPr="00144A53" w:rsidRDefault="007B1802" w:rsidP="007B1802">
      <w:pPr>
        <w:spacing w:line="360" w:lineRule="auto"/>
        <w:rPr>
          <w:b/>
          <w:bCs/>
          <w:color w:val="000000" w:themeColor="text1"/>
          <w:szCs w:val="21"/>
        </w:rPr>
      </w:pPr>
      <w:r w:rsidRPr="00144A53">
        <w:rPr>
          <w:noProof/>
          <w:color w:val="000000" w:themeColor="text1"/>
        </w:rPr>
        <w:drawing>
          <wp:inline distT="0" distB="0" distL="0" distR="0" wp14:anchorId="6A4C7843" wp14:editId="12AEA46B">
            <wp:extent cx="5274310" cy="1351915"/>
            <wp:effectExtent l="0" t="0" r="2540" b="635"/>
            <wp:docPr id="6193439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43961" name=""/>
                    <pic:cNvPicPr/>
                  </pic:nvPicPr>
                  <pic:blipFill>
                    <a:blip r:embed="rId12"/>
                    <a:stretch>
                      <a:fillRect/>
                    </a:stretch>
                  </pic:blipFill>
                  <pic:spPr>
                    <a:xfrm>
                      <a:off x="0" y="0"/>
                      <a:ext cx="5274310" cy="1351915"/>
                    </a:xfrm>
                    <a:prstGeom prst="rect">
                      <a:avLst/>
                    </a:prstGeom>
                  </pic:spPr>
                </pic:pic>
              </a:graphicData>
            </a:graphic>
          </wp:inline>
        </w:drawing>
      </w:r>
    </w:p>
    <w:p w14:paraId="733730C1" w14:textId="77777777" w:rsidR="007B1802" w:rsidRPr="00144A53" w:rsidRDefault="007B1802" w:rsidP="007B1802">
      <w:pPr>
        <w:spacing w:line="360" w:lineRule="auto"/>
        <w:rPr>
          <w:color w:val="000000" w:themeColor="text1"/>
          <w:szCs w:val="21"/>
        </w:rPr>
      </w:pPr>
      <w:r w:rsidRPr="00144A53">
        <w:rPr>
          <w:b/>
          <w:bCs/>
          <w:color w:val="000000" w:themeColor="text1"/>
          <w:szCs w:val="21"/>
        </w:rPr>
        <w:t xml:space="preserve">Appendix Figure 1. C-di-AMP inhibits bone destruction in periodontitis induced by ligature placement in mice. </w:t>
      </w:r>
      <w:r w:rsidRPr="00144A53">
        <w:rPr>
          <w:color w:val="000000" w:themeColor="text1"/>
          <w:szCs w:val="21"/>
        </w:rPr>
        <w:t>(A) bone volume fraction (bone volume/total volume). (B) bone trabecular number (Tb. N).</w:t>
      </w:r>
    </w:p>
    <w:p w14:paraId="2756641C" w14:textId="77777777" w:rsidR="007B1802" w:rsidRPr="00144A53" w:rsidRDefault="007B1802" w:rsidP="007B1802">
      <w:pPr>
        <w:spacing w:line="360" w:lineRule="auto"/>
        <w:rPr>
          <w:b/>
          <w:bCs/>
          <w:color w:val="000000" w:themeColor="text1"/>
          <w:szCs w:val="21"/>
        </w:rPr>
      </w:pPr>
    </w:p>
    <w:p w14:paraId="384B53B9" w14:textId="77777777" w:rsidR="007B1802" w:rsidRPr="00144A53" w:rsidRDefault="007B1802" w:rsidP="007B1802">
      <w:pPr>
        <w:spacing w:line="360" w:lineRule="auto"/>
        <w:rPr>
          <w:b/>
          <w:bCs/>
          <w:color w:val="000000" w:themeColor="text1"/>
          <w:szCs w:val="21"/>
        </w:rPr>
      </w:pPr>
      <w:r w:rsidRPr="00144A53">
        <w:rPr>
          <w:noProof/>
          <w:color w:val="000000" w:themeColor="text1"/>
        </w:rPr>
        <w:drawing>
          <wp:inline distT="0" distB="0" distL="0" distR="0" wp14:anchorId="50E65CEF" wp14:editId="30882247">
            <wp:extent cx="5274310" cy="3578860"/>
            <wp:effectExtent l="0" t="0" r="2540" b="2540"/>
            <wp:docPr id="627866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66449" name=""/>
                    <pic:cNvPicPr/>
                  </pic:nvPicPr>
                  <pic:blipFill>
                    <a:blip r:embed="rId13"/>
                    <a:stretch>
                      <a:fillRect/>
                    </a:stretch>
                  </pic:blipFill>
                  <pic:spPr>
                    <a:xfrm>
                      <a:off x="0" y="0"/>
                      <a:ext cx="5274310" cy="3578860"/>
                    </a:xfrm>
                    <a:prstGeom prst="rect">
                      <a:avLst/>
                    </a:prstGeom>
                  </pic:spPr>
                </pic:pic>
              </a:graphicData>
            </a:graphic>
          </wp:inline>
        </w:drawing>
      </w:r>
    </w:p>
    <w:p w14:paraId="3CD7B9F9" w14:textId="77777777" w:rsidR="007B1802" w:rsidRPr="00144A53" w:rsidRDefault="007B1802" w:rsidP="007B1802">
      <w:pPr>
        <w:spacing w:line="360" w:lineRule="auto"/>
        <w:rPr>
          <w:color w:val="000000" w:themeColor="text1"/>
          <w:szCs w:val="21"/>
        </w:rPr>
      </w:pPr>
      <w:r w:rsidRPr="00144A53">
        <w:rPr>
          <w:b/>
          <w:bCs/>
          <w:color w:val="000000" w:themeColor="text1"/>
          <w:szCs w:val="21"/>
        </w:rPr>
        <w:lastRenderedPageBreak/>
        <w:t xml:space="preserve">Appendix Figure 2. C-di-AMP promotes the expression of the PI3K/Akt signaling pathway in human gingival epithelial cells. </w:t>
      </w:r>
      <w:r w:rsidRPr="00144A53">
        <w:rPr>
          <w:color w:val="000000" w:themeColor="text1"/>
          <w:szCs w:val="21"/>
        </w:rPr>
        <w:t xml:space="preserve">(A) Heatmap of differential gene expression. (B) The expression of top 5 enriched up-regulated genes. </w:t>
      </w:r>
    </w:p>
    <w:p w14:paraId="3B065029" w14:textId="77777777" w:rsidR="007B1802" w:rsidRPr="00144A53" w:rsidRDefault="007B1802" w:rsidP="007B1802">
      <w:pPr>
        <w:spacing w:line="360" w:lineRule="auto"/>
        <w:rPr>
          <w:color w:val="000000" w:themeColor="text1"/>
          <w:szCs w:val="21"/>
        </w:rPr>
      </w:pPr>
      <w:r w:rsidRPr="00144A53">
        <w:rPr>
          <w:noProof/>
          <w:color w:val="000000" w:themeColor="text1"/>
        </w:rPr>
        <w:drawing>
          <wp:inline distT="0" distB="0" distL="0" distR="0" wp14:anchorId="7197D562" wp14:editId="68E1F767">
            <wp:extent cx="5274310" cy="4114165"/>
            <wp:effectExtent l="0" t="0" r="2540" b="635"/>
            <wp:docPr id="3833167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16704" name=""/>
                    <pic:cNvPicPr/>
                  </pic:nvPicPr>
                  <pic:blipFill>
                    <a:blip r:embed="rId14"/>
                    <a:stretch>
                      <a:fillRect/>
                    </a:stretch>
                  </pic:blipFill>
                  <pic:spPr>
                    <a:xfrm>
                      <a:off x="0" y="0"/>
                      <a:ext cx="5274310" cy="4114165"/>
                    </a:xfrm>
                    <a:prstGeom prst="rect">
                      <a:avLst/>
                    </a:prstGeom>
                  </pic:spPr>
                </pic:pic>
              </a:graphicData>
            </a:graphic>
          </wp:inline>
        </w:drawing>
      </w:r>
    </w:p>
    <w:p w14:paraId="7C3E1267" w14:textId="77777777" w:rsidR="007B1802" w:rsidRPr="00144A53" w:rsidRDefault="007B1802" w:rsidP="007B1802">
      <w:pPr>
        <w:spacing w:line="360" w:lineRule="auto"/>
        <w:rPr>
          <w:color w:val="000000" w:themeColor="text1"/>
          <w:szCs w:val="21"/>
        </w:rPr>
      </w:pPr>
      <w:r w:rsidRPr="00144A53">
        <w:rPr>
          <w:rFonts w:hint="eastAsia"/>
          <w:b/>
          <w:bCs/>
          <w:color w:val="000000" w:themeColor="text1"/>
          <w:szCs w:val="21"/>
        </w:rPr>
        <w:t xml:space="preserve">Appendix Figure </w:t>
      </w:r>
      <w:r w:rsidRPr="00144A53">
        <w:rPr>
          <w:b/>
          <w:bCs/>
          <w:color w:val="000000" w:themeColor="text1"/>
          <w:szCs w:val="21"/>
        </w:rPr>
        <w:t xml:space="preserve">3. C-di-AMP exhibits no significant influence on oral microbiota in periodontitis. </w:t>
      </w:r>
      <w:r w:rsidRPr="00144A53">
        <w:rPr>
          <w:color w:val="000000" w:themeColor="text1"/>
          <w:szCs w:val="21"/>
        </w:rPr>
        <w:t xml:space="preserve">The absolute abundance of (A) </w:t>
      </w:r>
      <w:proofErr w:type="spellStart"/>
      <w:r w:rsidRPr="00144A53">
        <w:rPr>
          <w:color w:val="000000" w:themeColor="text1"/>
          <w:szCs w:val="21"/>
        </w:rPr>
        <w:t>Porphyromonas</w:t>
      </w:r>
      <w:proofErr w:type="spellEnd"/>
      <w:r w:rsidRPr="00144A53">
        <w:rPr>
          <w:color w:val="000000" w:themeColor="text1"/>
          <w:szCs w:val="21"/>
        </w:rPr>
        <w:t>, (B) Prevotella_9, (C) Fusobacterium, (D) Neisseria, (E) Actinomyces, (F) Streptococcus.</w:t>
      </w:r>
    </w:p>
    <w:p w14:paraId="7454EDA1" w14:textId="77777777" w:rsidR="007B1802" w:rsidRPr="00144A53" w:rsidRDefault="007B1802" w:rsidP="007B1802">
      <w:pPr>
        <w:spacing w:line="360" w:lineRule="auto"/>
        <w:rPr>
          <w:b/>
          <w:bCs/>
          <w:color w:val="000000" w:themeColor="text1"/>
          <w:szCs w:val="21"/>
        </w:rPr>
      </w:pPr>
    </w:p>
    <w:p w14:paraId="792D2F33" w14:textId="77777777" w:rsidR="007B1802" w:rsidRPr="00144A53" w:rsidRDefault="007B1802" w:rsidP="007B1802">
      <w:pPr>
        <w:spacing w:line="360" w:lineRule="auto"/>
        <w:rPr>
          <w:b/>
          <w:bCs/>
          <w:color w:val="000000" w:themeColor="text1"/>
          <w:szCs w:val="21"/>
        </w:rPr>
      </w:pPr>
      <w:r w:rsidRPr="00144A53">
        <w:rPr>
          <w:b/>
          <w:bCs/>
          <w:color w:val="000000" w:themeColor="text1"/>
          <w:szCs w:val="21"/>
        </w:rPr>
        <w:t xml:space="preserve">Appendix table 1. </w:t>
      </w:r>
      <w:r w:rsidRPr="00144A53">
        <w:rPr>
          <w:rFonts w:hint="eastAsia"/>
          <w:b/>
          <w:bCs/>
          <w:color w:val="000000" w:themeColor="text1"/>
          <w:szCs w:val="21"/>
        </w:rPr>
        <w:t xml:space="preserve">Primers of </w:t>
      </w:r>
      <w:r w:rsidRPr="00144A53">
        <w:rPr>
          <w:b/>
          <w:bCs/>
          <w:color w:val="000000" w:themeColor="text1"/>
          <w:szCs w:val="21"/>
        </w:rPr>
        <w:t>RT-qPCR</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7"/>
        <w:gridCol w:w="3950"/>
        <w:gridCol w:w="3990"/>
      </w:tblGrid>
      <w:tr w:rsidR="00144A53" w:rsidRPr="00144A53" w14:paraId="38B391A3" w14:textId="77777777" w:rsidTr="00D50FE0">
        <w:tc>
          <w:tcPr>
            <w:tcW w:w="1562" w:type="dxa"/>
            <w:tcBorders>
              <w:top w:val="single" w:sz="8" w:space="0" w:color="auto"/>
              <w:left w:val="nil"/>
              <w:bottom w:val="single" w:sz="8" w:space="0" w:color="auto"/>
              <w:right w:val="nil"/>
            </w:tcBorders>
          </w:tcPr>
          <w:p w14:paraId="55789F27" w14:textId="77777777" w:rsidR="007B1802" w:rsidRPr="00144A53" w:rsidRDefault="007B1802" w:rsidP="00D50FE0">
            <w:pPr>
              <w:rPr>
                <w:color w:val="000000" w:themeColor="text1"/>
                <w:szCs w:val="21"/>
              </w:rPr>
            </w:pPr>
            <w:r w:rsidRPr="00144A53">
              <w:rPr>
                <w:color w:val="000000" w:themeColor="text1"/>
                <w:szCs w:val="21"/>
              </w:rPr>
              <w:t>Primers</w:t>
            </w:r>
          </w:p>
        </w:tc>
        <w:tc>
          <w:tcPr>
            <w:tcW w:w="3670" w:type="dxa"/>
            <w:tcBorders>
              <w:top w:val="single" w:sz="8" w:space="0" w:color="auto"/>
              <w:left w:val="nil"/>
              <w:bottom w:val="single" w:sz="8" w:space="0" w:color="auto"/>
              <w:right w:val="nil"/>
            </w:tcBorders>
          </w:tcPr>
          <w:p w14:paraId="0F7E7D1A" w14:textId="77777777" w:rsidR="007B1802" w:rsidRPr="00144A53" w:rsidRDefault="007B1802" w:rsidP="00D50FE0">
            <w:pPr>
              <w:rPr>
                <w:color w:val="000000" w:themeColor="text1"/>
                <w:szCs w:val="21"/>
              </w:rPr>
            </w:pPr>
            <w:r w:rsidRPr="00144A53">
              <w:rPr>
                <w:color w:val="000000" w:themeColor="text1"/>
                <w:szCs w:val="21"/>
              </w:rPr>
              <w:t>Forward (5’ to 3’)</w:t>
            </w:r>
          </w:p>
        </w:tc>
        <w:tc>
          <w:tcPr>
            <w:tcW w:w="3557" w:type="dxa"/>
            <w:tcBorders>
              <w:top w:val="single" w:sz="8" w:space="0" w:color="auto"/>
              <w:left w:val="nil"/>
              <w:bottom w:val="single" w:sz="8" w:space="0" w:color="auto"/>
              <w:right w:val="nil"/>
            </w:tcBorders>
          </w:tcPr>
          <w:p w14:paraId="0292116F" w14:textId="77777777" w:rsidR="007B1802" w:rsidRPr="00144A53" w:rsidRDefault="007B1802" w:rsidP="00D50FE0">
            <w:pPr>
              <w:rPr>
                <w:color w:val="000000" w:themeColor="text1"/>
                <w:szCs w:val="21"/>
              </w:rPr>
            </w:pPr>
            <w:r w:rsidRPr="00144A53">
              <w:rPr>
                <w:color w:val="000000" w:themeColor="text1"/>
                <w:szCs w:val="21"/>
              </w:rPr>
              <w:t>Reverse (3’ to 5’)</w:t>
            </w:r>
          </w:p>
        </w:tc>
      </w:tr>
      <w:tr w:rsidR="00144A53" w:rsidRPr="00144A53" w14:paraId="7B7A228D" w14:textId="77777777" w:rsidTr="00D50FE0">
        <w:tc>
          <w:tcPr>
            <w:tcW w:w="1562" w:type="dxa"/>
            <w:tcBorders>
              <w:top w:val="single" w:sz="8" w:space="0" w:color="auto"/>
              <w:left w:val="nil"/>
              <w:bottom w:val="nil"/>
              <w:right w:val="nil"/>
            </w:tcBorders>
          </w:tcPr>
          <w:p w14:paraId="5BE6EA8A" w14:textId="77777777" w:rsidR="007B1802" w:rsidRPr="00144A53" w:rsidRDefault="007B1802" w:rsidP="00D50FE0">
            <w:pPr>
              <w:rPr>
                <w:color w:val="000000" w:themeColor="text1"/>
                <w:szCs w:val="21"/>
              </w:rPr>
            </w:pPr>
            <w:r w:rsidRPr="00144A53">
              <w:rPr>
                <w:color w:val="000000" w:themeColor="text1"/>
                <w:szCs w:val="21"/>
              </w:rPr>
              <w:t>GAPDH</w:t>
            </w:r>
          </w:p>
        </w:tc>
        <w:tc>
          <w:tcPr>
            <w:tcW w:w="3670" w:type="dxa"/>
            <w:tcBorders>
              <w:top w:val="single" w:sz="8" w:space="0" w:color="auto"/>
              <w:left w:val="nil"/>
              <w:bottom w:val="nil"/>
              <w:right w:val="nil"/>
            </w:tcBorders>
          </w:tcPr>
          <w:p w14:paraId="44C0962F" w14:textId="77777777" w:rsidR="007B1802" w:rsidRPr="00144A53" w:rsidRDefault="007B1802" w:rsidP="00D50FE0">
            <w:pPr>
              <w:rPr>
                <w:color w:val="000000" w:themeColor="text1"/>
                <w:szCs w:val="21"/>
              </w:rPr>
            </w:pPr>
            <w:r w:rsidRPr="00144A53">
              <w:rPr>
                <w:color w:val="000000" w:themeColor="text1"/>
                <w:szCs w:val="21"/>
              </w:rPr>
              <w:t>AATCCCATCACCATCTTCCAG</w:t>
            </w:r>
          </w:p>
        </w:tc>
        <w:tc>
          <w:tcPr>
            <w:tcW w:w="3557" w:type="dxa"/>
            <w:tcBorders>
              <w:top w:val="single" w:sz="8" w:space="0" w:color="auto"/>
              <w:left w:val="nil"/>
              <w:bottom w:val="nil"/>
              <w:right w:val="nil"/>
            </w:tcBorders>
            <w:vAlign w:val="center"/>
          </w:tcPr>
          <w:p w14:paraId="2B4E720D" w14:textId="77777777" w:rsidR="007B1802" w:rsidRPr="00144A53" w:rsidRDefault="007B1802" w:rsidP="00D50FE0">
            <w:pPr>
              <w:textAlignment w:val="center"/>
              <w:rPr>
                <w:color w:val="000000" w:themeColor="text1"/>
                <w:szCs w:val="21"/>
              </w:rPr>
            </w:pPr>
            <w:r w:rsidRPr="00144A53">
              <w:rPr>
                <w:color w:val="000000" w:themeColor="text1"/>
                <w:szCs w:val="21"/>
                <w:lang w:bidi="ar"/>
              </w:rPr>
              <w:t>AAATGAGCCCCAGCCTTC</w:t>
            </w:r>
          </w:p>
        </w:tc>
      </w:tr>
      <w:tr w:rsidR="00144A53" w:rsidRPr="00144A53" w14:paraId="399494A1" w14:textId="77777777" w:rsidTr="00D50FE0">
        <w:tc>
          <w:tcPr>
            <w:tcW w:w="1562" w:type="dxa"/>
            <w:tcBorders>
              <w:top w:val="nil"/>
              <w:left w:val="nil"/>
              <w:bottom w:val="nil"/>
              <w:right w:val="nil"/>
            </w:tcBorders>
          </w:tcPr>
          <w:p w14:paraId="178C8684" w14:textId="77777777" w:rsidR="007B1802" w:rsidRPr="00144A53" w:rsidRDefault="007B1802" w:rsidP="00D50FE0">
            <w:pPr>
              <w:rPr>
                <w:color w:val="000000" w:themeColor="text1"/>
                <w:szCs w:val="21"/>
              </w:rPr>
            </w:pPr>
            <w:r w:rsidRPr="00144A53">
              <w:rPr>
                <w:color w:val="000000" w:themeColor="text1"/>
                <w:szCs w:val="21"/>
              </w:rPr>
              <w:t>IL-6</w:t>
            </w:r>
          </w:p>
        </w:tc>
        <w:tc>
          <w:tcPr>
            <w:tcW w:w="3670" w:type="dxa"/>
            <w:tcBorders>
              <w:top w:val="nil"/>
              <w:left w:val="nil"/>
              <w:bottom w:val="nil"/>
              <w:right w:val="nil"/>
            </w:tcBorders>
            <w:vAlign w:val="center"/>
          </w:tcPr>
          <w:p w14:paraId="05114335" w14:textId="77777777" w:rsidR="007B1802" w:rsidRPr="00144A53" w:rsidRDefault="007B1802" w:rsidP="00D50FE0">
            <w:pPr>
              <w:textAlignment w:val="center"/>
              <w:rPr>
                <w:color w:val="000000" w:themeColor="text1"/>
                <w:szCs w:val="21"/>
              </w:rPr>
            </w:pPr>
            <w:r w:rsidRPr="00144A53">
              <w:rPr>
                <w:color w:val="000000" w:themeColor="text1"/>
                <w:szCs w:val="21"/>
                <w:lang w:bidi="ar"/>
              </w:rPr>
              <w:t>ACTCACCTCTTCAGAACGAATTG</w:t>
            </w:r>
          </w:p>
        </w:tc>
        <w:tc>
          <w:tcPr>
            <w:tcW w:w="3557" w:type="dxa"/>
            <w:tcBorders>
              <w:top w:val="nil"/>
              <w:left w:val="nil"/>
              <w:bottom w:val="nil"/>
              <w:right w:val="nil"/>
            </w:tcBorders>
            <w:vAlign w:val="center"/>
          </w:tcPr>
          <w:p w14:paraId="024C0626" w14:textId="77777777" w:rsidR="007B1802" w:rsidRPr="00144A53" w:rsidRDefault="007B1802" w:rsidP="00D50FE0">
            <w:pPr>
              <w:textAlignment w:val="center"/>
              <w:rPr>
                <w:color w:val="000000" w:themeColor="text1"/>
                <w:szCs w:val="21"/>
              </w:rPr>
            </w:pPr>
            <w:r w:rsidRPr="00144A53">
              <w:rPr>
                <w:color w:val="000000" w:themeColor="text1"/>
                <w:szCs w:val="21"/>
                <w:lang w:bidi="ar"/>
              </w:rPr>
              <w:t>CCATCTTTGGAAGGTTCAGGTTG</w:t>
            </w:r>
          </w:p>
        </w:tc>
      </w:tr>
      <w:tr w:rsidR="00144A53" w:rsidRPr="00144A53" w14:paraId="6CA2A58D" w14:textId="77777777" w:rsidTr="00D50FE0">
        <w:tc>
          <w:tcPr>
            <w:tcW w:w="1562" w:type="dxa"/>
            <w:tcBorders>
              <w:top w:val="nil"/>
              <w:left w:val="nil"/>
              <w:bottom w:val="nil"/>
              <w:right w:val="nil"/>
            </w:tcBorders>
          </w:tcPr>
          <w:p w14:paraId="1416C081" w14:textId="77777777" w:rsidR="007B1802" w:rsidRPr="00144A53" w:rsidRDefault="007B1802" w:rsidP="00D50FE0">
            <w:pPr>
              <w:rPr>
                <w:color w:val="000000" w:themeColor="text1"/>
                <w:szCs w:val="21"/>
              </w:rPr>
            </w:pPr>
            <w:r w:rsidRPr="00144A53">
              <w:rPr>
                <w:color w:val="000000" w:themeColor="text1"/>
                <w:szCs w:val="21"/>
              </w:rPr>
              <w:lastRenderedPageBreak/>
              <w:t>TNF-α</w:t>
            </w:r>
          </w:p>
        </w:tc>
        <w:tc>
          <w:tcPr>
            <w:tcW w:w="3670" w:type="dxa"/>
            <w:tcBorders>
              <w:top w:val="nil"/>
              <w:left w:val="nil"/>
              <w:bottom w:val="nil"/>
              <w:right w:val="nil"/>
            </w:tcBorders>
            <w:vAlign w:val="center"/>
          </w:tcPr>
          <w:p w14:paraId="47E3E171" w14:textId="77777777" w:rsidR="007B1802" w:rsidRPr="00144A53" w:rsidRDefault="007B1802" w:rsidP="00D50FE0">
            <w:pPr>
              <w:textAlignment w:val="center"/>
              <w:rPr>
                <w:color w:val="000000" w:themeColor="text1"/>
                <w:szCs w:val="21"/>
              </w:rPr>
            </w:pPr>
            <w:r w:rsidRPr="00144A53">
              <w:rPr>
                <w:color w:val="000000" w:themeColor="text1"/>
                <w:szCs w:val="21"/>
                <w:lang w:bidi="ar"/>
              </w:rPr>
              <w:t>CCTCTCTCTAATCAGCCCTCTG</w:t>
            </w:r>
          </w:p>
        </w:tc>
        <w:tc>
          <w:tcPr>
            <w:tcW w:w="3557" w:type="dxa"/>
            <w:tcBorders>
              <w:top w:val="nil"/>
              <w:left w:val="nil"/>
              <w:bottom w:val="nil"/>
              <w:right w:val="nil"/>
            </w:tcBorders>
            <w:vAlign w:val="center"/>
          </w:tcPr>
          <w:p w14:paraId="0C4C77F5" w14:textId="77777777" w:rsidR="007B1802" w:rsidRPr="00144A53" w:rsidRDefault="007B1802" w:rsidP="00D50FE0">
            <w:pPr>
              <w:textAlignment w:val="center"/>
              <w:rPr>
                <w:color w:val="000000" w:themeColor="text1"/>
                <w:szCs w:val="21"/>
              </w:rPr>
            </w:pPr>
            <w:r w:rsidRPr="00144A53">
              <w:rPr>
                <w:color w:val="000000" w:themeColor="text1"/>
                <w:szCs w:val="21"/>
                <w:lang w:bidi="ar"/>
              </w:rPr>
              <w:t>GAGGACCTGGGAGTAGATGAG</w:t>
            </w:r>
          </w:p>
        </w:tc>
      </w:tr>
      <w:tr w:rsidR="00144A53" w:rsidRPr="00144A53" w14:paraId="2B792661" w14:textId="77777777" w:rsidTr="00D50FE0">
        <w:tc>
          <w:tcPr>
            <w:tcW w:w="1562" w:type="dxa"/>
            <w:tcBorders>
              <w:top w:val="nil"/>
              <w:left w:val="nil"/>
              <w:bottom w:val="nil"/>
              <w:right w:val="nil"/>
            </w:tcBorders>
          </w:tcPr>
          <w:p w14:paraId="36B6113A" w14:textId="77777777" w:rsidR="007B1802" w:rsidRPr="00144A53" w:rsidRDefault="007B1802" w:rsidP="00D50FE0">
            <w:pPr>
              <w:rPr>
                <w:color w:val="000000" w:themeColor="text1"/>
                <w:szCs w:val="21"/>
              </w:rPr>
            </w:pPr>
            <w:r w:rsidRPr="00144A53">
              <w:rPr>
                <w:color w:val="000000" w:themeColor="text1"/>
                <w:szCs w:val="21"/>
              </w:rPr>
              <w:t>EPHA2</w:t>
            </w:r>
          </w:p>
        </w:tc>
        <w:tc>
          <w:tcPr>
            <w:tcW w:w="3670" w:type="dxa"/>
            <w:tcBorders>
              <w:top w:val="nil"/>
              <w:left w:val="nil"/>
              <w:bottom w:val="nil"/>
              <w:right w:val="nil"/>
            </w:tcBorders>
            <w:vAlign w:val="center"/>
          </w:tcPr>
          <w:p w14:paraId="01BFB36B" w14:textId="77777777" w:rsidR="007B1802" w:rsidRPr="00144A53" w:rsidRDefault="007B1802" w:rsidP="00D50FE0">
            <w:pPr>
              <w:textAlignment w:val="center"/>
              <w:rPr>
                <w:color w:val="000000" w:themeColor="text1"/>
                <w:szCs w:val="21"/>
                <w:lang w:bidi="ar"/>
              </w:rPr>
            </w:pPr>
            <w:r w:rsidRPr="00144A53">
              <w:rPr>
                <w:color w:val="000000" w:themeColor="text1"/>
                <w:szCs w:val="21"/>
                <w:lang w:bidi="ar"/>
              </w:rPr>
              <w:t>TGGCTCACACACCCGTATG</w:t>
            </w:r>
          </w:p>
        </w:tc>
        <w:tc>
          <w:tcPr>
            <w:tcW w:w="3557" w:type="dxa"/>
            <w:tcBorders>
              <w:top w:val="nil"/>
              <w:left w:val="nil"/>
              <w:bottom w:val="nil"/>
              <w:right w:val="nil"/>
            </w:tcBorders>
            <w:vAlign w:val="center"/>
          </w:tcPr>
          <w:p w14:paraId="3252BF14" w14:textId="77777777" w:rsidR="007B1802" w:rsidRPr="00144A53" w:rsidRDefault="007B1802" w:rsidP="00D50FE0">
            <w:pPr>
              <w:textAlignment w:val="center"/>
              <w:rPr>
                <w:color w:val="000000" w:themeColor="text1"/>
                <w:szCs w:val="21"/>
                <w:lang w:bidi="ar"/>
              </w:rPr>
            </w:pPr>
            <w:r w:rsidRPr="00144A53">
              <w:rPr>
                <w:color w:val="000000" w:themeColor="text1"/>
                <w:szCs w:val="21"/>
                <w:lang w:bidi="ar"/>
              </w:rPr>
              <w:t>GTCGCCAGACATCACGTTG</w:t>
            </w:r>
          </w:p>
        </w:tc>
      </w:tr>
      <w:tr w:rsidR="00144A53" w:rsidRPr="00144A53" w14:paraId="70AD730E" w14:textId="77777777" w:rsidTr="00D50FE0">
        <w:tc>
          <w:tcPr>
            <w:tcW w:w="1562" w:type="dxa"/>
            <w:tcBorders>
              <w:top w:val="nil"/>
              <w:left w:val="nil"/>
              <w:bottom w:val="nil"/>
              <w:right w:val="nil"/>
            </w:tcBorders>
          </w:tcPr>
          <w:p w14:paraId="61C225FC" w14:textId="77777777" w:rsidR="007B1802" w:rsidRPr="00144A53" w:rsidRDefault="007B1802" w:rsidP="00D50FE0">
            <w:pPr>
              <w:rPr>
                <w:color w:val="000000" w:themeColor="text1"/>
                <w:szCs w:val="21"/>
              </w:rPr>
            </w:pPr>
            <w:r w:rsidRPr="00144A53">
              <w:rPr>
                <w:color w:val="000000" w:themeColor="text1"/>
                <w:szCs w:val="21"/>
              </w:rPr>
              <w:t>AKT</w:t>
            </w:r>
          </w:p>
        </w:tc>
        <w:tc>
          <w:tcPr>
            <w:tcW w:w="3670" w:type="dxa"/>
            <w:tcBorders>
              <w:top w:val="nil"/>
              <w:left w:val="nil"/>
              <w:bottom w:val="nil"/>
              <w:right w:val="nil"/>
            </w:tcBorders>
            <w:vAlign w:val="center"/>
          </w:tcPr>
          <w:p w14:paraId="70383113" w14:textId="77777777" w:rsidR="007B1802" w:rsidRPr="00144A53" w:rsidRDefault="007B1802" w:rsidP="00D50FE0">
            <w:pPr>
              <w:textAlignment w:val="center"/>
              <w:rPr>
                <w:color w:val="000000" w:themeColor="text1"/>
                <w:szCs w:val="21"/>
                <w:lang w:bidi="ar"/>
              </w:rPr>
            </w:pPr>
            <w:r w:rsidRPr="00144A53">
              <w:rPr>
                <w:color w:val="000000" w:themeColor="text1"/>
                <w:szCs w:val="21"/>
                <w:lang w:bidi="ar"/>
              </w:rPr>
              <w:t>AGCGACGTGGCTATTGTGAAG</w:t>
            </w:r>
          </w:p>
        </w:tc>
        <w:tc>
          <w:tcPr>
            <w:tcW w:w="3557" w:type="dxa"/>
            <w:tcBorders>
              <w:top w:val="nil"/>
              <w:left w:val="nil"/>
              <w:bottom w:val="nil"/>
              <w:right w:val="nil"/>
            </w:tcBorders>
            <w:vAlign w:val="center"/>
          </w:tcPr>
          <w:p w14:paraId="36BFA1C2" w14:textId="77777777" w:rsidR="007B1802" w:rsidRPr="00144A53" w:rsidRDefault="007B1802" w:rsidP="00D50FE0">
            <w:pPr>
              <w:textAlignment w:val="center"/>
              <w:rPr>
                <w:color w:val="000000" w:themeColor="text1"/>
                <w:szCs w:val="21"/>
                <w:lang w:bidi="ar"/>
              </w:rPr>
            </w:pPr>
            <w:r w:rsidRPr="00144A53">
              <w:rPr>
                <w:color w:val="000000" w:themeColor="text1"/>
                <w:szCs w:val="21"/>
                <w:lang w:bidi="ar"/>
              </w:rPr>
              <w:t>GCCATCATTCTTGAGGAGGAAGT</w:t>
            </w:r>
          </w:p>
        </w:tc>
      </w:tr>
      <w:tr w:rsidR="00144A53" w:rsidRPr="00144A53" w14:paraId="2B943EF3" w14:textId="77777777" w:rsidTr="00D50FE0">
        <w:tc>
          <w:tcPr>
            <w:tcW w:w="1562" w:type="dxa"/>
            <w:tcBorders>
              <w:top w:val="nil"/>
              <w:left w:val="nil"/>
              <w:bottom w:val="nil"/>
              <w:right w:val="nil"/>
            </w:tcBorders>
          </w:tcPr>
          <w:p w14:paraId="4923C949" w14:textId="77777777" w:rsidR="007B1802" w:rsidRPr="00144A53" w:rsidRDefault="007B1802" w:rsidP="00D50FE0">
            <w:pPr>
              <w:rPr>
                <w:color w:val="000000" w:themeColor="text1"/>
                <w:szCs w:val="21"/>
              </w:rPr>
            </w:pPr>
            <w:r w:rsidRPr="00144A53">
              <w:rPr>
                <w:color w:val="000000" w:themeColor="text1"/>
                <w:szCs w:val="21"/>
              </w:rPr>
              <w:t>NFE2L2</w:t>
            </w:r>
          </w:p>
        </w:tc>
        <w:tc>
          <w:tcPr>
            <w:tcW w:w="3670" w:type="dxa"/>
            <w:tcBorders>
              <w:top w:val="nil"/>
              <w:left w:val="nil"/>
              <w:bottom w:val="nil"/>
              <w:right w:val="nil"/>
            </w:tcBorders>
            <w:vAlign w:val="center"/>
          </w:tcPr>
          <w:p w14:paraId="7CEDD041" w14:textId="77777777" w:rsidR="007B1802" w:rsidRPr="00144A53" w:rsidRDefault="007B1802" w:rsidP="00D50FE0">
            <w:pPr>
              <w:textAlignment w:val="center"/>
              <w:rPr>
                <w:color w:val="000000" w:themeColor="text1"/>
                <w:szCs w:val="21"/>
                <w:lang w:bidi="ar"/>
              </w:rPr>
            </w:pPr>
            <w:r w:rsidRPr="00144A53">
              <w:rPr>
                <w:color w:val="000000" w:themeColor="text1"/>
                <w:szCs w:val="21"/>
                <w:lang w:bidi="ar"/>
              </w:rPr>
              <w:t>TCAGCGACGGAAAGAGTATGA</w:t>
            </w:r>
          </w:p>
        </w:tc>
        <w:tc>
          <w:tcPr>
            <w:tcW w:w="3557" w:type="dxa"/>
            <w:tcBorders>
              <w:top w:val="nil"/>
              <w:left w:val="nil"/>
              <w:bottom w:val="nil"/>
              <w:right w:val="nil"/>
            </w:tcBorders>
            <w:vAlign w:val="center"/>
          </w:tcPr>
          <w:p w14:paraId="4A5B4C8B" w14:textId="77777777" w:rsidR="007B1802" w:rsidRPr="00144A53" w:rsidRDefault="007B1802" w:rsidP="00D50FE0">
            <w:pPr>
              <w:textAlignment w:val="center"/>
              <w:rPr>
                <w:color w:val="000000" w:themeColor="text1"/>
                <w:szCs w:val="21"/>
                <w:lang w:bidi="ar"/>
              </w:rPr>
            </w:pPr>
            <w:r w:rsidRPr="00144A53">
              <w:rPr>
                <w:color w:val="000000" w:themeColor="text1"/>
                <w:szCs w:val="21"/>
                <w:lang w:bidi="ar"/>
              </w:rPr>
              <w:t>CCACTGGTTTCTGACTGGATGT</w:t>
            </w:r>
          </w:p>
        </w:tc>
      </w:tr>
      <w:tr w:rsidR="007B1802" w:rsidRPr="00144A53" w14:paraId="749098B0" w14:textId="77777777" w:rsidTr="00D50FE0">
        <w:tc>
          <w:tcPr>
            <w:tcW w:w="1562" w:type="dxa"/>
            <w:tcBorders>
              <w:top w:val="nil"/>
              <w:left w:val="nil"/>
              <w:bottom w:val="single" w:sz="8" w:space="0" w:color="auto"/>
              <w:right w:val="nil"/>
            </w:tcBorders>
          </w:tcPr>
          <w:p w14:paraId="713FAA92" w14:textId="6EE17FD3" w:rsidR="007B1802" w:rsidRPr="00144A53" w:rsidRDefault="007B1802" w:rsidP="00D50FE0">
            <w:pPr>
              <w:rPr>
                <w:i/>
                <w:iCs/>
                <w:color w:val="000000" w:themeColor="text1"/>
                <w:szCs w:val="21"/>
              </w:rPr>
            </w:pPr>
            <w:r w:rsidRPr="00144A53">
              <w:rPr>
                <w:rFonts w:hint="eastAsia"/>
                <w:color w:val="000000" w:themeColor="text1"/>
                <w:szCs w:val="21"/>
              </w:rPr>
              <w:t>1</w:t>
            </w:r>
            <w:r w:rsidRPr="00144A53">
              <w:rPr>
                <w:color w:val="000000" w:themeColor="text1"/>
                <w:szCs w:val="21"/>
              </w:rPr>
              <w:t>6srRNA</w:t>
            </w:r>
          </w:p>
        </w:tc>
        <w:tc>
          <w:tcPr>
            <w:tcW w:w="3670" w:type="dxa"/>
            <w:tcBorders>
              <w:top w:val="nil"/>
              <w:left w:val="nil"/>
              <w:bottom w:val="single" w:sz="8" w:space="0" w:color="auto"/>
              <w:right w:val="nil"/>
            </w:tcBorders>
            <w:vAlign w:val="center"/>
          </w:tcPr>
          <w:p w14:paraId="327F8905" w14:textId="77777777" w:rsidR="007B1802" w:rsidRPr="00144A53" w:rsidRDefault="007B1802" w:rsidP="00D50FE0">
            <w:pPr>
              <w:textAlignment w:val="center"/>
              <w:rPr>
                <w:rFonts w:eastAsia="微软雅黑"/>
                <w:color w:val="000000" w:themeColor="text1"/>
                <w:szCs w:val="21"/>
                <w:lang w:bidi="ar"/>
              </w:rPr>
            </w:pPr>
            <w:r w:rsidRPr="00144A53">
              <w:rPr>
                <w:rFonts w:eastAsia="微软雅黑"/>
                <w:color w:val="000000" w:themeColor="text1"/>
                <w:szCs w:val="21"/>
                <w:lang w:bidi="ar"/>
              </w:rPr>
              <w:t>TACGGRAGGCAGCAG</w:t>
            </w:r>
          </w:p>
        </w:tc>
        <w:tc>
          <w:tcPr>
            <w:tcW w:w="3557" w:type="dxa"/>
            <w:tcBorders>
              <w:top w:val="nil"/>
              <w:left w:val="nil"/>
              <w:bottom w:val="single" w:sz="8" w:space="0" w:color="auto"/>
              <w:right w:val="nil"/>
            </w:tcBorders>
            <w:vAlign w:val="center"/>
          </w:tcPr>
          <w:p w14:paraId="61B84088" w14:textId="77777777" w:rsidR="007B1802" w:rsidRPr="00144A53" w:rsidRDefault="007B1802" w:rsidP="00D50FE0">
            <w:pPr>
              <w:textAlignment w:val="center"/>
              <w:rPr>
                <w:rFonts w:eastAsia="微软雅黑"/>
                <w:color w:val="000000" w:themeColor="text1"/>
                <w:szCs w:val="21"/>
                <w:lang w:bidi="ar"/>
              </w:rPr>
            </w:pPr>
            <w:r w:rsidRPr="00144A53">
              <w:rPr>
                <w:rFonts w:eastAsia="微软雅黑"/>
                <w:color w:val="000000" w:themeColor="text1"/>
                <w:szCs w:val="21"/>
                <w:lang w:bidi="ar"/>
              </w:rPr>
              <w:t>AGGGTATCTAATCCT</w:t>
            </w:r>
          </w:p>
        </w:tc>
      </w:tr>
    </w:tbl>
    <w:p w14:paraId="6A3E9EBB" w14:textId="77777777" w:rsidR="007B1802" w:rsidRPr="00144A53" w:rsidRDefault="007B1802" w:rsidP="007B1802">
      <w:pPr>
        <w:rPr>
          <w:color w:val="000000" w:themeColor="text1"/>
          <w:lang w:eastAsia="zh-CN"/>
        </w:rPr>
      </w:pPr>
    </w:p>
    <w:p w14:paraId="7F5C6371" w14:textId="77777777" w:rsidR="007B1802" w:rsidRPr="00144A53" w:rsidRDefault="007B1802" w:rsidP="007B1802">
      <w:pPr>
        <w:pStyle w:val="EndNoteBibliography"/>
        <w:ind w:left="720" w:hanging="720"/>
        <w:rPr>
          <w:color w:val="000000" w:themeColor="text1"/>
        </w:rPr>
      </w:pPr>
      <w:r w:rsidRPr="00144A53">
        <w:rPr>
          <w:color w:val="000000" w:themeColor="text1"/>
        </w:rPr>
        <w:fldChar w:fldCharType="begin"/>
      </w:r>
      <w:r w:rsidRPr="00144A53">
        <w:rPr>
          <w:color w:val="000000" w:themeColor="text1"/>
        </w:rPr>
        <w:instrText xml:space="preserve"> ADDIN EN.REFLIST </w:instrText>
      </w:r>
      <w:r w:rsidRPr="00144A53">
        <w:rPr>
          <w:color w:val="000000" w:themeColor="text1"/>
        </w:rPr>
        <w:fldChar w:fldCharType="separate"/>
      </w:r>
      <w:r w:rsidRPr="00144A53">
        <w:rPr>
          <w:color w:val="000000" w:themeColor="text1"/>
        </w:rPr>
        <w:t>Leite FRM, Peres KG, Do LG, Demarco FF, Peres MAA. 2017. Prediction of periodontitis occurrence: Influence of classification and sociodemographic and general health information. Journal of periodontology. 88(8):731-743.</w:t>
      </w:r>
    </w:p>
    <w:p w14:paraId="165FDB64" w14:textId="77777777" w:rsidR="007B1802" w:rsidRPr="00144A53" w:rsidRDefault="007B1802" w:rsidP="007B1802">
      <w:pPr>
        <w:pStyle w:val="EndNoteBibliography"/>
        <w:ind w:left="720" w:hanging="720"/>
        <w:rPr>
          <w:color w:val="000000" w:themeColor="text1"/>
        </w:rPr>
      </w:pPr>
      <w:r w:rsidRPr="00144A53">
        <w:rPr>
          <w:color w:val="000000" w:themeColor="text1"/>
        </w:rPr>
        <w:t>Marchesan J, Girnary MS, Jing L, Miao MZ, Zhang S, Sun L, Morelli T, Schoenfisch MH, Inohara N, Offenbacher S et al. 2018. An experimental murine model to study periodontitis. Nature protocols. 13(10):2247-2267.</w:t>
      </w:r>
    </w:p>
    <w:p w14:paraId="7670502F" w14:textId="77777777" w:rsidR="007B1802" w:rsidRPr="00144A53" w:rsidRDefault="007B1802" w:rsidP="007B1802">
      <w:pPr>
        <w:pStyle w:val="EndNoteBibliography"/>
        <w:ind w:left="720" w:hanging="720"/>
        <w:rPr>
          <w:color w:val="000000" w:themeColor="text1"/>
        </w:rPr>
      </w:pPr>
      <w:r w:rsidRPr="00144A53">
        <w:rPr>
          <w:color w:val="000000" w:themeColor="text1"/>
        </w:rPr>
        <w:t>Miyajima S, Naruse K, Kobayashi Y, Nakamura N, Nishikawa T, Adachi K, Suzuki Y, Kikuchi T, Mitani A, Mizutani M et al. 2014. Periodontitis-activated monocytes/macrophages cause aortic inflammation. Sci Rep. 4:5171.</w:t>
      </w:r>
    </w:p>
    <w:p w14:paraId="4DC11881" w14:textId="77777777" w:rsidR="007B1802" w:rsidRPr="00144A53" w:rsidRDefault="007B1802" w:rsidP="007B1802">
      <w:pPr>
        <w:pStyle w:val="EndNoteBibliography"/>
        <w:ind w:left="720" w:hanging="720"/>
        <w:rPr>
          <w:color w:val="000000" w:themeColor="text1"/>
        </w:rPr>
      </w:pPr>
      <w:r w:rsidRPr="00144A53">
        <w:rPr>
          <w:color w:val="000000" w:themeColor="text1"/>
        </w:rPr>
        <w:t>Morelli T, Moss KL, Preisser JS, Beck JD, Divaris K, Wu D, Offenbacher S. 2018. Periodontal profile classes predict periodontal disease progression and tooth loss. Journal of periodontology. 89(2):148-156.</w:t>
      </w:r>
    </w:p>
    <w:p w14:paraId="03D5E967" w14:textId="77777777" w:rsidR="007B1802" w:rsidRPr="00144A53" w:rsidRDefault="007B1802" w:rsidP="007B1802">
      <w:pPr>
        <w:pStyle w:val="EndNoteBibliography"/>
        <w:ind w:left="720" w:hanging="720"/>
        <w:rPr>
          <w:color w:val="000000" w:themeColor="text1"/>
        </w:rPr>
      </w:pPr>
      <w:r w:rsidRPr="00144A53">
        <w:rPr>
          <w:color w:val="000000" w:themeColor="text1"/>
        </w:rPr>
        <w:t>Rekhi UR, Catunda RQ, Alexiou M, Sharma M, Fong A, Febbraio M. 2021. Impact of a cd36 inhibitor on porphyromonas gingivalis mediated atherosclerosis. Arch Oral Biol. 126:105129.</w:t>
      </w:r>
    </w:p>
    <w:p w14:paraId="58F1AED1" w14:textId="64F7B795" w:rsidR="00DE23E8" w:rsidRPr="00144A53" w:rsidRDefault="007B1802" w:rsidP="007B1802">
      <w:pPr>
        <w:keepNext/>
        <w:rPr>
          <w:rFonts w:cs="Times New Roman"/>
          <w:color w:val="000000" w:themeColor="text1"/>
          <w:szCs w:val="24"/>
          <w:lang w:eastAsia="zh-CN"/>
        </w:rPr>
      </w:pPr>
      <w:r w:rsidRPr="00144A53">
        <w:rPr>
          <w:color w:val="000000" w:themeColor="text1"/>
        </w:rPr>
        <w:fldChar w:fldCharType="end"/>
      </w:r>
    </w:p>
    <w:sectPr w:rsidR="00DE23E8" w:rsidRPr="00144A53" w:rsidSect="009B567F">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D9D73" w14:textId="77777777" w:rsidR="00333135" w:rsidRDefault="00333135" w:rsidP="00117666">
      <w:pPr>
        <w:spacing w:after="0"/>
      </w:pPr>
      <w:r>
        <w:separator/>
      </w:r>
    </w:p>
  </w:endnote>
  <w:endnote w:type="continuationSeparator" w:id="0">
    <w:p w14:paraId="03EBEFD3" w14:textId="77777777" w:rsidR="00333135" w:rsidRDefault="0033313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3C674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3C674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3C674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3C674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3C674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3C674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BC6EF" w14:textId="77777777" w:rsidR="00333135" w:rsidRDefault="00333135" w:rsidP="00117666">
      <w:pPr>
        <w:spacing w:after="0"/>
      </w:pPr>
      <w:r>
        <w:separator/>
      </w:r>
    </w:p>
  </w:footnote>
  <w:footnote w:type="continuationSeparator" w:id="0">
    <w:p w14:paraId="694F9B1C" w14:textId="77777777" w:rsidR="00333135" w:rsidRDefault="0033313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3C674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3C674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2002923295">
    <w:abstractNumId w:val="2"/>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21" w16cid:durableId="414516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2B15"/>
    <w:rsid w:val="00117666"/>
    <w:rsid w:val="00144A53"/>
    <w:rsid w:val="001549D3"/>
    <w:rsid w:val="00160065"/>
    <w:rsid w:val="00177D84"/>
    <w:rsid w:val="002405F2"/>
    <w:rsid w:val="00267D18"/>
    <w:rsid w:val="002868E2"/>
    <w:rsid w:val="002869C3"/>
    <w:rsid w:val="002936E4"/>
    <w:rsid w:val="002B4A57"/>
    <w:rsid w:val="002C74CA"/>
    <w:rsid w:val="00333135"/>
    <w:rsid w:val="003544FB"/>
    <w:rsid w:val="003C674A"/>
    <w:rsid w:val="003D2F2D"/>
    <w:rsid w:val="00401590"/>
    <w:rsid w:val="00447801"/>
    <w:rsid w:val="00452E9C"/>
    <w:rsid w:val="004735C8"/>
    <w:rsid w:val="004961FF"/>
    <w:rsid w:val="00512789"/>
    <w:rsid w:val="00517A89"/>
    <w:rsid w:val="005250F2"/>
    <w:rsid w:val="005344B6"/>
    <w:rsid w:val="00554BBD"/>
    <w:rsid w:val="00593EEA"/>
    <w:rsid w:val="005A5EEE"/>
    <w:rsid w:val="006375C7"/>
    <w:rsid w:val="00647BDA"/>
    <w:rsid w:val="00654E8F"/>
    <w:rsid w:val="00660D05"/>
    <w:rsid w:val="006820B1"/>
    <w:rsid w:val="006B7D14"/>
    <w:rsid w:val="00701727"/>
    <w:rsid w:val="0070566C"/>
    <w:rsid w:val="00714C50"/>
    <w:rsid w:val="00725A7D"/>
    <w:rsid w:val="007501BE"/>
    <w:rsid w:val="00790BB3"/>
    <w:rsid w:val="007B1802"/>
    <w:rsid w:val="007C206C"/>
    <w:rsid w:val="00803D24"/>
    <w:rsid w:val="00817DD6"/>
    <w:rsid w:val="008572EA"/>
    <w:rsid w:val="00885156"/>
    <w:rsid w:val="009151AA"/>
    <w:rsid w:val="0093429D"/>
    <w:rsid w:val="00943573"/>
    <w:rsid w:val="00970F7D"/>
    <w:rsid w:val="00980106"/>
    <w:rsid w:val="00994A3D"/>
    <w:rsid w:val="009B567F"/>
    <w:rsid w:val="009C2B12"/>
    <w:rsid w:val="009C70F3"/>
    <w:rsid w:val="00A174D9"/>
    <w:rsid w:val="00A569CD"/>
    <w:rsid w:val="00A719E0"/>
    <w:rsid w:val="00AA7B0B"/>
    <w:rsid w:val="00AB6715"/>
    <w:rsid w:val="00B1671E"/>
    <w:rsid w:val="00B25EB8"/>
    <w:rsid w:val="00B354E1"/>
    <w:rsid w:val="00B37F4D"/>
    <w:rsid w:val="00B456F3"/>
    <w:rsid w:val="00C52A7B"/>
    <w:rsid w:val="00C56BAF"/>
    <w:rsid w:val="00C679AA"/>
    <w:rsid w:val="00C75972"/>
    <w:rsid w:val="00CC0A3A"/>
    <w:rsid w:val="00CD066B"/>
    <w:rsid w:val="00CE4FEE"/>
    <w:rsid w:val="00D869D9"/>
    <w:rsid w:val="00DB59C3"/>
    <w:rsid w:val="00DC259A"/>
    <w:rsid w:val="00DE23E8"/>
    <w:rsid w:val="00DE426F"/>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EndNoteBibliography">
    <w:name w:val="EndNote Bibliography"/>
    <w:basedOn w:val="a0"/>
    <w:link w:val="EndNoteBibliography0"/>
    <w:rsid w:val="007B1802"/>
    <w:pPr>
      <w:widowControl w:val="0"/>
      <w:spacing w:before="0" w:after="0"/>
      <w:jc w:val="both"/>
    </w:pPr>
    <w:rPr>
      <w:rFonts w:eastAsia="宋体" w:cs="Times New Roman"/>
      <w:noProof/>
      <w:kern w:val="2"/>
      <w:sz w:val="20"/>
      <w:szCs w:val="24"/>
      <w:lang w:eastAsia="zh-CN"/>
    </w:rPr>
  </w:style>
  <w:style w:type="character" w:customStyle="1" w:styleId="EndNoteBibliography0">
    <w:name w:val="EndNote Bibliography 字符"/>
    <w:link w:val="EndNoteBibliography"/>
    <w:rsid w:val="007B1802"/>
    <w:rPr>
      <w:rFonts w:ascii="Times New Roman" w:eastAsia="宋体" w:hAnsi="Times New Roman" w:cs="Times New Roman"/>
      <w:noProof/>
      <w:kern w:val="2"/>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0</TotalTime>
  <Pages>6</Pages>
  <Words>4994</Words>
  <Characters>8590</Characters>
  <Application>Microsoft Office Word</Application>
  <DocSecurity>0</DocSecurity>
  <Lines>306</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凯华 骆</cp:lastModifiedBy>
  <cp:revision>2</cp:revision>
  <cp:lastPrinted>2013-10-03T12:51:00Z</cp:lastPrinted>
  <dcterms:created xsi:type="dcterms:W3CDTF">2025-02-25T16:35:00Z</dcterms:created>
  <dcterms:modified xsi:type="dcterms:W3CDTF">2025-02-25T16:35:00Z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