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1379A">
      <w:pPr>
        <w:jc w:val="center"/>
        <w:outlineLvl w:val="0"/>
        <w:rPr>
          <w:rFonts w:hint="default" w:ascii="Times New Roman" w:hAnsi="Times New Roman" w:cs="Times New Roman"/>
          <w:b/>
          <w:sz w:val="24"/>
          <w:szCs w:val="24"/>
        </w:rPr>
      </w:pPr>
      <w:r>
        <w:rPr>
          <w:rFonts w:hint="default" w:ascii="Times New Roman" w:hAnsi="Times New Roman" w:cs="Times New Roman"/>
          <w:b/>
          <w:sz w:val="24"/>
          <w:szCs w:val="24"/>
        </w:rPr>
        <w:t>Supporting information for</w:t>
      </w:r>
    </w:p>
    <w:p w14:paraId="1BAF5995">
      <w:pPr>
        <w:spacing w:before="312" w:beforeLines="100" w:after="143" w:line="240" w:lineRule="auto"/>
        <w:ind w:left="-424" w:leftChars="-202" w:right="0" w:rightChars="0" w:firstLine="320"/>
        <w:jc w:val="center"/>
        <w:outlineLvl w:val="0"/>
        <w:rPr>
          <w:rFonts w:hint="default" w:ascii="Times New Roman" w:hAnsi="Times New Roman" w:cs="Times New Roman"/>
          <w:sz w:val="24"/>
          <w:szCs w:val="24"/>
        </w:rPr>
      </w:pPr>
      <w:bookmarkStart w:id="0" w:name="OLE_LINK3"/>
      <w:bookmarkStart w:id="1" w:name="OLE_LINK50"/>
      <w:bookmarkStart w:id="2" w:name="OLE_LINK49"/>
      <w:bookmarkStart w:id="3" w:name="OLE_LINK106"/>
      <w:r>
        <w:rPr>
          <w:rFonts w:hint="default" w:ascii="Times New Roman" w:hAnsi="Times New Roman" w:cs="Times New Roman"/>
          <w:sz w:val="24"/>
          <w:szCs w:val="24"/>
        </w:rPr>
        <w:t>Hydrological connectivity shape the nitrogen pollution sources and microbial community structure in a river-lake connected system</w:t>
      </w:r>
    </w:p>
    <w:p w14:paraId="0D09C89B">
      <w:pPr>
        <w:spacing w:before="312" w:beforeLines="100" w:after="143" w:line="240" w:lineRule="auto"/>
        <w:ind w:left="-424" w:leftChars="-202" w:right="0" w:rightChars="0" w:firstLine="320"/>
        <w:jc w:val="center"/>
        <w:outlineLvl w:val="0"/>
        <w:rPr>
          <w:rFonts w:hint="default" w:ascii="Times New Roman" w:hAnsi="Times New Roman" w:eastAsia="等线" w:cs="Times New Roman"/>
          <w:sz w:val="16"/>
          <w:szCs w:val="16"/>
        </w:rPr>
      </w:pPr>
      <w:r>
        <w:rPr>
          <w:rFonts w:hint="default" w:ascii="Times New Roman" w:hAnsi="Times New Roman" w:eastAsia="等线" w:cs="Times New Roman"/>
          <w:sz w:val="16"/>
          <w:szCs w:val="16"/>
        </w:rPr>
        <w:t>Haoda Chen</w:t>
      </w:r>
      <w:r>
        <w:rPr>
          <w:rFonts w:hint="default" w:ascii="Times New Roman" w:hAnsi="Times New Roman" w:eastAsia="等线" w:cs="Times New Roman"/>
          <w:sz w:val="16"/>
          <w:szCs w:val="16"/>
          <w:vertAlign w:val="superscript"/>
        </w:rPr>
        <w:t>1</w:t>
      </w:r>
      <w:r>
        <w:rPr>
          <w:rFonts w:hint="default" w:ascii="Times New Roman" w:hAnsi="Times New Roman" w:eastAsia="等线" w:cs="Times New Roman"/>
          <w:sz w:val="16"/>
          <w:szCs w:val="16"/>
        </w:rPr>
        <w:t>, Lulu Zhang*</w:t>
      </w:r>
      <w:r>
        <w:rPr>
          <w:rFonts w:hint="default" w:ascii="Times New Roman" w:hAnsi="Times New Roman" w:eastAsia="等线" w:cs="Times New Roman"/>
          <w:sz w:val="16"/>
          <w:szCs w:val="16"/>
          <w:vertAlign w:val="superscript"/>
        </w:rPr>
        <w:t>1, 2</w:t>
      </w:r>
      <w:r>
        <w:rPr>
          <w:rFonts w:hint="default" w:ascii="Times New Roman" w:hAnsi="Times New Roman" w:eastAsia="等线" w:cs="Times New Roman"/>
          <w:sz w:val="16"/>
          <w:szCs w:val="16"/>
        </w:rPr>
        <w:t xml:space="preserve"> Zishuai Zheng</w:t>
      </w:r>
      <w:r>
        <w:rPr>
          <w:rFonts w:hint="default" w:ascii="Times New Roman" w:hAnsi="Times New Roman" w:eastAsia="等线" w:cs="Times New Roman"/>
          <w:sz w:val="16"/>
          <w:szCs w:val="16"/>
          <w:vertAlign w:val="superscript"/>
        </w:rPr>
        <w:t>1</w:t>
      </w:r>
      <w:r>
        <w:rPr>
          <w:rFonts w:hint="default" w:ascii="Times New Roman" w:hAnsi="Times New Roman" w:eastAsia="等线" w:cs="Times New Roman"/>
          <w:sz w:val="16"/>
          <w:szCs w:val="16"/>
        </w:rPr>
        <w:t>, Yuang Gao</w:t>
      </w:r>
      <w:r>
        <w:rPr>
          <w:rFonts w:hint="default" w:ascii="Times New Roman" w:hAnsi="Times New Roman" w:eastAsia="等线" w:cs="Times New Roman"/>
          <w:sz w:val="16"/>
          <w:szCs w:val="16"/>
          <w:vertAlign w:val="superscript"/>
        </w:rPr>
        <w:t>1</w:t>
      </w:r>
      <w:r>
        <w:rPr>
          <w:rFonts w:hint="default" w:ascii="Times New Roman" w:hAnsi="Times New Roman" w:eastAsia="等线" w:cs="Times New Roman"/>
          <w:sz w:val="16"/>
          <w:szCs w:val="16"/>
        </w:rPr>
        <w:t>, Yu Zhao*</w:t>
      </w:r>
      <w:r>
        <w:rPr>
          <w:rFonts w:hint="default" w:ascii="Times New Roman" w:hAnsi="Times New Roman" w:eastAsia="等线" w:cs="Times New Roman"/>
          <w:sz w:val="16"/>
          <w:szCs w:val="16"/>
          <w:vertAlign w:val="superscript"/>
        </w:rPr>
        <w:t>3</w:t>
      </w:r>
    </w:p>
    <w:bookmarkEnd w:id="0"/>
    <w:bookmarkEnd w:id="1"/>
    <w:bookmarkEnd w:id="2"/>
    <w:bookmarkEnd w:id="3"/>
    <w:p w14:paraId="7DC1ABC4">
      <w:pPr>
        <w:numPr>
          <w:ilvl w:val="0"/>
          <w:numId w:val="1"/>
        </w:numPr>
        <w:suppressAutoHyphens/>
        <w:spacing w:before="240" w:after="143" w:line="240" w:lineRule="auto"/>
        <w:ind w:right="-334" w:rightChars="0"/>
        <w:jc w:val="center"/>
        <w:rPr>
          <w:rFonts w:hint="default" w:ascii="Times New Roman" w:hAnsi="Times New Roman" w:cs="Times New Roman"/>
          <w:sz w:val="16"/>
          <w:szCs w:val="16"/>
        </w:rPr>
      </w:pPr>
      <w:r>
        <w:rPr>
          <w:rFonts w:hint="default" w:ascii="Times New Roman" w:hAnsi="Times New Roman" w:cs="Times New Roman"/>
          <w:sz w:val="16"/>
          <w:szCs w:val="16"/>
        </w:rPr>
        <w:t>College of Environment Science and Engineering, Hebei University of Science and Technology, 050000, Shijiazhuang, Hebei Province, China</w:t>
      </w:r>
    </w:p>
    <w:p w14:paraId="030C2E9E">
      <w:pPr>
        <w:numPr>
          <w:ilvl w:val="0"/>
          <w:numId w:val="1"/>
        </w:numPr>
        <w:suppressAutoHyphens/>
        <w:spacing w:before="240" w:after="143" w:line="240" w:lineRule="auto"/>
        <w:ind w:right="-334" w:rightChars="0"/>
        <w:jc w:val="center"/>
        <w:rPr>
          <w:rFonts w:hint="default" w:ascii="Times New Roman" w:hAnsi="Times New Roman" w:cs="Times New Roman"/>
          <w:sz w:val="16"/>
          <w:szCs w:val="16"/>
        </w:rPr>
      </w:pPr>
      <w:r>
        <w:rPr>
          <w:rFonts w:hint="default" w:ascii="Times New Roman" w:hAnsi="Times New Roman" w:cs="Times New Roman"/>
          <w:sz w:val="16"/>
          <w:szCs w:val="16"/>
        </w:rPr>
        <w:t>Biotechnology Laboratory for Pollution Control in Hebei Province, Shijiazhuang 050018, China</w:t>
      </w:r>
    </w:p>
    <w:p w14:paraId="3FEDBA8F">
      <w:pPr>
        <w:numPr>
          <w:ilvl w:val="0"/>
          <w:numId w:val="1"/>
        </w:numPr>
        <w:suppressAutoHyphens/>
        <w:spacing w:before="240" w:after="143" w:line="240" w:lineRule="auto"/>
        <w:ind w:right="-334" w:rightChars="0"/>
        <w:jc w:val="center"/>
        <w:rPr>
          <w:rFonts w:hint="default" w:ascii="Times New Roman" w:hAnsi="Times New Roman" w:cs="Times New Roman"/>
          <w:sz w:val="16"/>
          <w:szCs w:val="16"/>
        </w:rPr>
      </w:pPr>
      <w:r>
        <w:rPr>
          <w:rFonts w:hint="default" w:ascii="Times New Roman" w:hAnsi="Times New Roman" w:cs="Times New Roman"/>
          <w:sz w:val="16"/>
          <w:szCs w:val="16"/>
        </w:rPr>
        <w:t>State Key Laboratory of Environmental Aquatic Chemistry, Research Center for Eco-Environmental Sciences, Chinese Academy of Science, Beijing, 100085, China</w:t>
      </w:r>
    </w:p>
    <w:p w14:paraId="5D74D8D9">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639E7415">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115B1F71">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26190ACB">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5D39D76E">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3BF07CF3">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4650EAD4">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0A5FEFA5">
      <w:pPr>
        <w:numPr>
          <w:ilvl w:val="0"/>
          <w:numId w:val="0"/>
        </w:numPr>
        <w:suppressAutoHyphens/>
        <w:spacing w:before="240" w:after="143" w:line="240" w:lineRule="auto"/>
        <w:ind w:leftChars="0" w:right="-334" w:rightChars="0"/>
        <w:jc w:val="both"/>
        <w:rPr>
          <w:rFonts w:hint="default" w:ascii="Times New Roman" w:hAnsi="Times New Roman" w:cs="Times New Roman"/>
          <w:sz w:val="16"/>
          <w:szCs w:val="16"/>
        </w:rPr>
      </w:pPr>
    </w:p>
    <w:p w14:paraId="4E4FA913">
      <w:pPr>
        <w:spacing w:line="360" w:lineRule="auto"/>
        <w:rPr>
          <w:rFonts w:ascii="Times New Roman" w:hAnsi="Times New Roman" w:eastAsia="宋体" w:cs="Times New Roman"/>
          <w:b/>
          <w:kern w:val="21"/>
          <w:sz w:val="22"/>
          <w:szCs w:val="21"/>
        </w:rPr>
      </w:pPr>
      <w:r>
        <w:rPr>
          <w:rFonts w:ascii="Times New Roman" w:hAnsi="Times New Roman" w:eastAsia="宋体" w:cs="Times New Roman"/>
          <w:b/>
          <w:kern w:val="21"/>
          <w:sz w:val="22"/>
          <w:szCs w:val="21"/>
        </w:rPr>
        <w:t>* Corresponding Authors:</w:t>
      </w:r>
    </w:p>
    <w:p w14:paraId="52ACE192">
      <w:pPr>
        <w:spacing w:line="360" w:lineRule="auto"/>
        <w:ind w:firstLine="440" w:firstLineChars="200"/>
        <w:rPr>
          <w:rFonts w:ascii="Times New Roman" w:hAnsi="Times New Roman" w:eastAsia="宋体" w:cs="Times New Roman"/>
          <w:kern w:val="21"/>
          <w:sz w:val="22"/>
        </w:rPr>
      </w:pPr>
      <w:r>
        <w:rPr>
          <w:rFonts w:ascii="Times New Roman" w:hAnsi="Times New Roman" w:eastAsia="宋体" w:cs="Times New Roman"/>
          <w:kern w:val="21"/>
          <w:sz w:val="22"/>
        </w:rPr>
        <w:t>Lulu Zhang</w:t>
      </w:r>
    </w:p>
    <w:p w14:paraId="7DB4E56A">
      <w:pPr>
        <w:spacing w:line="360" w:lineRule="auto"/>
        <w:rPr>
          <w:rFonts w:ascii="Times New Roman" w:hAnsi="Times New Roman" w:eastAsia="宋体" w:cs="Times New Roman"/>
          <w:kern w:val="21"/>
          <w:sz w:val="22"/>
        </w:rPr>
      </w:pPr>
      <w:r>
        <w:rPr>
          <w:rFonts w:ascii="Times New Roman" w:hAnsi="Times New Roman" w:eastAsia="宋体" w:cs="Times New Roman"/>
          <w:kern w:val="21"/>
          <w:sz w:val="22"/>
        </w:rPr>
        <w:t xml:space="preserve">College of Environment Science and Engineering, Hebei University of Science and Technology, 050000, Shijiazhuang, Hebei Province, China; </w:t>
      </w:r>
    </w:p>
    <w:p w14:paraId="2900A73D">
      <w:pPr>
        <w:spacing w:line="480" w:lineRule="auto"/>
        <w:ind w:firstLine="440" w:firstLineChars="200"/>
        <w:rPr>
          <w:rFonts w:ascii="Times New Roman" w:hAnsi="Times New Roman" w:eastAsia="宋体" w:cs="Times New Roman"/>
          <w:kern w:val="21"/>
          <w:sz w:val="22"/>
        </w:rPr>
      </w:pPr>
      <w:r>
        <w:rPr>
          <w:rFonts w:ascii="Times New Roman" w:hAnsi="Times New Roman" w:eastAsia="宋体" w:cs="Times New Roman"/>
          <w:kern w:val="21"/>
          <w:sz w:val="22"/>
        </w:rPr>
        <w:t xml:space="preserve">E-mail: </w:t>
      </w:r>
      <w:r>
        <w:fldChar w:fldCharType="begin"/>
      </w:r>
      <w:r>
        <w:instrText xml:space="preserve"> HYPERLINK "mailto:zhanglulu19850703@163.com" </w:instrText>
      </w:r>
      <w:r>
        <w:fldChar w:fldCharType="separate"/>
      </w:r>
      <w:r>
        <w:rPr>
          <w:rStyle w:val="6"/>
          <w:rFonts w:ascii="Times New Roman" w:hAnsi="Times New Roman" w:cs="Times New Roman"/>
          <w:color w:val="auto"/>
          <w:sz w:val="22"/>
        </w:rPr>
        <w:t>zhanglulu19850703@163.com</w:t>
      </w:r>
      <w:r>
        <w:rPr>
          <w:rStyle w:val="6"/>
          <w:rFonts w:ascii="Times New Roman" w:hAnsi="Times New Roman" w:cs="Times New Roman"/>
          <w:color w:val="auto"/>
          <w:sz w:val="22"/>
        </w:rPr>
        <w:fldChar w:fldCharType="end"/>
      </w:r>
      <w:r>
        <w:rPr>
          <w:rFonts w:ascii="Times New Roman" w:hAnsi="Times New Roman" w:eastAsia="宋体" w:cs="Times New Roman"/>
          <w:kern w:val="21"/>
          <w:sz w:val="22"/>
        </w:rPr>
        <w:t>;</w:t>
      </w:r>
    </w:p>
    <w:p w14:paraId="50E5A2FB">
      <w:pPr>
        <w:spacing w:line="360" w:lineRule="auto"/>
        <w:ind w:firstLine="440" w:firstLineChars="200"/>
        <w:rPr>
          <w:rFonts w:hint="eastAsia" w:ascii="Times New Roman" w:hAnsi="Times New Roman" w:eastAsia="宋体" w:cs="Times New Roman"/>
          <w:kern w:val="21"/>
          <w:sz w:val="22"/>
          <w:lang w:val="en-US" w:eastAsia="zh-CN"/>
        </w:rPr>
      </w:pPr>
      <w:r>
        <w:rPr>
          <w:rFonts w:hint="eastAsia" w:ascii="Times New Roman" w:hAnsi="Times New Roman" w:eastAsia="宋体" w:cs="Times New Roman"/>
          <w:kern w:val="21"/>
          <w:sz w:val="22"/>
          <w:lang w:val="en-US" w:eastAsia="zh-CN"/>
        </w:rPr>
        <w:t>Yu Zhao</w:t>
      </w:r>
    </w:p>
    <w:p w14:paraId="5E84AA32">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Times New Roman" w:hAnsi="Times New Roman" w:eastAsia="宋体" w:cs="Times New Roman"/>
          <w:kern w:val="21"/>
          <w:sz w:val="22"/>
        </w:rPr>
      </w:pPr>
      <w:r>
        <w:rPr>
          <w:rFonts w:hint="eastAsia" w:ascii="Times New Roman" w:hAnsi="Times New Roman" w:eastAsia="宋体" w:cs="Times New Roman"/>
          <w:kern w:val="21"/>
          <w:sz w:val="22"/>
        </w:rPr>
        <w:t>State Key Laboratory of Environmental Aquatic Chemistry, Research Center for Eco-Environmental Sciences, Chinese Academy of Science, Beijing, 100085, China</w:t>
      </w:r>
    </w:p>
    <w:p w14:paraId="1D22C8E2">
      <w:pPr>
        <w:numPr>
          <w:ilvl w:val="0"/>
          <w:numId w:val="2"/>
        </w:numPr>
        <w:spacing w:line="480" w:lineRule="auto"/>
        <w:ind w:firstLine="440" w:firstLineChars="200"/>
        <w:rPr>
          <w:rFonts w:hint="eastAsia" w:ascii="Times New Roman" w:hAnsi="Times New Roman" w:eastAsia="宋体" w:cs="Times New Roman"/>
          <w:kern w:val="21"/>
          <w:sz w:val="22"/>
          <w:lang w:eastAsia="zh-CN"/>
        </w:rPr>
      </w:pPr>
      <w:r>
        <w:rPr>
          <w:rFonts w:ascii="Times New Roman" w:hAnsi="Times New Roman" w:eastAsia="宋体" w:cs="Times New Roman"/>
          <w:kern w:val="21"/>
          <w:sz w:val="22"/>
        </w:rPr>
        <w:t xml:space="preserve">mail: </w:t>
      </w:r>
      <w:r>
        <w:rPr>
          <w:rFonts w:hint="default" w:ascii="Times New Roman" w:hAnsi="Times New Roman" w:cs="Times New Roman"/>
        </w:rPr>
        <w:fldChar w:fldCharType="begin"/>
      </w:r>
      <w:r>
        <w:rPr>
          <w:rFonts w:hint="default" w:ascii="Times New Roman" w:hAnsi="Times New Roman" w:cs="Times New Roman"/>
        </w:rPr>
        <w:instrText xml:space="preserve"> HYPERLINK "mailto:yuzhao@rcees.ac.cn;" </w:instrText>
      </w:r>
      <w:r>
        <w:rPr>
          <w:rFonts w:hint="default" w:ascii="Times New Roman" w:hAnsi="Times New Roman" w:cs="Times New Roman"/>
        </w:rPr>
        <w:fldChar w:fldCharType="separate"/>
      </w:r>
      <w:r>
        <w:rPr>
          <w:rStyle w:val="6"/>
          <w:rFonts w:hint="default" w:ascii="Times New Roman" w:hAnsi="Times New Roman" w:cs="Times New Roman"/>
        </w:rPr>
        <w:t>yuzhao@rcees.ac.cn</w:t>
      </w:r>
      <w:r>
        <w:rPr>
          <w:rStyle w:val="6"/>
          <w:rFonts w:ascii="Times New Roman" w:hAnsi="Times New Roman" w:eastAsia="宋体" w:cs="Times New Roman"/>
          <w:kern w:val="21"/>
          <w:sz w:val="22"/>
        </w:rPr>
        <w:t>;</w:t>
      </w:r>
      <w:r>
        <w:rPr>
          <w:rFonts w:hint="default" w:ascii="Times New Roman" w:hAnsi="Times New Roman" w:cs="Times New Roman"/>
        </w:rPr>
        <w:fldChar w:fldCharType="end"/>
      </w:r>
    </w:p>
    <w:p w14:paraId="23A59D05">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bCs/>
          <w:color w:val="auto"/>
          <w:lang w:eastAsia="zh-CN"/>
        </w:rPr>
      </w:pPr>
    </w:p>
    <w:p w14:paraId="75513CD0">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val="0"/>
          <w:bCs w:val="0"/>
          <w:color w:val="auto"/>
          <w:lang w:eastAsia="zh-CN"/>
        </w:rPr>
      </w:pPr>
      <w:bookmarkStart w:id="4" w:name="_GoBack"/>
      <w:bookmarkEnd w:id="4"/>
      <w:r>
        <w:rPr>
          <w:rFonts w:hint="eastAsia" w:ascii="Times New Roman" w:hAnsi="Times New Roman" w:cs="Times New Roman" w:eastAsiaTheme="minorEastAsia"/>
          <w:b/>
          <w:bCs/>
          <w:color w:val="auto"/>
          <w:lang w:eastAsia="zh-CN"/>
        </w:rPr>
        <w:t xml:space="preserve">Text S1. </w:t>
      </w:r>
      <w:r>
        <w:rPr>
          <w:rFonts w:hint="eastAsia" w:ascii="Times New Roman" w:hAnsi="Times New Roman" w:cs="Times New Roman" w:eastAsiaTheme="minorEastAsia"/>
          <w:b w:val="0"/>
          <w:bCs w:val="0"/>
          <w:color w:val="auto"/>
          <w:lang w:eastAsia="zh-CN"/>
        </w:rPr>
        <w:t xml:space="preserve">Description of the </w:t>
      </w:r>
      <w:r>
        <w:rPr>
          <w:rFonts w:hint="eastAsia" w:ascii="Times New Roman" w:hAnsi="Times New Roman" w:cs="Times New Roman" w:eastAsiaTheme="minorEastAsia"/>
          <w:b w:val="0"/>
          <w:bCs w:val="0"/>
          <w:color w:val="auto"/>
          <w:lang w:val="en-US" w:eastAsia="zh-CN"/>
        </w:rPr>
        <w:t>Baiyangdian</w:t>
      </w:r>
      <w:r>
        <w:rPr>
          <w:rFonts w:hint="eastAsia" w:ascii="Times New Roman" w:hAnsi="Times New Roman" w:cs="Times New Roman" w:eastAsiaTheme="minorEastAsia"/>
          <w:b w:val="0"/>
          <w:bCs w:val="0"/>
          <w:color w:val="auto"/>
          <w:lang w:eastAsia="zh-CN"/>
        </w:rPr>
        <w:t xml:space="preserve"> Basin</w:t>
      </w:r>
    </w:p>
    <w:p w14:paraId="6375A2C7">
      <w:pPr>
        <w:keepNext w:val="0"/>
        <w:keepLines w:val="0"/>
        <w:pageBreakBefore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eastAsia="zh-CN"/>
        </w:rPr>
      </w:pPr>
      <w:r>
        <w:rPr>
          <w:rFonts w:hint="default" w:ascii="Times New Roman" w:hAnsi="Times New Roman" w:cs="Times New Roman" w:eastAsiaTheme="minorEastAsia"/>
          <w:b w:val="0"/>
          <w:bCs w:val="0"/>
          <w:color w:val="auto"/>
          <w:lang w:eastAsia="zh-CN"/>
        </w:rPr>
        <w:t>The Baiyangdian Basin is located in the temperate monsoon climate zone, characterized by a warm and humid climate with significant seasonal rainfall. The region experiences an average annual temperature of approximately 12.5°C and an annual precipitation of 500-600 mm. The high-flow period typically occurs from June to September, while the low-flow period extends from December to February. Baiyangdian, the largest freshwater wetland in the North China Plain, is often referred to as the "Kidney of North China," with its water supply primarily dependent on inflows from upstream rivers. The basin covers an area of approximately 4,665 square kilometers and is fed by several tributaries, among which the Fu River, Baigou River, and Xiaoyi River are the main contributors.</w:t>
      </w:r>
    </w:p>
    <w:p w14:paraId="3FD5C068">
      <w:pPr>
        <w:keepNext w:val="0"/>
        <w:keepLines w:val="0"/>
        <w:pageBreakBefore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eastAsiaTheme="minorEastAsia"/>
          <w:b w:val="0"/>
          <w:bCs w:val="0"/>
          <w:color w:val="auto"/>
          <w:lang w:eastAsia="zh-CN"/>
        </w:rPr>
        <w:t>The land use patterns and pollution sources within this basin are typical of the region. From upstream to downstream, land use transitions from agricultural areas to densely populated towns and wetland ecosystems. The upstream areas are predominantly agricultural, the midstream passes through several towns and industrial zones, while the downstream is characterized by the wetlands and lakes of Baiyangdian. The pollution types in the Baiyangdian Basin are also broadly representative. Non-point source pollution, primarily from agricultural runoff, rural domestic sewage, and small-scale animal farming, is a major contributor to water quality degradation, with these pollutants often being transported into Baiyangdian via its tributaries. The Fu River basin’s industrial areas and municipal wastewater treatment plants are the main sources of point source pollution.Due to the lack of centralized treatment for rural domestic sewage in the Baiyangdian Basin, septic tanks have become the primary means of rural sewage treatment, with nitrogen pollution from these systems significantly impacting water quality in the basin. Additionally, the scale of animal farming continues to expand, and inadequate waste treatment facilities have exacerbated water pollution issues. This study carefully considers the complex and diverse pollution sources in the Baiyangdian Basin, including agricultural runoff, rural domestic sewage, animal farming waste, industrial effluents, and urban wastewater, making it an ideal case for investigating how pollutant sources and their land-water transport mechanisms affect the ecological processes in lake and river systems</w:t>
      </w:r>
      <w:r>
        <w:rPr>
          <w:rFonts w:hint="default" w:ascii="Times New Roman" w:hAnsi="Times New Roman" w:cs="Times New Roman"/>
          <w:b w:val="0"/>
          <w:bCs w:val="0"/>
          <w:color w:val="auto"/>
          <w:lang w:val="en-US" w:eastAsia="zh-CN"/>
        </w:rPr>
        <w:t>.</w:t>
      </w:r>
    </w:p>
    <w:p w14:paraId="040803E0">
      <w:pPr>
        <w:keepNext w:val="0"/>
        <w:keepLines w:val="0"/>
        <w:pageBreakBefore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b w:val="0"/>
          <w:bCs w:val="0"/>
          <w:color w:val="auto"/>
          <w:lang w:val="en-US" w:eastAsia="zh-CN"/>
        </w:rPr>
      </w:pPr>
    </w:p>
    <w:p w14:paraId="0DE6EBDE">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 xml:space="preserve">Text S2. </w:t>
      </w:r>
      <w:r>
        <w:rPr>
          <w:rFonts w:hint="eastAsia" w:ascii="Times New Roman" w:hAnsi="Times New Roman" w:cs="Times New Roman" w:eastAsiaTheme="minorEastAsia"/>
          <w:b w:val="0"/>
          <w:bCs w:val="0"/>
          <w:color w:val="auto"/>
          <w:lang w:eastAsia="zh-CN"/>
        </w:rPr>
        <w:t>Measurement ofphysicochemical parameters</w:t>
      </w:r>
    </w:p>
    <w:p w14:paraId="73F821D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eastAsia="zh-CN"/>
        </w:rPr>
      </w:pPr>
      <w:r>
        <w:rPr>
          <w:rFonts w:hint="default" w:ascii="Times New Roman" w:hAnsi="Times New Roman" w:cs="Times New Roman" w:eastAsiaTheme="minorEastAsia"/>
          <w:b w:val="0"/>
          <w:bCs w:val="0"/>
          <w:color w:val="auto"/>
          <w:lang w:eastAsia="zh-CN"/>
        </w:rPr>
        <w:t>A total of 11 environmental parameters were monitored in this study, including 7 water variables and 4 sediment variables. Nitrate nitrogen (</w:t>
      </w: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3</w:t>
      </w:r>
      <w:r>
        <w:rPr>
          <w:rFonts w:hint="default" w:ascii="Times New Roman" w:hAnsi="Times New Roman"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default" w:ascii="Times New Roman" w:hAnsi="Times New Roman" w:cs="Times New Roman" w:eastAsiaTheme="minorEastAsia"/>
          <w:b w:val="0"/>
          <w:bCs w:val="0"/>
          <w:color w:val="auto"/>
          <w:lang w:eastAsia="zh-CN"/>
        </w:rPr>
        <w:t>), ammonium nitrogen (</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default" w:ascii="Times New Roman" w:hAnsi="Times New Roman" w:cs="Times New Roman" w:eastAsiaTheme="minorEastAsia"/>
          <w:b w:val="0"/>
          <w:bCs w:val="0"/>
          <w:color w:val="auto"/>
          <w:lang w:eastAsia="zh-CN"/>
        </w:rPr>
        <w:t xml:space="preserve">), total phosphorus (TP), and total nitrogen (TN) were analyzed according to the national standard methods of China (GB7480-87, GB7479-87, GB11893-89, and GB 11894-89, respectively). Sediment characteristics (TP, TN, </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default" w:ascii="Times New Roman" w:hAnsi="Times New Roman" w:cs="Times New Roman" w:eastAsiaTheme="minorEastAsia"/>
          <w:b w:val="0"/>
          <w:bCs w:val="0"/>
          <w:color w:val="auto"/>
          <w:lang w:eastAsia="zh-CN"/>
        </w:rPr>
        <w:t xml:space="preserve">, and </w:t>
      </w: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3</w:t>
      </w:r>
      <w:r>
        <w:rPr>
          <w:rFonts w:hint="default" w:ascii="Times New Roman" w:hAnsi="Times New Roman"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default" w:ascii="Times New Roman" w:hAnsi="Times New Roman" w:cs="Times New Roman" w:eastAsiaTheme="minorEastAsia"/>
          <w:b w:val="0"/>
          <w:bCs w:val="0"/>
          <w:color w:val="auto"/>
          <w:lang w:eastAsia="zh-CN"/>
        </w:rPr>
        <w:t>) were analyzed based on the criteria established by the Ministry of Ecology and Environment of China (HJ632-2011, HJ717-2014, and HJ634-2012, respectively). All variables were tested in triplicate.</w:t>
      </w:r>
    </w:p>
    <w:p w14:paraId="725CF4A4">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eastAsia="zh-CN"/>
        </w:rPr>
      </w:pPr>
    </w:p>
    <w:p w14:paraId="13A069BE">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 xml:space="preserve">Text S3. </w:t>
      </w:r>
      <w:r>
        <w:rPr>
          <w:rFonts w:hint="eastAsia" w:ascii="Times New Roman" w:hAnsi="Times New Roman" w:cs="Times New Roman" w:eastAsiaTheme="minorEastAsia"/>
          <w:b w:val="0"/>
          <w:bCs w:val="0"/>
          <w:color w:val="auto"/>
          <w:lang w:eastAsia="zh-CN"/>
        </w:rPr>
        <w:t>High-throughput sequencing procedure</w:t>
      </w:r>
    </w:p>
    <w:p w14:paraId="648EE68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eastAsia="zh-CN"/>
        </w:rPr>
      </w:pPr>
      <w:r>
        <w:rPr>
          <w:rFonts w:hint="default" w:ascii="Times New Roman" w:hAnsi="Times New Roman" w:cs="Times New Roman" w:eastAsiaTheme="minorEastAsia"/>
          <w:b w:val="0"/>
          <w:bCs w:val="0"/>
          <w:color w:val="auto"/>
          <w:lang w:eastAsia="zh-CN"/>
        </w:rPr>
        <w:t>PCR amplification was performed in triplicate in a 20μl reaction volume under the following conditions: an initial denaturation at 95°C for 3 minutes, followed by 27 cycles of denaturation at 95°C for 30 seconds, annealing at 55°C for 30 seconds, and extension at 72°C for 45 seconds. A final extension was performed at 72°C for 10 minutes.</w:t>
      </w:r>
    </w:p>
    <w:p w14:paraId="7F8445D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eastAsia="zh-CN"/>
        </w:rPr>
      </w:pPr>
      <w:r>
        <w:rPr>
          <w:rFonts w:hint="default" w:ascii="Times New Roman" w:hAnsi="Times New Roman" w:cs="Times New Roman" w:eastAsiaTheme="minorEastAsia"/>
          <w:b w:val="0"/>
          <w:bCs w:val="0"/>
          <w:color w:val="auto"/>
          <w:lang w:eastAsia="zh-CN"/>
        </w:rPr>
        <w:t>For the sequencing data, primers and barcodes exceeding 75% of the amplicon length were removed, and the paired-end reads were merged using Flash software. The merged data were then quality-filtered and demultiplexed using QIIME v1.9.0 software. Operational taxonomic units (OTUs) were classified based on a 97% similarity threshold and compared against the reference database (Silva v128). Taxonomic assignment was performed using the RDP Classifier v2.2, with a classification threshold set at 80%.</w:t>
      </w:r>
    </w:p>
    <w:p w14:paraId="2FF72EF1">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p>
    <w:p w14:paraId="7EE97997">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Text S</w:t>
      </w:r>
      <w:r>
        <w:rPr>
          <w:rFonts w:hint="eastAsia" w:ascii="Times New Roman" w:hAnsi="Times New Roman" w:cs="Times New Roman"/>
          <w:b/>
          <w:bCs/>
          <w:color w:val="auto"/>
          <w:lang w:val="en-US" w:eastAsia="zh-CN"/>
        </w:rPr>
        <w:t>4</w:t>
      </w:r>
      <w:r>
        <w:rPr>
          <w:rFonts w:hint="eastAsia"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eastAsia" w:ascii="Times New Roman" w:hAnsi="Times New Roman" w:cs="Times New Roman" w:eastAsiaTheme="minorEastAsia"/>
          <w:b w:val="0"/>
          <w:bCs w:val="0"/>
          <w:color w:val="auto"/>
          <w:lang w:eastAsia="zh-CN"/>
        </w:rPr>
        <w:t>Data sources for SWAT establishment and the sampling principles</w:t>
      </w:r>
    </w:p>
    <w:p w14:paraId="0FA945BF">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val="0"/>
          <w:bCs w:val="0"/>
          <w:color w:val="auto"/>
          <w:lang w:eastAsia="zh-CN"/>
        </w:rPr>
        <w:t>Land use data from 2023 were obtained from the Chinese Academy of Sciences and reclassified to align with SWAT model requirements. Soil categories and most physical properties were sourced from the harmonized world soil database, while soil carbon content and available water capacity were derived using the SPAW (Soil-Plant-Atmosphere-Water) platform. Soil chemical properties were obtained from relevant literature and local soil survey reports. A 30-meter resolution Digital Elevation Model (DEM) was utilized to delineate sub-basins. The entire watershed, covering an area of 1,245,647 hectares, was divided into 58 sub-basins with a threshold area of 7,000 hectares, and further subdivided into 3,533 Hydrological Response Units (HRUs) based on homogeneous characteristics of land use, soil type, and slope. Medium- or low-density residential areas (URML), corresponding to rural residential zones, were retained during HRU delineation and used to simulate effluents from rural septic tanks.</w:t>
      </w:r>
    </w:p>
    <w:p w14:paraId="1A34CD59">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val="0"/>
          <w:bCs w:val="0"/>
          <w:color w:val="auto"/>
          <w:lang w:eastAsia="zh-CN"/>
        </w:rPr>
        <w:t>Daily records of temperature, precipitation, relative humidity, and wind speed from 2019 to 2023 in the study area were obtained from the China Meteorological Administration.</w:t>
      </w:r>
    </w:p>
    <w:p w14:paraId="521B1DEE">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p>
    <w:p w14:paraId="0CFCAADA">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b w:val="0"/>
          <w:bCs w:val="0"/>
          <w:color w:val="auto"/>
          <w:lang w:val="en-US" w:eastAsia="zh-CN"/>
        </w:rPr>
      </w:pPr>
      <w:r>
        <w:rPr>
          <w:rFonts w:hint="eastAsia" w:ascii="Times New Roman" w:hAnsi="Times New Roman" w:cs="Times New Roman" w:eastAsiaTheme="minorEastAsia"/>
          <w:b/>
          <w:bCs/>
          <w:color w:val="auto"/>
          <w:lang w:eastAsia="zh-CN"/>
        </w:rPr>
        <w:t>Text S</w:t>
      </w:r>
      <w:r>
        <w:rPr>
          <w:rFonts w:hint="eastAsia" w:ascii="Times New Roman" w:hAnsi="Times New Roman" w:cs="Times New Roman"/>
          <w:b/>
          <w:bCs/>
          <w:color w:val="auto"/>
          <w:lang w:val="en-US" w:eastAsia="zh-CN"/>
        </w:rPr>
        <w:t>5</w:t>
      </w:r>
      <w:r>
        <w:rPr>
          <w:rFonts w:hint="eastAsia" w:ascii="Times New Roman" w:hAnsi="Times New Roman" w:cs="Times New Roman" w:eastAsiaTheme="minorEastAsia"/>
          <w:b/>
          <w:bCs/>
          <w:color w:val="auto"/>
          <w:lang w:eastAsia="zh-CN"/>
        </w:rPr>
        <w:t>.</w:t>
      </w:r>
      <w:r>
        <w:rPr>
          <w:rFonts w:hint="eastAsia" w:ascii="Times New Roman" w:hAnsi="Times New Roman" w:cs="Times New Roman" w:eastAsiaTheme="minorEastAsia"/>
          <w:b w:val="0"/>
          <w:bCs w:val="0"/>
          <w:color w:val="auto"/>
          <w:lang w:eastAsia="zh-CN"/>
        </w:rPr>
        <w:t xml:space="preserve"> Data sources for simulating pollution scenarios in the SWAT model for the Baiyangdian watershed</w:t>
      </w:r>
      <w:r>
        <w:rPr>
          <w:rFonts w:hint="eastAsia" w:ascii="Times New Roman" w:hAnsi="Times New Roman" w:cs="Times New Roman"/>
          <w:b w:val="0"/>
          <w:bCs w:val="0"/>
          <w:color w:val="auto"/>
          <w:lang w:val="en-US" w:eastAsia="zh-CN"/>
        </w:rPr>
        <w:t>.</w:t>
      </w:r>
    </w:p>
    <w:p w14:paraId="2832B1D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In this study, point sources of pollution in the Baiyangdian watershed include industrial zones, industries outside these zones, municipal wastewater treatment plants, rural sewage treatment facilities, concentrated animal feedlot operations, and refuse landfills (Table S</w:t>
      </w:r>
      <w:r>
        <w:rPr>
          <w:rFonts w:hint="eastAsia" w:ascii="Times New Roman" w:hAnsi="Times New Roman" w:cs="Times New Roman"/>
          <w:b w:val="0"/>
          <w:bCs w:val="0"/>
          <w:color w:val="auto"/>
          <w:lang w:val="en-US" w:eastAsia="zh-CN"/>
        </w:rPr>
        <w:t>1</w:t>
      </w:r>
      <w:r>
        <w:rPr>
          <w:rFonts w:hint="default" w:ascii="Times New Roman" w:hAnsi="Times New Roman" w:cs="Times New Roman" w:eastAsiaTheme="minorEastAsia"/>
          <w:b w:val="0"/>
          <w:bCs w:val="0"/>
          <w:color w:val="auto"/>
          <w:lang w:val="en-US" w:eastAsia="zh-CN"/>
        </w:rPr>
        <w:t>). Nonpoint sources include crop cultivation, scattered small-scale animal feedlot operations, and untreated rural sewage. The total nitrogen emissions from these sources were aggregated for each sub-basin in the Baiyangdian watershed, and their mean monthly loads were input into the SWAT model as point source data.</w:t>
      </w:r>
    </w:p>
    <w:p w14:paraId="0E5428C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Specifically, annual nitrogen emissions from industrial zones, industries outside these zones, and concentrated animal feedlot operations were obtained from the Baiyangdian watershed pollution source survey, which was based on government-collected data and field investigations. Additionally, data on annual sewage emissions from municipal wastewater treatment plants, rural sewage treatment facilities, and refuse landfills were collected, and their nitrogen emissions were calculated according to the corresponding discharge standards for each facility. Information on agricultural management schedules specific to the Baiyangdian watershed was gathered through random interviews with local farmers (Table S</w:t>
      </w:r>
      <w:r>
        <w:rPr>
          <w:rFonts w:hint="eastAsia" w:ascii="Times New Roman" w:hAnsi="Times New Roman" w:cs="Times New Roman"/>
          <w:b w:val="0"/>
          <w:bCs w:val="0"/>
          <w:color w:val="auto"/>
          <w:lang w:val="en-US" w:eastAsia="zh-CN"/>
        </w:rPr>
        <w:t>2</w:t>
      </w:r>
      <w:r>
        <w:rPr>
          <w:rFonts w:hint="default" w:ascii="Times New Roman" w:hAnsi="Times New Roman" w:cs="Times New Roman" w:eastAsiaTheme="minorEastAsia"/>
          <w:b w:val="0"/>
          <w:bCs w:val="0"/>
          <w:color w:val="auto"/>
          <w:lang w:val="en-US" w:eastAsia="zh-CN"/>
        </w:rPr>
        <w:t>).</w:t>
      </w:r>
    </w:p>
    <w:p w14:paraId="0E08DE4B">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Data on the rural population within each sub-basin in the Baiyangdian watershed were obtained from local statistical yearbooks. Due to the lack of centralized treatment facilities, rural domestic sewage is mainly managed through conventional septic tanks. The SWAT model's septic tank module was used to simulate rural sewage based on the rural population in each sub-basin. According to previous research, the septic tank effluent flow rate was set at 50 L/day per capita, with total nitrogen (TN) and nitrate-nitrogen (NO₃⁻-N) concentrations of 90 mg/L and 15 mg/L, respectively.</w:t>
      </w:r>
    </w:p>
    <w:p w14:paraId="4B6B580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eastAsiaTheme="minorEastAsia"/>
          <w:b w:val="0"/>
          <w:bCs w:val="0"/>
          <w:color w:val="auto"/>
          <w:lang w:val="en-US" w:eastAsia="zh-CN"/>
        </w:rPr>
      </w:pPr>
      <w:r>
        <w:rPr>
          <w:rFonts w:hint="default" w:ascii="Times New Roman" w:hAnsi="Times New Roman" w:cs="Times New Roman" w:eastAsiaTheme="minorEastAsia"/>
          <w:b w:val="0"/>
          <w:bCs w:val="0"/>
          <w:color w:val="auto"/>
          <w:lang w:val="en-US" w:eastAsia="zh-CN"/>
        </w:rPr>
        <w:t>Interview results indicated that most crop fields in the Baiyangdian watershed follow a double-cropping rice rotation, with relatively consistent agricultural management practices across the region.</w:t>
      </w:r>
    </w:p>
    <w:p w14:paraId="7851350F">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bCs/>
          <w:color w:val="auto"/>
          <w:lang w:val="en-US" w:eastAsia="zh-CN"/>
        </w:rPr>
      </w:pPr>
    </w:p>
    <w:p w14:paraId="6AE390A6">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Text S</w:t>
      </w:r>
      <w:r>
        <w:rPr>
          <w:rFonts w:hint="eastAsia" w:ascii="Times New Roman" w:hAnsi="Times New Roman" w:cs="Times New Roman"/>
          <w:b/>
          <w:bCs/>
          <w:color w:val="auto"/>
          <w:lang w:val="en-US" w:eastAsia="zh-CN"/>
        </w:rPr>
        <w:t>6</w:t>
      </w:r>
      <w:r>
        <w:rPr>
          <w:rFonts w:hint="eastAsia" w:ascii="Times New Roman" w:hAnsi="Times New Roman" w:cs="Times New Roman" w:eastAsiaTheme="minorEastAsia"/>
          <w:b/>
          <w:bCs/>
          <w:color w:val="auto"/>
          <w:lang w:eastAsia="zh-CN"/>
        </w:rPr>
        <w:t xml:space="preserve">. </w:t>
      </w:r>
      <w:r>
        <w:rPr>
          <w:rFonts w:hint="eastAsia" w:ascii="Times New Roman" w:hAnsi="Times New Roman" w:cs="Times New Roman" w:eastAsiaTheme="minorEastAsia"/>
          <w:b w:val="0"/>
          <w:bCs w:val="0"/>
          <w:color w:val="auto"/>
          <w:lang w:eastAsia="zh-CN"/>
        </w:rPr>
        <w:t>SWAT calibration and validation procedure</w:t>
      </w:r>
    </w:p>
    <w:p w14:paraId="468EEFD7">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val="en-US" w:eastAsia="zh-CN"/>
        </w:rPr>
      </w:pPr>
      <w:r>
        <w:rPr>
          <w:rFonts w:hint="eastAsia" w:ascii="Times New Roman" w:hAnsi="Times New Roman" w:cs="Times New Roman" w:eastAsiaTheme="minorEastAsia"/>
          <w:b w:val="0"/>
          <w:bCs w:val="0"/>
          <w:color w:val="auto"/>
          <w:lang w:val="en-US" w:eastAsia="zh-CN"/>
        </w:rPr>
        <w:t>Daily and monthly flow data from five hydrological stations (Dashuliuzhuang, Xingai, Yaozhuang, Xushui Guoping, and Shifangyuan) for the period 2019 to 2023 were obtained for use in this study.</w:t>
      </w:r>
    </w:p>
    <w:p w14:paraId="58DFA815">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val="en-US" w:eastAsia="zh-CN"/>
        </w:rPr>
      </w:pPr>
      <w:r>
        <w:rPr>
          <w:rFonts w:hint="eastAsia" w:ascii="Times New Roman" w:hAnsi="Times New Roman" w:cs="Times New Roman" w:eastAsiaTheme="minorEastAsia"/>
          <w:b w:val="0"/>
          <w:bCs w:val="0"/>
          <w:color w:val="auto"/>
          <w:lang w:val="en-US" w:eastAsia="zh-CN"/>
        </w:rPr>
        <w:t xml:space="preserve">Monthly observations of TN, </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eastAsia" w:ascii="Times New Roman" w:hAnsi="Times New Roman" w:cs="Times New Roman" w:eastAsiaTheme="minorEastAsia"/>
          <w:b w:val="0"/>
          <w:bCs w:val="0"/>
          <w:color w:val="auto"/>
          <w:lang w:val="en-US" w:eastAsia="zh-CN"/>
        </w:rPr>
        <w:t xml:space="preserve">, and </w:t>
      </w:r>
      <w:r>
        <w:rPr>
          <w:rFonts w:hint="default" w:ascii="Times New Roman" w:hAnsi="Times New Roman" w:cs="Times New Roman" w:eastAsiaTheme="minorEastAsia"/>
          <w:b w:val="0"/>
          <w:bCs w:val="0"/>
          <w:color w:val="auto"/>
          <w:lang w:val="en-US" w:eastAsia="zh-CN"/>
        </w:rPr>
        <w:t>NO₃⁻-N</w:t>
      </w:r>
      <w:r>
        <w:rPr>
          <w:rFonts w:hint="eastAsia" w:ascii="Times New Roman" w:hAnsi="Times New Roman" w:cs="Times New Roman" w:eastAsiaTheme="minorEastAsia"/>
          <w:b w:val="0"/>
          <w:bCs w:val="0"/>
          <w:color w:val="auto"/>
          <w:lang w:val="en-US" w:eastAsia="zh-CN"/>
        </w:rPr>
        <w:t xml:space="preserve"> concentrations at these stations were gathered over the same period. To estimate monthly nutrient loads, the monthly concentrations of TN, </w:t>
      </w:r>
      <w:r>
        <w:rPr>
          <w:rFonts w:hint="default" w:ascii="Times New Roman" w:hAnsi="Times New Roman" w:eastAsia="宋体" w:cs="Times New Roman"/>
          <w:color w:val="auto"/>
          <w:lang w:val="en-US" w:eastAsia="zh-CN"/>
        </w:rPr>
        <w:t>NH</w:t>
      </w:r>
      <w:r>
        <w:rPr>
          <w:rFonts w:hint="default" w:ascii="Times New Roman" w:hAnsi="Times New Roman" w:eastAsia="宋体" w:cs="Times New Roman"/>
          <w:color w:val="auto"/>
          <w:vertAlign w:val="subscript"/>
          <w:lang w:val="en-US" w:eastAsia="zh-CN"/>
        </w:rPr>
        <w:t>4</w:t>
      </w:r>
      <w:r>
        <w:rPr>
          <w:rFonts w:hint="default" w:ascii="Times New Roman" w:hAnsi="Times New Roman" w:eastAsia="宋体" w:cs="Times New Roman"/>
          <w:color w:val="auto"/>
          <w:vertAlign w:val="superscript"/>
          <w:lang w:val="en-US" w:eastAsia="zh-CN"/>
        </w:rPr>
        <w:t>+</w:t>
      </w:r>
      <w:r>
        <w:rPr>
          <w:rFonts w:hint="default" w:ascii="Times New Roman" w:hAnsi="Times New Roman" w:cs="Times New Roman"/>
          <w:color w:val="auto"/>
          <w:vertAlign w:val="baseline"/>
          <w:lang w:val="en-US" w:eastAsia="zh-CN"/>
        </w:rPr>
        <w:t>-</w:t>
      </w:r>
      <w:r>
        <w:rPr>
          <w:rFonts w:hint="default" w:ascii="Times New Roman" w:hAnsi="Times New Roman" w:eastAsia="宋体" w:cs="Times New Roman"/>
          <w:color w:val="auto"/>
          <w:lang w:val="en-US" w:eastAsia="zh-CN"/>
        </w:rPr>
        <w:t>N</w:t>
      </w:r>
      <w:r>
        <w:rPr>
          <w:rFonts w:hint="eastAsia" w:ascii="Times New Roman" w:hAnsi="Times New Roman" w:cs="Times New Roman" w:eastAsiaTheme="minorEastAsia"/>
          <w:b w:val="0"/>
          <w:bCs w:val="0"/>
          <w:color w:val="auto"/>
          <w:lang w:val="en-US" w:eastAsia="zh-CN"/>
        </w:rPr>
        <w:t xml:space="preserve">, and </w:t>
      </w:r>
      <w:r>
        <w:rPr>
          <w:rFonts w:hint="default" w:ascii="Times New Roman" w:hAnsi="Times New Roman" w:cs="Times New Roman" w:eastAsiaTheme="minorEastAsia"/>
          <w:b w:val="0"/>
          <w:bCs w:val="0"/>
          <w:color w:val="auto"/>
          <w:lang w:val="en-US" w:eastAsia="zh-CN"/>
        </w:rPr>
        <w:t>NO₃⁻-N</w:t>
      </w:r>
      <w:r>
        <w:rPr>
          <w:rFonts w:hint="eastAsia" w:ascii="Times New Roman" w:hAnsi="Times New Roman" w:cs="Times New Roman" w:eastAsiaTheme="minorEastAsia"/>
          <w:b w:val="0"/>
          <w:bCs w:val="0"/>
          <w:color w:val="auto"/>
          <w:lang w:val="en-US" w:eastAsia="zh-CN"/>
        </w:rPr>
        <w:t>were multiplied by the monthly flow values.</w:t>
      </w:r>
    </w:p>
    <w:p w14:paraId="323487A2">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val="en-US" w:eastAsia="zh-CN"/>
        </w:rPr>
      </w:pPr>
    </w:p>
    <w:p w14:paraId="426E27E4">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Text S</w:t>
      </w:r>
      <w:r>
        <w:rPr>
          <w:rFonts w:hint="eastAsia" w:ascii="Times New Roman" w:hAnsi="Times New Roman" w:cs="Times New Roman"/>
          <w:b/>
          <w:bCs/>
          <w:color w:val="auto"/>
          <w:lang w:val="en-US" w:eastAsia="zh-CN"/>
        </w:rPr>
        <w:t>7</w:t>
      </w:r>
      <w:r>
        <w:rPr>
          <w:rFonts w:hint="eastAsia" w:ascii="Times New Roman" w:hAnsi="Times New Roman" w:cs="Times New Roman" w:eastAsiaTheme="minorEastAsia"/>
          <w:b/>
          <w:bCs/>
          <w:color w:val="auto"/>
          <w:lang w:eastAsia="zh-CN"/>
        </w:rPr>
        <w:t xml:space="preserve">. </w:t>
      </w:r>
      <w:r>
        <w:rPr>
          <w:rFonts w:hint="eastAsia" w:ascii="Times New Roman" w:hAnsi="Times New Roman" w:cs="Times New Roman" w:eastAsiaTheme="minorEastAsia"/>
          <w:b w:val="0"/>
          <w:bCs w:val="0"/>
          <w:color w:val="auto"/>
          <w:lang w:eastAsia="zh-CN"/>
        </w:rPr>
        <w:t>Nitrogen source attribution</w:t>
      </w:r>
    </w:p>
    <w:p w14:paraId="30ACEC0D">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val="en-US" w:eastAsia="zh-CN"/>
        </w:rPr>
      </w:pPr>
      <w:r>
        <w:rPr>
          <w:rFonts w:hint="eastAsia" w:ascii="Times New Roman" w:hAnsi="Times New Roman" w:cs="Times New Roman" w:eastAsiaTheme="minorEastAsia"/>
          <w:b w:val="0"/>
          <w:bCs w:val="0"/>
          <w:color w:val="auto"/>
          <w:lang w:val="en-US" w:eastAsia="zh-CN"/>
        </w:rPr>
        <w:t>Detailed information regarding the nitrogen source attribution procedure can be found in a previous study. Briefly, multiple runs under different pollution input scenarios were conducted to evaluate the nitrogen loads from individual pollution sources. The baseline scenario involved a SWAT run with only fertilizer application, labeled as Loadcrop. The other seven pollution scenarios were designed to investigate nitrogen loadings from various sources. For example, the scenario with both fertilizer application and industrial effluents was labeled as Loadcrop+ind, and the difference between Loadcrop+ind and Loadcrop was interpreted as the nitrogen load attributed to industrial sources. This procedure was repeated to assess the nitrogen loads in the river from different types of point and nonpoint pollution sources.</w:t>
      </w:r>
    </w:p>
    <w:p w14:paraId="5B9C0BC6">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Times New Roman" w:hAnsi="Times New Roman" w:cs="Times New Roman" w:eastAsiaTheme="minorEastAsia"/>
          <w:b w:val="0"/>
          <w:bCs w:val="0"/>
          <w:color w:val="auto"/>
          <w:lang w:val="en-US" w:eastAsia="zh-CN"/>
        </w:rPr>
      </w:pPr>
    </w:p>
    <w:p w14:paraId="398C9B49">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b/>
          <w:bCs/>
          <w:color w:val="auto"/>
          <w:lang w:val="en-US" w:eastAsia="zh-CN"/>
        </w:rPr>
      </w:pPr>
      <w:r>
        <w:rPr>
          <w:rFonts w:hint="eastAsia" w:ascii="Times New Roman" w:hAnsi="Times New Roman" w:cs="Times New Roman" w:eastAsiaTheme="minorEastAsia"/>
          <w:b/>
          <w:bCs/>
          <w:color w:val="auto"/>
          <w:lang w:eastAsia="zh-CN"/>
        </w:rPr>
        <w:t>Text S</w:t>
      </w:r>
      <w:r>
        <w:rPr>
          <w:rFonts w:hint="eastAsia" w:ascii="Times New Roman" w:hAnsi="Times New Roman" w:cs="Times New Roman"/>
          <w:b/>
          <w:bCs/>
          <w:color w:val="auto"/>
          <w:lang w:val="en-US" w:eastAsia="zh-CN"/>
        </w:rPr>
        <w:t>8.Quantification Method of River-Lake Hydrological Connectivity</w:t>
      </w:r>
    </w:p>
    <w:p w14:paraId="7657A2FD">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sz w:val="20"/>
          <w:szCs w:val="20"/>
          <w:lang w:val="en-US" w:eastAsia="zh-CN"/>
        </w:rPr>
        <w:t>1.Extracting output data from the SWAT model:</w:t>
      </w:r>
    </w:p>
    <w:p w14:paraId="31B75F4E">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sz w:val="20"/>
          <w:szCs w:val="20"/>
          <w:lang w:val="en-US" w:eastAsia="zh-CN"/>
        </w:rPr>
        <w:t>Flow: The flow data for each Hydrological Response Unit (HRU) and subbasin, reflecting the water flow characteristics.</w:t>
      </w:r>
    </w:p>
    <w:p w14:paraId="7AB45521">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sz w:val="20"/>
          <w:szCs w:val="20"/>
          <w:lang w:val="en-US" w:eastAsia="zh-CN"/>
        </w:rPr>
        <w:t>Runoff: The surface runoff data, representing the distribution of water flow within the watershed.</w:t>
      </w:r>
    </w:p>
    <w:p w14:paraId="475EEB9B">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sz w:val="20"/>
          <w:szCs w:val="20"/>
          <w:lang w:val="en-US" w:eastAsia="zh-CN"/>
        </w:rPr>
        <w:t>Pollutant load: The pollutant load data from the SWAT model, indicating the distribution of pollutants in different times and spaces.</w:t>
      </w:r>
    </w:p>
    <w:p w14:paraId="2BCDE335">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sz w:val="20"/>
          <w:szCs w:val="20"/>
          <w:lang w:val="en-US" w:eastAsia="zh-CN"/>
        </w:rPr>
        <w:t>2.Converting river flow data into a graph model, where the nodes represent different hydrological units, and the edges represent the water flow connections between hydrological units. Based on this, the connectivity (</w:t>
      </w:r>
      <w:r>
        <w:rPr>
          <w:rFonts w:hint="default" w:ascii="Times New Roman" w:hAnsi="Times New Roman" w:eastAsia="Arial Unicode MS" w:cs="Times New Roman"/>
          <w:i/>
          <w:iCs/>
          <w:color w:val="000000"/>
          <w:sz w:val="20"/>
          <w:szCs w:val="20"/>
          <w:lang w:val="en-US" w:eastAsia="zh-CN"/>
        </w:rPr>
        <w:t>α</w:t>
      </w:r>
      <w:r>
        <w:rPr>
          <w:rFonts w:hint="eastAsia" w:ascii="Times New Roman" w:hAnsi="Times New Roman" w:eastAsia="Arial Unicode MS" w:cs="Times New Roman"/>
          <w:color w:val="000000"/>
          <w:sz w:val="20"/>
          <w:szCs w:val="20"/>
          <w:lang w:val="en-US" w:eastAsia="zh-CN"/>
        </w:rPr>
        <w:t>) in graph theory is calculated.</w:t>
      </w:r>
    </w:p>
    <w:p w14:paraId="7DB40B9D">
      <w:pPr>
        <w:pStyle w:val="7"/>
        <w:ind w:left="0" w:leftChars="0" w:right="-334" w:firstLine="0" w:firstLineChars="0"/>
        <w:outlineLvl w:val="0"/>
        <w:rPr>
          <w:rFonts w:hint="eastAsia" w:ascii="Times New Roman" w:hAnsi="Times New Roman" w:eastAsia="Arial Unicode MS" w:cs="Times New Roman"/>
          <w:color w:val="000000"/>
          <w:sz w:val="20"/>
          <w:szCs w:val="20"/>
          <w:lang w:val="en-US" w:eastAsia="zh-CN"/>
        </w:rPr>
      </w:pPr>
      <w:r>
        <w:rPr>
          <w:rFonts w:hint="eastAsia" w:ascii="Times New Roman" w:hAnsi="Times New Roman" w:eastAsia="Arial Unicode MS" w:cs="Times New Roman"/>
          <w:color w:val="000000"/>
          <w:position w:val="-28"/>
          <w:sz w:val="20"/>
          <w:szCs w:val="20"/>
          <w:lang w:val="en-US" w:eastAsia="zh-CN"/>
        </w:rPr>
        <w:object>
          <v:shape id="_x0000_i1025" o:spt="75" type="#_x0000_t75" style="height:33pt;width:192pt;" o:ole="t" filled="f" o:preferrelative="t" stroked="f" coordsize="21600,21600">
            <v:path/>
            <v:fill on="f" focussize="0,0"/>
            <v:stroke on="f"/>
            <v:imagedata r:id="rId5" o:title=""/>
            <o:lock v:ext="edit" aspectratio="t"/>
            <w10:wrap type="none"/>
            <w10:anchorlock/>
          </v:shape>
          <o:OLEObject Type="Embed" ProgID="Equation.KSEE3" ShapeID="_x0000_i1025" DrawAspect="Content" ObjectID="_1468075725" r:id="rId4">
            <o:LockedField>false</o:LockedField>
          </o:OLEObject>
        </w:object>
      </w:r>
    </w:p>
    <w:p w14:paraId="7BD50453">
      <w:pPr>
        <w:numPr>
          <w:ilvl w:val="0"/>
          <w:numId w:val="0"/>
        </w:numPr>
        <w:spacing w:line="480" w:lineRule="auto"/>
        <w:ind w:right="-334" w:rightChars="0"/>
        <w:outlineLvl w:val="0"/>
        <w:rPr>
          <w:rFonts w:hint="eastAsia" w:ascii="Times New Roman" w:hAnsi="Times New Roman" w:eastAsia="Arial Unicode MS" w:cs="Times New Roman"/>
          <w:color w:val="000000"/>
          <w:kern w:val="2"/>
          <w:sz w:val="20"/>
          <w:szCs w:val="20"/>
          <w:lang w:val="en-US" w:eastAsia="zh-CN" w:bidi="ar-SA"/>
        </w:rPr>
      </w:pPr>
      <w:r>
        <w:rPr>
          <w:rFonts w:hint="eastAsia" w:ascii="Times New Roman" w:hAnsi="Times New Roman" w:eastAsia="Arial Unicode MS" w:cs="Times New Roman"/>
          <w:i/>
          <w:iCs/>
          <w:color w:val="000000"/>
          <w:kern w:val="2"/>
          <w:sz w:val="20"/>
          <w:szCs w:val="20"/>
          <w:lang w:val="en-US" w:eastAsia="zh-CN" w:bidi="ar-SA"/>
        </w:rPr>
        <w:t>E</w:t>
      </w:r>
      <w:r>
        <w:rPr>
          <w:rFonts w:hint="eastAsia" w:ascii="Times New Roman" w:hAnsi="Times New Roman" w:eastAsia="Arial Unicode MS" w:cs="Times New Roman"/>
          <w:color w:val="000000"/>
          <w:kern w:val="2"/>
          <w:sz w:val="20"/>
          <w:szCs w:val="20"/>
          <w:lang w:val="en-US" w:eastAsia="zh-CN" w:bidi="ar-SA"/>
        </w:rPr>
        <w:t xml:space="preserve"> is the number of edges in the graph, representing the actual connections between water bodies.</w:t>
      </w:r>
    </w:p>
    <w:p w14:paraId="68E2ABC3">
      <w:pPr>
        <w:numPr>
          <w:ilvl w:val="0"/>
          <w:numId w:val="0"/>
        </w:numPr>
        <w:spacing w:line="480" w:lineRule="auto"/>
        <w:ind w:right="-334" w:rightChars="0"/>
        <w:outlineLvl w:val="0"/>
        <w:rPr>
          <w:rFonts w:hint="eastAsia" w:ascii="Times New Roman" w:hAnsi="Times New Roman" w:eastAsia="Arial Unicode MS" w:cs="Times New Roman"/>
          <w:color w:val="000000"/>
          <w:kern w:val="2"/>
          <w:sz w:val="20"/>
          <w:szCs w:val="20"/>
          <w:lang w:val="en-US" w:eastAsia="zh-CN" w:bidi="ar-SA"/>
        </w:rPr>
      </w:pPr>
      <w:r>
        <w:rPr>
          <w:rFonts w:hint="eastAsia" w:ascii="Times New Roman" w:hAnsi="Times New Roman" w:eastAsia="Arial Unicode MS" w:cs="Times New Roman"/>
          <w:i/>
          <w:iCs/>
          <w:color w:val="000000"/>
          <w:kern w:val="2"/>
          <w:sz w:val="20"/>
          <w:szCs w:val="20"/>
          <w:lang w:val="en-US" w:eastAsia="zh-CN" w:bidi="ar-SA"/>
        </w:rPr>
        <w:t>N</w:t>
      </w:r>
      <w:r>
        <w:rPr>
          <w:rFonts w:hint="eastAsia" w:ascii="Times New Roman" w:hAnsi="Times New Roman" w:eastAsia="Arial Unicode MS" w:cs="Times New Roman"/>
          <w:color w:val="000000"/>
          <w:kern w:val="2"/>
          <w:sz w:val="20"/>
          <w:szCs w:val="20"/>
          <w:lang w:val="en-US" w:eastAsia="zh-CN" w:bidi="ar-SA"/>
        </w:rPr>
        <w:t xml:space="preserve"> is the number of nodes, representing the number of hydrological units.</w:t>
      </w:r>
    </w:p>
    <w:p w14:paraId="2D3A474C">
      <w:pPr>
        <w:numPr>
          <w:ilvl w:val="0"/>
          <w:numId w:val="0"/>
        </w:numPr>
        <w:spacing w:line="480" w:lineRule="auto"/>
        <w:ind w:right="-334" w:rightChars="0"/>
        <w:outlineLvl w:val="0"/>
        <w:rPr>
          <w:rFonts w:hint="eastAsia" w:ascii="宋体" w:hAnsi="宋体" w:eastAsia="宋体" w:cs="宋体"/>
          <w:sz w:val="24"/>
          <w:szCs w:val="24"/>
          <w:lang w:val="en-US" w:eastAsia="zh-CN"/>
        </w:rPr>
      </w:pPr>
      <w:r>
        <w:rPr>
          <w:rFonts w:hint="eastAsia" w:ascii="Times New Roman" w:hAnsi="Times New Roman" w:eastAsia="Arial Unicode MS" w:cs="Times New Roman"/>
          <w:i w:val="0"/>
          <w:iCs w:val="0"/>
          <w:color w:val="000000"/>
          <w:kern w:val="2"/>
          <w:sz w:val="20"/>
          <w:szCs w:val="20"/>
          <w:lang w:val="en-US" w:eastAsia="zh-CN" w:bidi="ar-SA"/>
        </w:rPr>
        <w:t>Based on the hydrological data from the SWAT model, the river network density and water surface ratio were calculated, reflecting the physical structure of the river system and the extent of water coverage:</w:t>
      </w:r>
      <w:r>
        <w:rPr>
          <w:rFonts w:hint="eastAsia" w:ascii="Times New Roman" w:hAnsi="Times New Roman" w:eastAsia="Arial Unicode MS" w:cs="Times New Roman"/>
          <w:i/>
          <w:iCs/>
          <w:color w:val="000000"/>
          <w:kern w:val="2"/>
          <w:sz w:val="20"/>
          <w:szCs w:val="20"/>
          <w:lang w:val="en-US" w:eastAsia="zh-CN" w:bidi="ar-SA"/>
        </w:rPr>
        <w:br w:type="textWrapping"/>
      </w:r>
      <w:r>
        <w:rPr>
          <w:rFonts w:hint="eastAsia" w:ascii="Times New Roman" w:hAnsi="Times New Roman" w:eastAsia="Arial Unicode MS" w:cs="Times New Roman"/>
          <w:color w:val="000000"/>
          <w:kern w:val="2"/>
          <w:sz w:val="20"/>
          <w:szCs w:val="20"/>
          <w:lang w:val="en-US" w:eastAsia="zh-CN" w:bidi="ar-SA"/>
        </w:rPr>
        <w:t>River network density(</w:t>
      </w:r>
      <w:r>
        <w:rPr>
          <w:rFonts w:hint="eastAsia" w:ascii="Times New Roman" w:hAnsi="Times New Roman" w:eastAsia="Arial Unicode MS" w:cs="Times New Roman"/>
          <w:i/>
          <w:iCs/>
          <w:color w:val="000000"/>
          <w:kern w:val="2"/>
          <w:sz w:val="20"/>
          <w:szCs w:val="20"/>
          <w:lang w:val="en-US" w:eastAsia="zh-CN" w:bidi="ar-SA"/>
        </w:rPr>
        <w:t>R</w:t>
      </w:r>
      <w:r>
        <w:rPr>
          <w:rFonts w:hint="eastAsia" w:ascii="Times New Roman" w:hAnsi="Times New Roman" w:eastAsia="Arial Unicode MS" w:cs="Times New Roman"/>
          <w:color w:val="000000"/>
          <w:kern w:val="2"/>
          <w:sz w:val="20"/>
          <w:szCs w:val="20"/>
          <w:vertAlign w:val="subscript"/>
          <w:lang w:val="en-US" w:eastAsia="zh-CN" w:bidi="ar-SA"/>
        </w:rPr>
        <w:t>d</w:t>
      </w:r>
      <w:r>
        <w:rPr>
          <w:rFonts w:hint="eastAsia" w:ascii="Times New Roman" w:hAnsi="Times New Roman" w:eastAsia="Arial Unicode MS" w:cs="Times New Roman"/>
          <w:color w:val="000000"/>
          <w:kern w:val="2"/>
          <w:sz w:val="20"/>
          <w:szCs w:val="20"/>
          <w:lang w:val="en-US" w:eastAsia="zh-CN" w:bidi="ar-SA"/>
        </w:rPr>
        <w:t>):</w:t>
      </w:r>
    </w:p>
    <w:p w14:paraId="689E4C9E">
      <w:pPr>
        <w:numPr>
          <w:ilvl w:val="0"/>
          <w:numId w:val="0"/>
        </w:numPr>
        <w:spacing w:line="480" w:lineRule="auto"/>
        <w:ind w:right="-334" w:rightChars="0"/>
        <w:outlineLvl w:val="0"/>
        <w:rPr>
          <w:rFonts w:hint="default" w:ascii="宋体" w:hAnsi="宋体" w:eastAsia="宋体" w:cs="宋体"/>
          <w:sz w:val="24"/>
          <w:szCs w:val="24"/>
          <w:lang w:val="en-US" w:eastAsia="zh-CN"/>
        </w:rPr>
      </w:pPr>
      <w:r>
        <w:rPr>
          <w:rFonts w:hint="default" w:ascii="宋体" w:hAnsi="宋体" w:eastAsia="宋体" w:cs="宋体"/>
          <w:position w:val="-24"/>
          <w:sz w:val="24"/>
          <w:szCs w:val="24"/>
          <w:lang w:val="en-US" w:eastAsia="zh-CN"/>
        </w:rPr>
        <w:object>
          <v:shape id="_x0000_i1026" o:spt="75" type="#_x0000_t75" style="height:31pt;width:113pt;" o:ole="t" filled="f" o:preferrelative="t" stroked="f" coordsize="21600,21600">
            <v:path/>
            <v:fill on="f" focussize="0,0"/>
            <v:stroke on="f"/>
            <v:imagedata r:id="rId7" o:title=""/>
            <o:lock v:ext="edit" aspectratio="t"/>
            <w10:wrap type="none"/>
            <w10:anchorlock/>
          </v:shape>
          <o:OLEObject Type="Embed" ProgID="Equation.KSEE3" ShapeID="_x0000_i1026" DrawAspect="Content" ObjectID="_1468075726" r:id="rId6">
            <o:LockedField>false</o:LockedField>
          </o:OLEObject>
        </w:object>
      </w:r>
    </w:p>
    <w:p w14:paraId="76004FA1">
      <w:pPr>
        <w:numPr>
          <w:ilvl w:val="0"/>
          <w:numId w:val="0"/>
        </w:numPr>
        <w:spacing w:line="480" w:lineRule="auto"/>
        <w:ind w:right="-334" w:rightChars="0"/>
        <w:outlineLvl w:val="0"/>
        <w:rPr>
          <w:rFonts w:hint="default" w:ascii="Times New Roman" w:hAnsi="Times New Roman" w:eastAsia="Arial Unicode MS" w:cs="Times New Roman"/>
          <w:i w:val="0"/>
          <w:iCs w:val="0"/>
          <w:color w:val="000000"/>
          <w:kern w:val="2"/>
          <w:sz w:val="20"/>
          <w:szCs w:val="20"/>
          <w:lang w:val="en-US" w:eastAsia="zh-CN" w:bidi="ar-SA"/>
        </w:rPr>
      </w:pPr>
      <w:r>
        <w:rPr>
          <w:rFonts w:hint="default" w:ascii="Times New Roman" w:hAnsi="Times New Roman" w:eastAsia="Arial Unicode MS" w:cs="Times New Roman"/>
          <w:i w:val="0"/>
          <w:iCs w:val="0"/>
          <w:color w:val="000000"/>
          <w:kern w:val="2"/>
          <w:sz w:val="20"/>
          <w:szCs w:val="20"/>
          <w:lang w:val="en-US" w:eastAsia="zh-CN" w:bidi="ar-SA"/>
        </w:rPr>
        <w:t>Water surface area</w:t>
      </w:r>
      <w:r>
        <w:rPr>
          <w:rFonts w:hint="eastAsia" w:ascii="Times New Roman" w:hAnsi="Times New Roman" w:eastAsia="Arial Unicode MS" w:cs="Times New Roman"/>
          <w:i w:val="0"/>
          <w:iCs w:val="0"/>
          <w:color w:val="000000"/>
          <w:kern w:val="2"/>
          <w:sz w:val="20"/>
          <w:szCs w:val="20"/>
          <w:lang w:val="en-US" w:eastAsia="zh-CN" w:bidi="ar-SA"/>
        </w:rPr>
        <w:t xml:space="preserve"> (</w:t>
      </w:r>
      <w:r>
        <w:rPr>
          <w:rFonts w:hint="default" w:ascii="Times New Roman" w:hAnsi="Times New Roman" w:eastAsia="Arial Unicode MS" w:cs="Times New Roman"/>
          <w:i/>
          <w:iCs/>
          <w:color w:val="000000"/>
          <w:kern w:val="2"/>
          <w:sz w:val="20"/>
          <w:szCs w:val="20"/>
          <w:lang w:val="en-US" w:eastAsia="zh-CN" w:bidi="ar-SA"/>
        </w:rPr>
        <w:t>W</w:t>
      </w:r>
      <w:r>
        <w:rPr>
          <w:rFonts w:hint="default" w:ascii="Times New Roman" w:hAnsi="Times New Roman" w:eastAsia="Arial Unicode MS" w:cs="Times New Roman"/>
          <w:i w:val="0"/>
          <w:iCs w:val="0"/>
          <w:color w:val="000000"/>
          <w:kern w:val="2"/>
          <w:sz w:val="20"/>
          <w:szCs w:val="20"/>
          <w:vertAlign w:val="subscript"/>
          <w:lang w:val="en-US" w:eastAsia="zh-CN" w:bidi="ar-SA"/>
        </w:rPr>
        <w:t>p</w:t>
      </w:r>
      <w:r>
        <w:rPr>
          <w:rFonts w:hint="eastAsia" w:ascii="Times New Roman" w:hAnsi="Times New Roman" w:eastAsia="Arial Unicode MS" w:cs="Times New Roman"/>
          <w:i w:val="0"/>
          <w:iCs w:val="0"/>
          <w:color w:val="000000"/>
          <w:kern w:val="2"/>
          <w:sz w:val="20"/>
          <w:szCs w:val="20"/>
          <w:lang w:val="en-US" w:eastAsia="zh-CN" w:bidi="ar-SA"/>
        </w:rPr>
        <w:t>)</w:t>
      </w:r>
    </w:p>
    <w:p w14:paraId="3A582601">
      <w:pPr>
        <w:numPr>
          <w:ilvl w:val="0"/>
          <w:numId w:val="0"/>
        </w:numPr>
        <w:spacing w:line="480" w:lineRule="auto"/>
        <w:ind w:right="-334" w:rightChars="0"/>
        <w:outlineLvl w:val="0"/>
        <w:rPr>
          <w:rFonts w:hint="default" w:ascii="宋体" w:hAnsi="宋体" w:eastAsia="宋体" w:cs="宋体"/>
          <w:sz w:val="24"/>
          <w:szCs w:val="24"/>
          <w:lang w:val="en-US" w:eastAsia="zh-CN"/>
        </w:rPr>
      </w:pPr>
      <w:r>
        <w:rPr>
          <w:rFonts w:hint="default" w:ascii="宋体" w:hAnsi="宋体" w:eastAsia="宋体" w:cs="宋体"/>
          <w:position w:val="-24"/>
          <w:sz w:val="24"/>
          <w:szCs w:val="24"/>
          <w:lang w:val="en-US" w:eastAsia="zh-CN"/>
        </w:rPr>
        <w:object>
          <v:shape id="_x0000_i1027" o:spt="75" type="#_x0000_t75" style="height:31pt;width:120pt;" o:ole="t" filled="f" o:preferrelative="t" stroked="f" coordsize="21600,21600">
            <v:path/>
            <v:fill on="f" focussize="0,0"/>
            <v:stroke on="f"/>
            <v:imagedata r:id="rId9" o:title=""/>
            <o:lock v:ext="edit" aspectratio="t"/>
            <w10:wrap type="none"/>
            <w10:anchorlock/>
          </v:shape>
          <o:OLEObject Type="Embed" ProgID="Equation.KSEE3" ShapeID="_x0000_i1027" DrawAspect="Content" ObjectID="_1468075727" r:id="rId8">
            <o:LockedField>false</o:LockedField>
          </o:OLEObject>
        </w:object>
      </w:r>
    </w:p>
    <w:p w14:paraId="15E4E7BA">
      <w:pPr>
        <w:numPr>
          <w:ilvl w:val="0"/>
          <w:numId w:val="0"/>
        </w:numPr>
        <w:spacing w:line="480" w:lineRule="auto"/>
        <w:ind w:right="-334" w:rightChars="0"/>
        <w:outlineLvl w:val="0"/>
        <w:rPr>
          <w:rFonts w:hint="default" w:ascii="Times New Roman" w:hAnsi="Times New Roman" w:eastAsia="Arial Unicode MS" w:cs="Times New Roman"/>
          <w:i w:val="0"/>
          <w:iCs w:val="0"/>
          <w:color w:val="000000"/>
          <w:kern w:val="2"/>
          <w:sz w:val="20"/>
          <w:szCs w:val="20"/>
          <w:lang w:val="en-US" w:eastAsia="zh-CN" w:bidi="ar-SA"/>
        </w:rPr>
      </w:pPr>
      <w:r>
        <w:rPr>
          <w:rFonts w:hint="default" w:ascii="Times New Roman" w:hAnsi="Times New Roman" w:eastAsia="Arial Unicode MS" w:cs="Times New Roman"/>
          <w:i w:val="0"/>
          <w:iCs w:val="0"/>
          <w:color w:val="000000"/>
          <w:kern w:val="2"/>
          <w:sz w:val="20"/>
          <w:szCs w:val="20"/>
          <w:lang w:val="en-US" w:eastAsia="zh-CN" w:bidi="ar-SA"/>
        </w:rPr>
        <w:t>The interval normalization method was used to standardize each parameter to a range from 0 to 1.</w:t>
      </w:r>
    </w:p>
    <w:p w14:paraId="1C0C2F32">
      <w:pPr>
        <w:numPr>
          <w:ilvl w:val="0"/>
          <w:numId w:val="0"/>
        </w:numPr>
        <w:spacing w:line="480" w:lineRule="auto"/>
        <w:ind w:right="-334" w:rightChars="0"/>
        <w:outlineLvl w:val="0"/>
        <w:rPr>
          <w:rFonts w:hint="eastAsia" w:ascii="宋体" w:hAnsi="宋体" w:eastAsia="宋体" w:cs="宋体"/>
          <w:sz w:val="24"/>
          <w:szCs w:val="24"/>
          <w:lang w:val="en-US" w:eastAsia="zh-CN"/>
        </w:rPr>
      </w:pPr>
      <w:r>
        <w:rPr>
          <w:rFonts w:hint="eastAsia" w:ascii="宋体" w:hAnsi="宋体" w:eastAsia="宋体" w:cs="宋体"/>
          <w:position w:val="-30"/>
          <w:sz w:val="24"/>
          <w:szCs w:val="24"/>
          <w:lang w:val="en-US" w:eastAsia="zh-CN"/>
        </w:rPr>
        <w:object>
          <v:shape id="_x0000_i1028" o:spt="75" type="#_x0000_t75" style="height:34pt;width:121pt;" o:ole="t" filled="f" o:preferrelative="t" stroked="f" coordsize="21600,21600">
            <v:path/>
            <v:fill on="f" focussize="0,0"/>
            <v:stroke on="f"/>
            <v:imagedata r:id="rId11" o:title=""/>
            <o:lock v:ext="edit" aspectratio="t"/>
            <w10:wrap type="none"/>
            <w10:anchorlock/>
          </v:shape>
          <o:OLEObject Type="Embed" ProgID="Equation.KSEE3" ShapeID="_x0000_i1028" DrawAspect="Content" ObjectID="_1468075728" r:id="rId10">
            <o:LockedField>false</o:LockedField>
          </o:OLEObject>
        </w:object>
      </w:r>
    </w:p>
    <w:p w14:paraId="6892A8FA">
      <w:pPr>
        <w:numPr>
          <w:ilvl w:val="0"/>
          <w:numId w:val="0"/>
        </w:numPr>
        <w:spacing w:line="480" w:lineRule="auto"/>
        <w:ind w:right="-334" w:rightChars="0"/>
        <w:outlineLvl w:val="0"/>
        <w:rPr>
          <w:rFonts w:hint="eastAsia" w:ascii="Times New Roman" w:hAnsi="Times New Roman" w:eastAsia="Arial Unicode MS" w:cs="Times New Roman"/>
          <w:i w:val="0"/>
          <w:iCs w:val="0"/>
          <w:color w:val="000000"/>
          <w:kern w:val="2"/>
          <w:sz w:val="20"/>
          <w:szCs w:val="20"/>
          <w:lang w:val="en-US" w:eastAsia="zh-CN" w:bidi="ar-SA"/>
        </w:rPr>
      </w:pPr>
      <w:r>
        <w:rPr>
          <w:rFonts w:hint="eastAsia" w:ascii="Times New Roman" w:hAnsi="Times New Roman" w:eastAsia="Arial Unicode MS" w:cs="Times New Roman"/>
          <w:i w:val="0"/>
          <w:iCs w:val="0"/>
          <w:color w:val="000000"/>
          <w:kern w:val="2"/>
          <w:sz w:val="20"/>
          <w:szCs w:val="20"/>
          <w:lang w:val="en-US" w:eastAsia="zh-CN" w:bidi="ar-SA"/>
        </w:rPr>
        <w:object>
          <v:shape id="_x0000_i1029" o:spt="75" type="#_x0000_t75" style="height:17pt;width:16pt;" o:ole="t" filled="f" o:preferrelative="t" stroked="f" coordsize="21600,21600">
            <v:path/>
            <v:fill on="f" focussize="0,0"/>
            <v:stroke on="f"/>
            <v:imagedata r:id="rId13" o:title=""/>
            <o:lock v:ext="edit" aspectratio="t"/>
            <w10:wrap type="none"/>
            <w10:anchorlock/>
          </v:shape>
          <o:OLEObject Type="Embed" ProgID="Equation.KSEE3" ShapeID="_x0000_i1029" DrawAspect="Content" ObjectID="_1468075729" r:id="rId12">
            <o:LockedField>false</o:LockedField>
          </o:OLEObject>
        </w:object>
      </w:r>
      <w:r>
        <w:rPr>
          <w:rFonts w:hint="eastAsia" w:ascii="Times New Roman" w:hAnsi="Times New Roman" w:eastAsia="Arial Unicode MS" w:cs="Times New Roman"/>
          <w:i w:val="0"/>
          <w:iCs w:val="0"/>
          <w:color w:val="000000"/>
          <w:kern w:val="2"/>
          <w:sz w:val="20"/>
          <w:szCs w:val="20"/>
          <w:lang w:val="en-US" w:eastAsia="zh-CN" w:bidi="ar-SA"/>
        </w:rPr>
        <w:t>is original parameter values for each hydrological unit.</w:t>
      </w:r>
    </w:p>
    <w:p w14:paraId="392766A1">
      <w:pPr>
        <w:numPr>
          <w:ilvl w:val="0"/>
          <w:numId w:val="0"/>
        </w:numPr>
        <w:spacing w:line="480" w:lineRule="auto"/>
        <w:ind w:right="-334" w:rightChars="0"/>
        <w:outlineLvl w:val="0"/>
        <w:rPr>
          <w:rFonts w:hint="default" w:ascii="Times New Roman" w:hAnsi="Times New Roman" w:eastAsia="Arial Unicode MS" w:cs="Times New Roman"/>
          <w:i w:val="0"/>
          <w:iCs w:val="0"/>
          <w:color w:val="000000"/>
          <w:kern w:val="2"/>
          <w:sz w:val="20"/>
          <w:szCs w:val="20"/>
          <w:lang w:val="en-US" w:eastAsia="zh-CN" w:bidi="ar-SA"/>
        </w:rPr>
      </w:pPr>
      <w:r>
        <w:rPr>
          <w:rFonts w:hint="eastAsia" w:ascii="Times New Roman" w:hAnsi="Times New Roman" w:eastAsia="Arial Unicode MS" w:cs="Times New Roman"/>
          <w:i w:val="0"/>
          <w:iCs w:val="0"/>
          <w:color w:val="000000"/>
          <w:kern w:val="2"/>
          <w:position w:val="-10"/>
          <w:sz w:val="20"/>
          <w:szCs w:val="20"/>
          <w:lang w:val="en-US" w:eastAsia="zh-CN" w:bidi="ar-SA"/>
        </w:rPr>
        <w:object>
          <v:shape id="_x0000_i1030" o:spt="75" type="#_x0000_t75" style="height:17pt;width:24.95pt;" o:ole="t" filled="f" o:preferrelative="t" stroked="f" coordsize="21600,21600">
            <v:path/>
            <v:fill on="f" focussize="0,0"/>
            <v:stroke on="f"/>
            <v:imagedata r:id="rId15" o:title=""/>
            <o:lock v:ext="edit" aspectratio="t"/>
            <w10:wrap type="none"/>
            <w10:anchorlock/>
          </v:shape>
          <o:OLEObject Type="Embed" ProgID="Equation.KSEE3" ShapeID="_x0000_i1030" DrawAspect="Content" ObjectID="_1468075730" r:id="rId14">
            <o:LockedField>false</o:LockedField>
          </o:OLEObject>
        </w:object>
      </w:r>
      <w:r>
        <w:rPr>
          <w:rFonts w:hint="eastAsia" w:ascii="Times New Roman" w:hAnsi="Times New Roman" w:eastAsia="Arial Unicode MS" w:cs="Times New Roman"/>
          <w:i w:val="0"/>
          <w:iCs w:val="0"/>
          <w:color w:val="000000"/>
          <w:kern w:val="2"/>
          <w:sz w:val="20"/>
          <w:szCs w:val="20"/>
          <w:vertAlign w:val="baseline"/>
          <w:lang w:val="en-US" w:eastAsia="zh-CN" w:bidi="ar-SA"/>
        </w:rPr>
        <w:t>and</w:t>
      </w:r>
      <w:r>
        <w:rPr>
          <w:rFonts w:hint="eastAsia" w:ascii="Times New Roman" w:hAnsi="Times New Roman" w:eastAsia="Arial Unicode MS" w:cs="Times New Roman"/>
          <w:i w:val="0"/>
          <w:iCs w:val="0"/>
          <w:color w:val="000000"/>
          <w:kern w:val="2"/>
          <w:position w:val="-12"/>
          <w:sz w:val="20"/>
          <w:szCs w:val="20"/>
          <w:lang w:val="en-US" w:eastAsia="zh-CN" w:bidi="ar-SA"/>
        </w:rPr>
        <w:object>
          <v:shape id="_x0000_i1031" o:spt="75" type="#_x0000_t75" style="height:18pt;width:26pt;" o:ole="t" filled="f" o:preferrelative="t" stroked="f" coordsize="21600,21600">
            <v:path/>
            <v:fill on="f" focussize="0,0"/>
            <v:stroke on="f"/>
            <v:imagedata r:id="rId17" o:title=""/>
            <o:lock v:ext="edit" aspectratio="t"/>
            <w10:wrap type="none"/>
            <w10:anchorlock/>
          </v:shape>
          <o:OLEObject Type="Embed" ProgID="Equation.KSEE3" ShapeID="_x0000_i1031" DrawAspect="Content" ObjectID="_1468075731" r:id="rId16">
            <o:LockedField>false</o:LockedField>
          </o:OLEObject>
        </w:object>
      </w:r>
      <w:r>
        <w:rPr>
          <w:rFonts w:hint="default" w:ascii="Times New Roman" w:hAnsi="Times New Roman" w:eastAsia="Arial Unicode MS" w:cs="Times New Roman"/>
          <w:i w:val="0"/>
          <w:iCs w:val="0"/>
          <w:color w:val="000000"/>
          <w:kern w:val="2"/>
          <w:sz w:val="20"/>
          <w:szCs w:val="20"/>
          <w:lang w:val="en-US" w:eastAsia="zh-CN" w:bidi="ar-SA"/>
        </w:rPr>
        <w:t>are the minimum and maximum values of the parameter, respectively.</w:t>
      </w:r>
    </w:p>
    <w:p w14:paraId="27B08890">
      <w:pPr>
        <w:numPr>
          <w:ilvl w:val="0"/>
          <w:numId w:val="0"/>
        </w:numPr>
        <w:spacing w:line="480" w:lineRule="auto"/>
        <w:ind w:right="-334" w:rightChars="0"/>
        <w:jc w:val="left"/>
        <w:outlineLvl w:val="0"/>
        <w:rPr>
          <w:rFonts w:hint="default" w:ascii="Times New Roman" w:hAnsi="Times New Roman" w:eastAsia="Arial Unicode MS" w:cs="Times New Roman"/>
          <w:i w:val="0"/>
          <w:iCs w:val="0"/>
          <w:color w:val="000000"/>
          <w:kern w:val="2"/>
          <w:sz w:val="20"/>
          <w:szCs w:val="20"/>
          <w:lang w:val="en-US" w:eastAsia="zh-CN" w:bidi="ar-SA"/>
        </w:rPr>
      </w:pPr>
      <w:r>
        <w:rPr>
          <w:rFonts w:hint="default" w:ascii="Times New Roman" w:hAnsi="Times New Roman" w:eastAsia="Arial Unicode MS" w:cs="Times New Roman"/>
          <w:i w:val="0"/>
          <w:iCs w:val="0"/>
          <w:color w:val="000000"/>
          <w:kern w:val="2"/>
          <w:sz w:val="20"/>
          <w:szCs w:val="20"/>
          <w:lang w:val="en-US" w:eastAsia="zh-CN" w:bidi="ar-SA"/>
        </w:rPr>
        <w:t>To comprehensively consider the influence of different parameters on hydrological connectivity, we used the AHP method to assign weights to each standardized parameter.</w:t>
      </w:r>
    </w:p>
    <w:p w14:paraId="408A197F">
      <w:pPr>
        <w:numPr>
          <w:ilvl w:val="0"/>
          <w:numId w:val="0"/>
        </w:numPr>
        <w:spacing w:line="480" w:lineRule="auto"/>
        <w:ind w:right="-334" w:rightChars="0"/>
        <w:jc w:val="left"/>
        <w:outlineLvl w:val="0"/>
        <w:rPr>
          <w:rFonts w:hint="eastAsia" w:ascii="宋体" w:hAnsi="宋体" w:eastAsia="宋体" w:cs="宋体"/>
          <w:sz w:val="24"/>
          <w:szCs w:val="24"/>
          <w:lang w:val="en-US" w:eastAsia="zh-CN"/>
        </w:rPr>
      </w:pPr>
      <w:r>
        <w:rPr>
          <w:rFonts w:hint="default" w:ascii="Times New Roman" w:hAnsi="Times New Roman" w:eastAsia="Arial Unicode MS" w:cs="Times New Roman"/>
          <w:i w:val="0"/>
          <w:iCs w:val="0"/>
          <w:color w:val="000000"/>
          <w:kern w:val="2"/>
          <w:sz w:val="20"/>
          <w:szCs w:val="20"/>
          <w:lang w:val="en-US" w:eastAsia="zh-CN" w:bidi="ar-SA"/>
        </w:rPr>
        <w:t xml:space="preserve">Finally, we combined the standardized values of each parameter with their respective weights and used the following formula to calculate the Hydrological Connectivity Index </w:t>
      </w:r>
      <w:r>
        <w:rPr>
          <w:rFonts w:hint="eastAsia" w:ascii="宋体" w:hAnsi="宋体" w:eastAsia="宋体" w:cs="宋体"/>
          <w:position w:val="-12"/>
          <w:sz w:val="24"/>
          <w:szCs w:val="24"/>
          <w:lang w:val="en-US" w:eastAsia="zh-CN"/>
        </w:rPr>
        <w:object>
          <v:shape id="_x0000_i1032" o:spt="75" type="#_x0000_t75" style="height:18pt;width:348.95pt;" o:ole="t" filled="f" o:preferrelative="t" stroked="f" coordsize="21600,21600">
            <v:path/>
            <v:fill on="f" focussize="0,0"/>
            <v:stroke on="f"/>
            <v:imagedata r:id="rId19" o:title=""/>
            <o:lock v:ext="edit" aspectratio="t"/>
            <w10:wrap type="none"/>
            <w10:anchorlock/>
          </v:shape>
          <o:OLEObject Type="Embed" ProgID="Equation.KSEE3" ShapeID="_x0000_i1032" DrawAspect="Content" ObjectID="_1468075732" r:id="rId18">
            <o:LockedField>false</o:LockedField>
          </o:OLEObject>
        </w:object>
      </w:r>
    </w:p>
    <w:p w14:paraId="12BA465E">
      <w:pPr>
        <w:numPr>
          <w:ilvl w:val="0"/>
          <w:numId w:val="0"/>
        </w:numPr>
        <w:spacing w:line="480" w:lineRule="auto"/>
        <w:ind w:right="-334" w:rightChars="0"/>
        <w:outlineLvl w:val="0"/>
        <w:rPr>
          <w:rFonts w:hint="default" w:ascii="Times New Roman" w:hAnsi="Times New Roman" w:eastAsia="宋体" w:cs="Times New Roman"/>
          <w:sz w:val="20"/>
          <w:szCs w:val="20"/>
        </w:rPr>
      </w:pPr>
      <w:r>
        <w:rPr>
          <w:rFonts w:hint="default" w:ascii="Times New Roman" w:hAnsi="Times New Roman" w:eastAsia="宋体" w:cs="Times New Roman"/>
          <w:position w:val="-10"/>
          <w:sz w:val="20"/>
          <w:szCs w:val="20"/>
        </w:rPr>
        <w:object>
          <v:shape id="_x0000_i1033" o:spt="75" type="#_x0000_t75" style="height:17pt;width:13.95pt;" o:ole="t" filled="f" o:preferrelative="t" stroked="f" coordsize="21600,21600">
            <v:path/>
            <v:fill on="f" focussize="0,0"/>
            <v:stroke on="f"/>
            <v:imagedata r:id="rId21" o:title=""/>
            <o:lock v:ext="edit" aspectratio="t"/>
            <w10:wrap type="none"/>
            <w10:anchorlock/>
          </v:shape>
          <o:OLEObject Type="Embed" ProgID="Equation.KSEE3" ShapeID="_x0000_i1033" DrawAspect="Content" ObjectID="_1468075733" r:id="rId20">
            <o:LockedField>false</o:LockedField>
          </o:OLEObject>
        </w:object>
      </w:r>
      <w:r>
        <w:rPr>
          <w:rFonts w:hint="default" w:ascii="Times New Roman" w:hAnsi="Times New Roman" w:eastAsia="宋体" w:cs="Times New Roman"/>
          <w:sz w:val="20"/>
          <w:szCs w:val="20"/>
        </w:rPr>
        <w:t>​,</w:t>
      </w:r>
      <w:r>
        <w:rPr>
          <w:rFonts w:hint="default" w:ascii="Times New Roman" w:hAnsi="Times New Roman" w:eastAsia="宋体" w:cs="Times New Roman"/>
          <w:position w:val="-10"/>
          <w:sz w:val="20"/>
          <w:szCs w:val="20"/>
        </w:rPr>
        <w:object>
          <v:shape id="_x0000_i1034" o:spt="75" type="#_x0000_t75" style="height:17pt;width:15pt;" o:ole="t" filled="f" o:preferrelative="t" stroked="f" coordsize="21600,21600">
            <v:path/>
            <v:fill on="f" focussize="0,0"/>
            <v:stroke on="f"/>
            <v:imagedata r:id="rId23" o:title=""/>
            <o:lock v:ext="edit" aspectratio="t"/>
            <w10:wrap type="none"/>
            <w10:anchorlock/>
          </v:shape>
          <o:OLEObject Type="Embed" ProgID="Equation.KSEE3" ShapeID="_x0000_i1034" DrawAspect="Content" ObjectID="_1468075734" r:id="rId22">
            <o:LockedField>false</o:LockedField>
          </o:OLEObject>
        </w:object>
      </w:r>
      <w:r>
        <w:rPr>
          <w:rFonts w:hint="default" w:ascii="Times New Roman" w:hAnsi="Times New Roman" w:eastAsia="宋体" w:cs="Times New Roman"/>
          <w:sz w:val="20"/>
          <w:szCs w:val="20"/>
        </w:rPr>
        <w:t>​,</w:t>
      </w:r>
      <w:r>
        <w:rPr>
          <w:rFonts w:hint="default" w:ascii="Times New Roman" w:hAnsi="Times New Roman" w:eastAsia="宋体" w:cs="Times New Roman"/>
          <w:position w:val="-12"/>
          <w:sz w:val="20"/>
          <w:szCs w:val="20"/>
        </w:rPr>
        <w:object>
          <v:shape id="_x0000_i1035" o:spt="75" type="#_x0000_t75" style="height:18pt;width:15pt;" o:ole="t" filled="f" o:preferrelative="t" stroked="f" coordsize="21600,21600">
            <v:path/>
            <v:fill on="f" focussize="0,0"/>
            <v:stroke on="f"/>
            <v:imagedata r:id="rId25" o:title=""/>
            <o:lock v:ext="edit" aspectratio="t"/>
            <w10:wrap type="none"/>
            <w10:anchorlock/>
          </v:shape>
          <o:OLEObject Type="Embed" ProgID="Equation.KSEE3" ShapeID="_x0000_i1035" DrawAspect="Content" ObjectID="_1468075735" r:id="rId24">
            <o:LockedField>false</o:LockedField>
          </o:OLEObject>
        </w:object>
      </w:r>
      <w:r>
        <w:rPr>
          <w:rFonts w:hint="default" w:ascii="Times New Roman" w:hAnsi="Times New Roman" w:eastAsia="宋体" w:cs="Times New Roman"/>
          <w:sz w:val="20"/>
          <w:szCs w:val="20"/>
        </w:rPr>
        <w:t>​are the weight values determined through the AHP method.</w:t>
      </w:r>
    </w:p>
    <w:p w14:paraId="59C3B84B">
      <w:pPr>
        <w:numPr>
          <w:ilvl w:val="0"/>
          <w:numId w:val="0"/>
        </w:numPr>
        <w:spacing w:line="480" w:lineRule="auto"/>
        <w:ind w:right="-334" w:rightChars="0"/>
        <w:outlineLvl w:val="0"/>
        <w:rPr>
          <w:rFonts w:hint="default" w:ascii="Times New Roman" w:hAnsi="Times New Roman" w:eastAsia="宋体" w:cs="Times New Roman"/>
          <w:sz w:val="20"/>
          <w:szCs w:val="20"/>
        </w:rPr>
      </w:pPr>
      <w:r>
        <w:rPr>
          <w:rFonts w:hint="default" w:ascii="Times New Roman" w:hAnsi="Times New Roman" w:eastAsia="宋体" w:cs="Times New Roman"/>
          <w:position w:val="-12"/>
          <w:sz w:val="20"/>
          <w:szCs w:val="20"/>
          <w:lang w:val="en-US" w:eastAsia="zh-CN"/>
        </w:rPr>
        <w:object>
          <v:shape id="_x0000_i1036" o:spt="75" type="#_x0000_t75" style="height:18pt;width:60.95pt;" o:ole="t" filled="f" o:preferrelative="t" stroked="f" coordsize="21600,21600">
            <v:path/>
            <v:fill on="f" focussize="0,0"/>
            <v:stroke on="f"/>
            <v:imagedata r:id="rId27" o:title=""/>
            <o:lock v:ext="edit" aspectratio="t"/>
            <w10:wrap type="none"/>
            <w10:anchorlock/>
          </v:shape>
          <o:OLEObject Type="Embed" ProgID="Equation.KSEE3" ShapeID="_x0000_i1036" DrawAspect="Content" ObjectID="_1468075736" r:id="rId26">
            <o:LockedField>false</o:LockedField>
          </o:OLEObject>
        </w:objec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position w:val="-12"/>
          <w:sz w:val="20"/>
          <w:szCs w:val="20"/>
          <w:lang w:val="en-US" w:eastAsia="zh-CN"/>
        </w:rPr>
        <w:object>
          <v:shape id="_x0000_i1037" o:spt="75" type="#_x0000_t75" style="height:18pt;width:70pt;" o:ole="t" filled="f" o:preferrelative="t" stroked="f" coordsize="21600,21600">
            <v:path/>
            <v:fill on="f" focussize="0,0"/>
            <v:stroke on="f"/>
            <v:imagedata r:id="rId29" o:title=""/>
            <o:lock v:ext="edit" aspectratio="t"/>
            <w10:wrap type="none"/>
            <w10:anchorlock/>
          </v:shape>
          <o:OLEObject Type="Embed" ProgID="Equation.KSEE3" ShapeID="_x0000_i1037" DrawAspect="Content" ObjectID="_1468075737" r:id="rId28">
            <o:LockedField>false</o:LockedField>
          </o:OLEObject>
        </w:object>
      </w:r>
      <w:r>
        <w:rPr>
          <w:rFonts w:hint="default" w:ascii="Times New Roman" w:hAnsi="Times New Roman" w:eastAsia="宋体" w:cs="Times New Roman"/>
          <w:sz w:val="20"/>
          <w:szCs w:val="20"/>
          <w:lang w:val="en-US" w:eastAsia="zh-CN"/>
        </w:rPr>
        <w:t>,</w:t>
      </w:r>
      <w:r>
        <w:rPr>
          <w:rFonts w:hint="default" w:ascii="Times New Roman" w:hAnsi="Times New Roman" w:eastAsia="宋体" w:cs="Times New Roman"/>
          <w:position w:val="-12"/>
          <w:sz w:val="20"/>
          <w:szCs w:val="20"/>
          <w:lang w:val="en-US" w:eastAsia="zh-CN"/>
        </w:rPr>
        <w:object>
          <v:shape id="_x0000_i1038" o:spt="75" type="#_x0000_t75" style="height:18pt;width:102pt;" o:ole="t" filled="f" o:preferrelative="t" stroked="f" coordsize="21600,21600">
            <v:path/>
            <v:fill on="f" focussize="0,0"/>
            <v:stroke on="f"/>
            <v:imagedata r:id="rId31" o:title=""/>
            <o:lock v:ext="edit" aspectratio="t"/>
            <w10:wrap type="none"/>
            <w10:anchorlock/>
          </v:shape>
          <o:OLEObject Type="Embed" ProgID="Equation.KSEE3" ShapeID="_x0000_i1038" DrawAspect="Content" ObjectID="_1468075738" r:id="rId30">
            <o:LockedField>false</o:LockedField>
          </o:OLEObject>
        </w:object>
      </w:r>
      <w:r>
        <w:rPr>
          <w:rFonts w:hint="default" w:ascii="Times New Roman" w:hAnsi="Times New Roman" w:eastAsia="宋体" w:cs="Times New Roman"/>
          <w:sz w:val="20"/>
          <w:szCs w:val="20"/>
        </w:rPr>
        <w:t>are the standardized values for each parameter.</w:t>
      </w:r>
    </w:p>
    <w:p w14:paraId="0F1EDB6D">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bCs/>
          <w:color w:val="auto"/>
          <w:lang w:val="en-US" w:eastAsia="zh-CN"/>
        </w:rPr>
      </w:pPr>
    </w:p>
    <w:p w14:paraId="1AB15621">
      <w:pPr>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p>
    <w:p w14:paraId="3BC5DD5C">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bCs/>
          <w:color w:val="auto"/>
          <w:lang w:eastAsia="zh-CN"/>
        </w:rPr>
        <w:t>Table S</w:t>
      </w:r>
      <w:r>
        <w:rPr>
          <w:rFonts w:hint="eastAsia" w:ascii="Times New Roman" w:hAnsi="Times New Roman" w:cs="Times New Roman"/>
          <w:b/>
          <w:bCs/>
          <w:color w:val="auto"/>
          <w:lang w:val="en-US" w:eastAsia="zh-CN"/>
        </w:rPr>
        <w:t>1</w:t>
      </w:r>
      <w:r>
        <w:rPr>
          <w:rFonts w:hint="eastAsia" w:ascii="Times New Roman" w:hAnsi="Times New Roman" w:cs="Times New Roman" w:eastAsiaTheme="minorEastAsia"/>
          <w:b/>
          <w:bCs/>
          <w:color w:val="auto"/>
          <w:lang w:eastAsia="zh-CN"/>
        </w:rPr>
        <w:t>.</w:t>
      </w:r>
      <w:r>
        <w:rPr>
          <w:rFonts w:hint="eastAsia" w:ascii="Times New Roman" w:hAnsi="Times New Roman" w:cs="Times New Roman" w:eastAsiaTheme="minorEastAsia"/>
          <w:b w:val="0"/>
          <w:bCs w:val="0"/>
          <w:color w:val="auto"/>
          <w:lang w:eastAsia="zh-CN"/>
        </w:rPr>
        <w:t xml:space="preserve"> Distribution of point sources in the</w:t>
      </w:r>
      <w:r>
        <w:rPr>
          <w:rFonts w:hint="eastAsia" w:ascii="Times New Roman" w:hAnsi="Times New Roman" w:cs="Times New Roman"/>
          <w:b w:val="0"/>
          <w:bCs w:val="0"/>
          <w:color w:val="auto"/>
          <w:lang w:val="en-US" w:eastAsia="zh-CN"/>
        </w:rPr>
        <w:t xml:space="preserve"> Baiyangdian</w:t>
      </w:r>
      <w:r>
        <w:rPr>
          <w:rFonts w:hint="eastAsia" w:ascii="Times New Roman" w:hAnsi="Times New Roman" w:cs="Times New Roman" w:eastAsiaTheme="minorEastAsia"/>
          <w:b w:val="0"/>
          <w:bCs w:val="0"/>
          <w:color w:val="auto"/>
          <w:lang w:eastAsia="zh-CN"/>
        </w:rPr>
        <w:t xml:space="preserve"> basin</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6"/>
        <w:gridCol w:w="891"/>
        <w:gridCol w:w="1007"/>
        <w:gridCol w:w="1978"/>
      </w:tblGrid>
      <w:tr w14:paraId="483F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725" w:type="pct"/>
            <w:tcBorders>
              <w:top w:val="single" w:color="000000" w:sz="12" w:space="0"/>
              <w:left w:val="nil"/>
              <w:bottom w:val="single" w:color="000000" w:sz="12" w:space="0"/>
              <w:right w:val="nil"/>
            </w:tcBorders>
            <w:shd w:val="clear" w:color="auto" w:fill="auto"/>
            <w:vAlign w:val="center"/>
          </w:tcPr>
          <w:p w14:paraId="0C65A34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bCs/>
                <w:color w:val="auto"/>
                <w:kern w:val="2"/>
                <w:sz w:val="18"/>
                <w:szCs w:val="21"/>
                <w:vertAlign w:val="baseline"/>
                <w:lang w:val="en-US" w:eastAsia="zh-CN" w:bidi="ar-SA"/>
              </w:rPr>
            </w:pPr>
            <w:r>
              <w:rPr>
                <w:rFonts w:hint="default" w:ascii="Times New Roman" w:hAnsi="Times New Roman" w:eastAsia="宋体" w:cs="Times New Roman"/>
                <w:b/>
                <w:bCs/>
                <w:color w:val="auto"/>
                <w:kern w:val="0"/>
                <w:sz w:val="18"/>
                <w:szCs w:val="18"/>
                <w:lang w:val="en-US" w:eastAsia="zh-CN" w:bidi="ar"/>
              </w:rPr>
              <w:t>Name of pollution sources</w:t>
            </w:r>
          </w:p>
        </w:tc>
        <w:tc>
          <w:tcPr>
            <w:tcW w:w="522" w:type="pct"/>
            <w:tcBorders>
              <w:top w:val="single" w:color="000000" w:sz="12" w:space="0"/>
              <w:left w:val="nil"/>
              <w:bottom w:val="single" w:color="000000" w:sz="12" w:space="0"/>
              <w:right w:val="nil"/>
            </w:tcBorders>
            <w:shd w:val="clear" w:color="auto" w:fill="auto"/>
            <w:vAlign w:val="center"/>
          </w:tcPr>
          <w:p w14:paraId="32F65B0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bCs/>
                <w:color w:val="auto"/>
                <w:kern w:val="2"/>
                <w:sz w:val="18"/>
                <w:szCs w:val="21"/>
                <w:vertAlign w:val="baseline"/>
                <w:lang w:val="en-US" w:eastAsia="zh-CN" w:bidi="ar-SA"/>
              </w:rPr>
            </w:pPr>
            <w:r>
              <w:rPr>
                <w:rFonts w:hint="default" w:ascii="Times New Roman" w:hAnsi="Times New Roman" w:eastAsia="宋体" w:cs="Times New Roman"/>
                <w:b/>
                <w:bCs/>
                <w:color w:val="auto"/>
                <w:kern w:val="0"/>
                <w:sz w:val="18"/>
                <w:szCs w:val="18"/>
                <w:lang w:val="en-US" w:eastAsia="zh-CN" w:bidi="ar"/>
              </w:rPr>
              <w:t>Latitude</w:t>
            </w:r>
          </w:p>
        </w:tc>
        <w:tc>
          <w:tcPr>
            <w:tcW w:w="590" w:type="pct"/>
            <w:tcBorders>
              <w:top w:val="single" w:color="000000" w:sz="12" w:space="0"/>
              <w:left w:val="nil"/>
              <w:bottom w:val="single" w:color="000000" w:sz="12" w:space="0"/>
              <w:right w:val="nil"/>
            </w:tcBorders>
            <w:shd w:val="clear" w:color="auto" w:fill="auto"/>
            <w:vAlign w:val="center"/>
          </w:tcPr>
          <w:p w14:paraId="4AA2BA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bCs/>
                <w:color w:val="auto"/>
                <w:kern w:val="2"/>
                <w:sz w:val="18"/>
                <w:szCs w:val="21"/>
                <w:vertAlign w:val="baseline"/>
                <w:lang w:val="en-US" w:eastAsia="zh-CN" w:bidi="ar-SA"/>
              </w:rPr>
            </w:pPr>
            <w:r>
              <w:rPr>
                <w:rFonts w:hint="default" w:ascii="Times New Roman" w:hAnsi="Times New Roman" w:eastAsia="宋体" w:cs="Times New Roman"/>
                <w:b/>
                <w:bCs/>
                <w:color w:val="auto"/>
                <w:kern w:val="0"/>
                <w:sz w:val="18"/>
                <w:szCs w:val="18"/>
                <w:lang w:val="en-US" w:eastAsia="zh-CN" w:bidi="ar"/>
              </w:rPr>
              <w:t>Longitude</w:t>
            </w:r>
          </w:p>
        </w:tc>
        <w:tc>
          <w:tcPr>
            <w:tcW w:w="1160" w:type="pct"/>
            <w:tcBorders>
              <w:top w:val="single" w:color="000000" w:sz="12" w:space="0"/>
              <w:left w:val="nil"/>
              <w:bottom w:val="single" w:color="000000" w:sz="12" w:space="0"/>
              <w:right w:val="nil"/>
            </w:tcBorders>
            <w:shd w:val="clear" w:color="auto" w:fill="auto"/>
            <w:vAlign w:val="center"/>
          </w:tcPr>
          <w:p w14:paraId="1B70B0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bCs/>
                <w:color w:val="auto"/>
                <w:kern w:val="2"/>
                <w:sz w:val="18"/>
                <w:szCs w:val="21"/>
                <w:vertAlign w:val="baseline"/>
                <w:lang w:val="en-US" w:eastAsia="zh-CN" w:bidi="ar-SA"/>
              </w:rPr>
            </w:pPr>
            <w:r>
              <w:rPr>
                <w:rFonts w:hint="default" w:ascii="Times New Roman" w:hAnsi="Times New Roman" w:eastAsia="宋体" w:cs="Times New Roman"/>
                <w:b/>
                <w:bCs/>
                <w:color w:val="auto"/>
                <w:kern w:val="0"/>
                <w:sz w:val="18"/>
                <w:szCs w:val="18"/>
                <w:lang w:val="en-US" w:eastAsia="zh-CN" w:bidi="ar"/>
              </w:rPr>
              <w:t>Industry Classification</w:t>
            </w:r>
          </w:p>
        </w:tc>
      </w:tr>
      <w:tr w14:paraId="28F9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single" w:color="000000" w:sz="12" w:space="0"/>
              <w:left w:val="nil"/>
              <w:bottom w:val="nil"/>
              <w:right w:val="nil"/>
            </w:tcBorders>
            <w:vAlign w:val="center"/>
          </w:tcPr>
          <w:p w14:paraId="062566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Lugang Wastewater Treatment Plant (Baoding Drainage Service Center)</w:t>
            </w:r>
          </w:p>
        </w:tc>
        <w:tc>
          <w:tcPr>
            <w:tcW w:w="522" w:type="pct"/>
            <w:tcBorders>
              <w:top w:val="single" w:color="000000" w:sz="12" w:space="0"/>
              <w:left w:val="nil"/>
              <w:bottom w:val="nil"/>
              <w:right w:val="nil"/>
            </w:tcBorders>
            <w:vAlign w:val="center"/>
          </w:tcPr>
          <w:p w14:paraId="2AFC65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115.4510</w:t>
            </w:r>
          </w:p>
        </w:tc>
        <w:tc>
          <w:tcPr>
            <w:tcW w:w="590" w:type="pct"/>
            <w:tcBorders>
              <w:top w:val="single" w:color="000000" w:sz="12" w:space="0"/>
              <w:left w:val="nil"/>
              <w:bottom w:val="nil"/>
              <w:right w:val="nil"/>
            </w:tcBorders>
            <w:vAlign w:val="center"/>
          </w:tcPr>
          <w:p w14:paraId="702B6D1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38.9133</w:t>
            </w:r>
          </w:p>
        </w:tc>
        <w:tc>
          <w:tcPr>
            <w:tcW w:w="1160" w:type="pct"/>
            <w:tcBorders>
              <w:top w:val="single" w:color="000000" w:sz="12" w:space="0"/>
              <w:left w:val="nil"/>
              <w:bottom w:val="nil"/>
              <w:right w:val="nil"/>
            </w:tcBorders>
            <w:vAlign w:val="center"/>
          </w:tcPr>
          <w:p w14:paraId="3F192C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6D5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20CBB6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Qingyuan Xiangtai Wastewater Treatment Plant (Baoding Runtian Environmental Technology Co., Ltd.)</w:t>
            </w:r>
          </w:p>
        </w:tc>
        <w:tc>
          <w:tcPr>
            <w:tcW w:w="522" w:type="pct"/>
            <w:tcBorders>
              <w:top w:val="nil"/>
              <w:left w:val="nil"/>
              <w:bottom w:val="nil"/>
              <w:right w:val="nil"/>
            </w:tcBorders>
            <w:vAlign w:val="center"/>
          </w:tcPr>
          <w:p w14:paraId="6D428F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115.4925</w:t>
            </w:r>
          </w:p>
        </w:tc>
        <w:tc>
          <w:tcPr>
            <w:tcW w:w="590" w:type="pct"/>
            <w:tcBorders>
              <w:top w:val="nil"/>
              <w:left w:val="nil"/>
              <w:bottom w:val="nil"/>
              <w:right w:val="nil"/>
            </w:tcBorders>
            <w:vAlign w:val="center"/>
          </w:tcPr>
          <w:p w14:paraId="3024B6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38.7894</w:t>
            </w:r>
          </w:p>
        </w:tc>
        <w:tc>
          <w:tcPr>
            <w:tcW w:w="1160" w:type="pct"/>
            <w:tcBorders>
              <w:top w:val="nil"/>
              <w:left w:val="nil"/>
              <w:bottom w:val="nil"/>
              <w:right w:val="nil"/>
            </w:tcBorders>
            <w:vAlign w:val="center"/>
          </w:tcPr>
          <w:p w14:paraId="6A6BA0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B95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6BB3F5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Xiyuan (Baoding Drainage Service Center - General Discharge - Phase II)</w:t>
            </w:r>
          </w:p>
        </w:tc>
        <w:tc>
          <w:tcPr>
            <w:tcW w:w="522" w:type="pct"/>
            <w:tcBorders>
              <w:top w:val="nil"/>
              <w:left w:val="nil"/>
              <w:bottom w:val="nil"/>
              <w:right w:val="nil"/>
            </w:tcBorders>
            <w:vAlign w:val="center"/>
          </w:tcPr>
          <w:p w14:paraId="3382E5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115.5444</w:t>
            </w:r>
          </w:p>
        </w:tc>
        <w:tc>
          <w:tcPr>
            <w:tcW w:w="590" w:type="pct"/>
            <w:tcBorders>
              <w:top w:val="nil"/>
              <w:left w:val="nil"/>
              <w:bottom w:val="nil"/>
              <w:right w:val="nil"/>
            </w:tcBorders>
            <w:vAlign w:val="center"/>
          </w:tcPr>
          <w:p w14:paraId="6AC2E2B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38.8644</w:t>
            </w:r>
          </w:p>
        </w:tc>
        <w:tc>
          <w:tcPr>
            <w:tcW w:w="1160" w:type="pct"/>
            <w:tcBorders>
              <w:top w:val="nil"/>
              <w:left w:val="nil"/>
              <w:bottom w:val="nil"/>
              <w:right w:val="nil"/>
            </w:tcBorders>
            <w:vAlign w:val="center"/>
          </w:tcPr>
          <w:p w14:paraId="461664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FE6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7323B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Yindinzhuang Wastewater Treatment Plant</w:t>
            </w:r>
          </w:p>
        </w:tc>
        <w:tc>
          <w:tcPr>
            <w:tcW w:w="522" w:type="pct"/>
            <w:tcBorders>
              <w:top w:val="nil"/>
              <w:left w:val="nil"/>
              <w:bottom w:val="nil"/>
              <w:right w:val="nil"/>
            </w:tcBorders>
            <w:vAlign w:val="center"/>
          </w:tcPr>
          <w:p w14:paraId="64682D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115.5479</w:t>
            </w:r>
          </w:p>
        </w:tc>
        <w:tc>
          <w:tcPr>
            <w:tcW w:w="590" w:type="pct"/>
            <w:tcBorders>
              <w:top w:val="nil"/>
              <w:left w:val="nil"/>
              <w:bottom w:val="nil"/>
              <w:right w:val="nil"/>
            </w:tcBorders>
            <w:vAlign w:val="center"/>
          </w:tcPr>
          <w:p w14:paraId="3AF5D4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38.8646</w:t>
            </w:r>
          </w:p>
        </w:tc>
        <w:tc>
          <w:tcPr>
            <w:tcW w:w="1160" w:type="pct"/>
            <w:tcBorders>
              <w:top w:val="nil"/>
              <w:left w:val="nil"/>
              <w:bottom w:val="nil"/>
              <w:right w:val="nil"/>
            </w:tcBorders>
            <w:vAlign w:val="center"/>
          </w:tcPr>
          <w:p w14:paraId="542A36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7CA9B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FD55E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Baoding Zhonghuan Jiacheng Wastewater Treatment Plant</w:t>
            </w:r>
          </w:p>
        </w:tc>
        <w:tc>
          <w:tcPr>
            <w:tcW w:w="522" w:type="pct"/>
            <w:tcBorders>
              <w:top w:val="nil"/>
              <w:left w:val="nil"/>
              <w:bottom w:val="nil"/>
              <w:right w:val="nil"/>
            </w:tcBorders>
            <w:vAlign w:val="center"/>
          </w:tcPr>
          <w:p w14:paraId="1FA80E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115.3542</w:t>
            </w:r>
          </w:p>
        </w:tc>
        <w:tc>
          <w:tcPr>
            <w:tcW w:w="590" w:type="pct"/>
            <w:tcBorders>
              <w:top w:val="nil"/>
              <w:left w:val="nil"/>
              <w:bottom w:val="nil"/>
              <w:right w:val="nil"/>
            </w:tcBorders>
            <w:vAlign w:val="center"/>
          </w:tcPr>
          <w:p w14:paraId="12FF80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38.8167</w:t>
            </w:r>
          </w:p>
        </w:tc>
        <w:tc>
          <w:tcPr>
            <w:tcW w:w="1160" w:type="pct"/>
            <w:tcBorders>
              <w:top w:val="nil"/>
              <w:left w:val="nil"/>
              <w:bottom w:val="nil"/>
              <w:right w:val="nil"/>
            </w:tcBorders>
            <w:vAlign w:val="center"/>
          </w:tcPr>
          <w:p w14:paraId="465199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0EBB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ACCC84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United Environmental Water Services (Gaoyang) Co., Ltd.</w:t>
            </w:r>
          </w:p>
        </w:tc>
        <w:tc>
          <w:tcPr>
            <w:tcW w:w="522" w:type="pct"/>
            <w:tcBorders>
              <w:top w:val="nil"/>
              <w:left w:val="nil"/>
              <w:bottom w:val="nil"/>
              <w:right w:val="nil"/>
            </w:tcBorders>
            <w:vAlign w:val="center"/>
          </w:tcPr>
          <w:p w14:paraId="6AB12AF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115.8070</w:t>
            </w:r>
          </w:p>
        </w:tc>
        <w:tc>
          <w:tcPr>
            <w:tcW w:w="590" w:type="pct"/>
            <w:tcBorders>
              <w:top w:val="nil"/>
              <w:left w:val="nil"/>
              <w:bottom w:val="nil"/>
              <w:right w:val="nil"/>
            </w:tcBorders>
            <w:vAlign w:val="center"/>
          </w:tcPr>
          <w:p w14:paraId="70A001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38.6988</w:t>
            </w:r>
          </w:p>
        </w:tc>
        <w:tc>
          <w:tcPr>
            <w:tcW w:w="1160" w:type="pct"/>
            <w:tcBorders>
              <w:top w:val="nil"/>
              <w:left w:val="nil"/>
              <w:bottom w:val="nil"/>
              <w:right w:val="nil"/>
            </w:tcBorders>
            <w:vAlign w:val="center"/>
          </w:tcPr>
          <w:p w14:paraId="0A32208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6AEA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2E156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Lixian Beiguodan Wastewater Treatment Plant</w:t>
            </w:r>
          </w:p>
        </w:tc>
        <w:tc>
          <w:tcPr>
            <w:tcW w:w="522" w:type="pct"/>
            <w:tcBorders>
              <w:top w:val="nil"/>
              <w:left w:val="nil"/>
              <w:bottom w:val="nil"/>
              <w:right w:val="nil"/>
            </w:tcBorders>
            <w:vAlign w:val="center"/>
          </w:tcPr>
          <w:p w14:paraId="6ACE34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115.6886</w:t>
            </w:r>
          </w:p>
        </w:tc>
        <w:tc>
          <w:tcPr>
            <w:tcW w:w="590" w:type="pct"/>
            <w:tcBorders>
              <w:top w:val="nil"/>
              <w:left w:val="nil"/>
              <w:bottom w:val="nil"/>
              <w:right w:val="nil"/>
            </w:tcBorders>
            <w:vAlign w:val="center"/>
          </w:tcPr>
          <w:p w14:paraId="0FAD85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38.6494</w:t>
            </w:r>
          </w:p>
        </w:tc>
        <w:tc>
          <w:tcPr>
            <w:tcW w:w="1160" w:type="pct"/>
            <w:tcBorders>
              <w:top w:val="nil"/>
              <w:left w:val="nil"/>
              <w:bottom w:val="nil"/>
              <w:right w:val="nil"/>
            </w:tcBorders>
            <w:vAlign w:val="center"/>
          </w:tcPr>
          <w:p w14:paraId="2CA059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239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58531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Anguo Jingmei Wastewater Treatment Co., Ltd.</w:t>
            </w:r>
          </w:p>
        </w:tc>
        <w:tc>
          <w:tcPr>
            <w:tcW w:w="522" w:type="pct"/>
            <w:tcBorders>
              <w:top w:val="nil"/>
              <w:left w:val="nil"/>
              <w:bottom w:val="nil"/>
              <w:right w:val="nil"/>
            </w:tcBorders>
            <w:vAlign w:val="center"/>
          </w:tcPr>
          <w:p w14:paraId="01E99EE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115.3333</w:t>
            </w:r>
          </w:p>
        </w:tc>
        <w:tc>
          <w:tcPr>
            <w:tcW w:w="590" w:type="pct"/>
            <w:tcBorders>
              <w:top w:val="nil"/>
              <w:left w:val="nil"/>
              <w:bottom w:val="nil"/>
              <w:right w:val="nil"/>
            </w:tcBorders>
            <w:vAlign w:val="center"/>
          </w:tcPr>
          <w:p w14:paraId="52AFBE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38.4833</w:t>
            </w:r>
          </w:p>
        </w:tc>
        <w:tc>
          <w:tcPr>
            <w:tcW w:w="1160" w:type="pct"/>
            <w:tcBorders>
              <w:top w:val="nil"/>
              <w:left w:val="nil"/>
              <w:bottom w:val="nil"/>
              <w:right w:val="nil"/>
            </w:tcBorders>
            <w:vAlign w:val="center"/>
          </w:tcPr>
          <w:p w14:paraId="349DF2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048D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AF8F7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Lixian Wastewater Treatment Plant</w:t>
            </w:r>
          </w:p>
        </w:tc>
        <w:tc>
          <w:tcPr>
            <w:tcW w:w="522" w:type="pct"/>
            <w:tcBorders>
              <w:top w:val="nil"/>
              <w:left w:val="nil"/>
              <w:bottom w:val="nil"/>
              <w:right w:val="nil"/>
            </w:tcBorders>
            <w:vAlign w:val="center"/>
          </w:tcPr>
          <w:p w14:paraId="131A1F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115.5817</w:t>
            </w:r>
          </w:p>
        </w:tc>
        <w:tc>
          <w:tcPr>
            <w:tcW w:w="590" w:type="pct"/>
            <w:tcBorders>
              <w:top w:val="nil"/>
              <w:left w:val="nil"/>
              <w:bottom w:val="nil"/>
              <w:right w:val="nil"/>
            </w:tcBorders>
            <w:vAlign w:val="center"/>
          </w:tcPr>
          <w:p w14:paraId="70D99E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38.5072</w:t>
            </w:r>
          </w:p>
        </w:tc>
        <w:tc>
          <w:tcPr>
            <w:tcW w:w="1160" w:type="pct"/>
            <w:tcBorders>
              <w:top w:val="nil"/>
              <w:left w:val="nil"/>
              <w:bottom w:val="nil"/>
              <w:right w:val="nil"/>
            </w:tcBorders>
            <w:vAlign w:val="center"/>
          </w:tcPr>
          <w:p w14:paraId="1537AE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1F3A6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A59BB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Lixian Xinxing Town Wastewater Treatment Plant</w:t>
            </w:r>
          </w:p>
        </w:tc>
        <w:tc>
          <w:tcPr>
            <w:tcW w:w="522" w:type="pct"/>
            <w:tcBorders>
              <w:top w:val="nil"/>
              <w:left w:val="nil"/>
              <w:bottom w:val="nil"/>
              <w:right w:val="nil"/>
            </w:tcBorders>
            <w:vAlign w:val="center"/>
          </w:tcPr>
          <w:p w14:paraId="34BB4F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115.6075</w:t>
            </w:r>
          </w:p>
        </w:tc>
        <w:tc>
          <w:tcPr>
            <w:tcW w:w="590" w:type="pct"/>
            <w:tcBorders>
              <w:top w:val="nil"/>
              <w:left w:val="nil"/>
              <w:bottom w:val="nil"/>
              <w:right w:val="nil"/>
            </w:tcBorders>
            <w:vAlign w:val="center"/>
          </w:tcPr>
          <w:p w14:paraId="050C2D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38.5703</w:t>
            </w:r>
          </w:p>
        </w:tc>
        <w:tc>
          <w:tcPr>
            <w:tcW w:w="1160" w:type="pct"/>
            <w:tcBorders>
              <w:top w:val="nil"/>
              <w:left w:val="nil"/>
              <w:bottom w:val="nil"/>
              <w:right w:val="nil"/>
            </w:tcBorders>
            <w:vAlign w:val="center"/>
          </w:tcPr>
          <w:p w14:paraId="7FBC92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4B5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3B5C9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Boye Datong Wastewater Treatment Co., Ltd.</w:t>
            </w:r>
          </w:p>
        </w:tc>
        <w:tc>
          <w:tcPr>
            <w:tcW w:w="522" w:type="pct"/>
            <w:tcBorders>
              <w:top w:val="nil"/>
              <w:left w:val="nil"/>
              <w:bottom w:val="nil"/>
              <w:right w:val="nil"/>
            </w:tcBorders>
            <w:vAlign w:val="center"/>
          </w:tcPr>
          <w:p w14:paraId="2CB864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115.4631</w:t>
            </w:r>
          </w:p>
        </w:tc>
        <w:tc>
          <w:tcPr>
            <w:tcW w:w="590" w:type="pct"/>
            <w:tcBorders>
              <w:top w:val="nil"/>
              <w:left w:val="nil"/>
              <w:bottom w:val="nil"/>
              <w:right w:val="nil"/>
            </w:tcBorders>
            <w:vAlign w:val="center"/>
          </w:tcPr>
          <w:p w14:paraId="1D2669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38.4286</w:t>
            </w:r>
          </w:p>
        </w:tc>
        <w:tc>
          <w:tcPr>
            <w:tcW w:w="1160" w:type="pct"/>
            <w:tcBorders>
              <w:top w:val="nil"/>
              <w:left w:val="nil"/>
              <w:bottom w:val="nil"/>
              <w:right w:val="nil"/>
            </w:tcBorders>
            <w:vAlign w:val="center"/>
          </w:tcPr>
          <w:p w14:paraId="4BF005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BAC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42D992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Anguo Jiacheng Wastewater Treatment Co., Ltd.</w:t>
            </w:r>
          </w:p>
        </w:tc>
        <w:tc>
          <w:tcPr>
            <w:tcW w:w="522" w:type="pct"/>
            <w:tcBorders>
              <w:top w:val="nil"/>
              <w:left w:val="nil"/>
              <w:bottom w:val="nil"/>
              <w:right w:val="nil"/>
            </w:tcBorders>
            <w:vAlign w:val="center"/>
          </w:tcPr>
          <w:p w14:paraId="3A23815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115.3333</w:t>
            </w:r>
          </w:p>
        </w:tc>
        <w:tc>
          <w:tcPr>
            <w:tcW w:w="590" w:type="pct"/>
            <w:tcBorders>
              <w:top w:val="nil"/>
              <w:left w:val="nil"/>
              <w:bottom w:val="nil"/>
              <w:right w:val="nil"/>
            </w:tcBorders>
            <w:vAlign w:val="center"/>
          </w:tcPr>
          <w:p w14:paraId="094FEB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38.4120</w:t>
            </w:r>
          </w:p>
        </w:tc>
        <w:tc>
          <w:tcPr>
            <w:tcW w:w="1160" w:type="pct"/>
            <w:tcBorders>
              <w:top w:val="nil"/>
              <w:left w:val="nil"/>
              <w:bottom w:val="nil"/>
              <w:right w:val="nil"/>
            </w:tcBorders>
            <w:vAlign w:val="center"/>
          </w:tcPr>
          <w:p w14:paraId="3A3412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741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FCE782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Dingzhou Zhongcheng Water Services Co., Ltd.</w:t>
            </w:r>
          </w:p>
        </w:tc>
        <w:tc>
          <w:tcPr>
            <w:tcW w:w="522" w:type="pct"/>
            <w:tcBorders>
              <w:top w:val="nil"/>
              <w:left w:val="nil"/>
              <w:bottom w:val="nil"/>
              <w:right w:val="nil"/>
            </w:tcBorders>
            <w:vAlign w:val="center"/>
          </w:tcPr>
          <w:p w14:paraId="34C44C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115.0190</w:t>
            </w:r>
          </w:p>
        </w:tc>
        <w:tc>
          <w:tcPr>
            <w:tcW w:w="590" w:type="pct"/>
            <w:tcBorders>
              <w:top w:val="nil"/>
              <w:left w:val="nil"/>
              <w:bottom w:val="nil"/>
              <w:right w:val="nil"/>
            </w:tcBorders>
            <w:vAlign w:val="center"/>
          </w:tcPr>
          <w:p w14:paraId="2A8CED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38.5016</w:t>
            </w:r>
          </w:p>
        </w:tc>
        <w:tc>
          <w:tcPr>
            <w:tcW w:w="1160" w:type="pct"/>
            <w:tcBorders>
              <w:top w:val="nil"/>
              <w:left w:val="nil"/>
              <w:bottom w:val="nil"/>
              <w:right w:val="nil"/>
            </w:tcBorders>
            <w:vAlign w:val="center"/>
          </w:tcPr>
          <w:p w14:paraId="1713950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6D707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6C2747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Gezhouba Water Services (Dingzhou) Co., Ltd.</w:t>
            </w:r>
          </w:p>
        </w:tc>
        <w:tc>
          <w:tcPr>
            <w:tcW w:w="522" w:type="pct"/>
            <w:tcBorders>
              <w:top w:val="nil"/>
              <w:left w:val="nil"/>
              <w:bottom w:val="nil"/>
              <w:right w:val="nil"/>
            </w:tcBorders>
            <w:vAlign w:val="center"/>
          </w:tcPr>
          <w:p w14:paraId="42AE93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114.8671</w:t>
            </w:r>
          </w:p>
        </w:tc>
        <w:tc>
          <w:tcPr>
            <w:tcW w:w="590" w:type="pct"/>
            <w:tcBorders>
              <w:top w:val="nil"/>
              <w:left w:val="nil"/>
              <w:bottom w:val="nil"/>
              <w:right w:val="nil"/>
            </w:tcBorders>
            <w:vAlign w:val="center"/>
          </w:tcPr>
          <w:p w14:paraId="3FC709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38.5238</w:t>
            </w:r>
          </w:p>
        </w:tc>
        <w:tc>
          <w:tcPr>
            <w:tcW w:w="1160" w:type="pct"/>
            <w:tcBorders>
              <w:top w:val="nil"/>
              <w:left w:val="nil"/>
              <w:bottom w:val="nil"/>
              <w:right w:val="nil"/>
            </w:tcBorders>
            <w:vAlign w:val="center"/>
          </w:tcPr>
          <w:p w14:paraId="701EF5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711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88FB8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Quyang Datong Wastewater Treatment Plant</w:t>
            </w:r>
          </w:p>
        </w:tc>
        <w:tc>
          <w:tcPr>
            <w:tcW w:w="522" w:type="pct"/>
            <w:tcBorders>
              <w:top w:val="nil"/>
              <w:left w:val="nil"/>
              <w:bottom w:val="nil"/>
              <w:right w:val="nil"/>
            </w:tcBorders>
            <w:vAlign w:val="center"/>
          </w:tcPr>
          <w:p w14:paraId="17D1434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114.7606</w:t>
            </w:r>
          </w:p>
        </w:tc>
        <w:tc>
          <w:tcPr>
            <w:tcW w:w="590" w:type="pct"/>
            <w:tcBorders>
              <w:top w:val="nil"/>
              <w:left w:val="nil"/>
              <w:bottom w:val="nil"/>
              <w:right w:val="nil"/>
            </w:tcBorders>
            <w:vAlign w:val="center"/>
          </w:tcPr>
          <w:p w14:paraId="5AC172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38.6092</w:t>
            </w:r>
          </w:p>
        </w:tc>
        <w:tc>
          <w:tcPr>
            <w:tcW w:w="1160" w:type="pct"/>
            <w:tcBorders>
              <w:top w:val="nil"/>
              <w:left w:val="nil"/>
              <w:bottom w:val="nil"/>
              <w:right w:val="nil"/>
            </w:tcBorders>
            <w:vAlign w:val="center"/>
          </w:tcPr>
          <w:p w14:paraId="2D7BF9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7E29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6FD0FF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Lixian Liushi Town Wastewater Treatment Plant</w:t>
            </w:r>
          </w:p>
        </w:tc>
        <w:tc>
          <w:tcPr>
            <w:tcW w:w="522" w:type="pct"/>
            <w:tcBorders>
              <w:top w:val="nil"/>
              <w:left w:val="nil"/>
              <w:bottom w:val="nil"/>
              <w:right w:val="nil"/>
            </w:tcBorders>
            <w:vAlign w:val="center"/>
          </w:tcPr>
          <w:p w14:paraId="01F1F6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115.7491</w:t>
            </w:r>
          </w:p>
        </w:tc>
        <w:tc>
          <w:tcPr>
            <w:tcW w:w="590" w:type="pct"/>
            <w:tcBorders>
              <w:top w:val="nil"/>
              <w:left w:val="nil"/>
              <w:bottom w:val="nil"/>
              <w:right w:val="nil"/>
            </w:tcBorders>
            <w:vAlign w:val="center"/>
          </w:tcPr>
          <w:p w14:paraId="603BF2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38.5327</w:t>
            </w:r>
          </w:p>
        </w:tc>
        <w:tc>
          <w:tcPr>
            <w:tcW w:w="1160" w:type="pct"/>
            <w:tcBorders>
              <w:top w:val="nil"/>
              <w:left w:val="nil"/>
              <w:bottom w:val="nil"/>
              <w:right w:val="nil"/>
            </w:tcBorders>
            <w:vAlign w:val="center"/>
          </w:tcPr>
          <w:p w14:paraId="6A0DD8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798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2D4E4C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Qingyuan Dazhuang Town Wastewater Treatment Plant</w:t>
            </w:r>
          </w:p>
        </w:tc>
        <w:tc>
          <w:tcPr>
            <w:tcW w:w="522" w:type="pct"/>
            <w:tcBorders>
              <w:top w:val="nil"/>
              <w:left w:val="nil"/>
              <w:bottom w:val="nil"/>
              <w:right w:val="nil"/>
            </w:tcBorders>
            <w:vAlign w:val="center"/>
          </w:tcPr>
          <w:p w14:paraId="58E3F14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115.5071</w:t>
            </w:r>
          </w:p>
        </w:tc>
        <w:tc>
          <w:tcPr>
            <w:tcW w:w="590" w:type="pct"/>
            <w:tcBorders>
              <w:top w:val="nil"/>
              <w:left w:val="nil"/>
              <w:bottom w:val="nil"/>
              <w:right w:val="nil"/>
            </w:tcBorders>
            <w:vAlign w:val="center"/>
          </w:tcPr>
          <w:p w14:paraId="4ED314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38.6866</w:t>
            </w:r>
          </w:p>
        </w:tc>
        <w:tc>
          <w:tcPr>
            <w:tcW w:w="1160" w:type="pct"/>
            <w:tcBorders>
              <w:top w:val="nil"/>
              <w:left w:val="nil"/>
              <w:bottom w:val="nil"/>
              <w:right w:val="nil"/>
            </w:tcBorders>
            <w:vAlign w:val="center"/>
          </w:tcPr>
          <w:p w14:paraId="6EC88B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732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070365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Dingzhou Qingfengdian Town Wastewater Treatment Plant</w:t>
            </w:r>
          </w:p>
        </w:tc>
        <w:tc>
          <w:tcPr>
            <w:tcW w:w="522" w:type="pct"/>
            <w:tcBorders>
              <w:top w:val="nil"/>
              <w:left w:val="nil"/>
              <w:bottom w:val="nil"/>
              <w:right w:val="nil"/>
            </w:tcBorders>
            <w:vAlign w:val="center"/>
          </w:tcPr>
          <w:p w14:paraId="05E0E4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115.0610</w:t>
            </w:r>
          </w:p>
        </w:tc>
        <w:tc>
          <w:tcPr>
            <w:tcW w:w="590" w:type="pct"/>
            <w:tcBorders>
              <w:top w:val="nil"/>
              <w:left w:val="nil"/>
              <w:bottom w:val="nil"/>
              <w:right w:val="nil"/>
            </w:tcBorders>
            <w:vAlign w:val="center"/>
          </w:tcPr>
          <w:p w14:paraId="1F69B1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38.5566</w:t>
            </w:r>
          </w:p>
        </w:tc>
        <w:tc>
          <w:tcPr>
            <w:tcW w:w="1160" w:type="pct"/>
            <w:tcBorders>
              <w:top w:val="nil"/>
              <w:left w:val="nil"/>
              <w:bottom w:val="nil"/>
              <w:right w:val="nil"/>
            </w:tcBorders>
            <w:vAlign w:val="center"/>
          </w:tcPr>
          <w:p w14:paraId="74C173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370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04EC1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Wangdu Qingyuan Drainage Co., Ltd. (Development Zone)</w:t>
            </w:r>
          </w:p>
        </w:tc>
        <w:tc>
          <w:tcPr>
            <w:tcW w:w="522" w:type="pct"/>
            <w:tcBorders>
              <w:top w:val="nil"/>
              <w:left w:val="nil"/>
              <w:bottom w:val="nil"/>
              <w:right w:val="nil"/>
            </w:tcBorders>
            <w:vAlign w:val="center"/>
          </w:tcPr>
          <w:p w14:paraId="49EBAE2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115.1919</w:t>
            </w:r>
          </w:p>
        </w:tc>
        <w:tc>
          <w:tcPr>
            <w:tcW w:w="590" w:type="pct"/>
            <w:tcBorders>
              <w:top w:val="nil"/>
              <w:left w:val="nil"/>
              <w:bottom w:val="nil"/>
              <w:right w:val="nil"/>
            </w:tcBorders>
            <w:vAlign w:val="center"/>
          </w:tcPr>
          <w:p w14:paraId="7B2C0E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38.6480</w:t>
            </w:r>
          </w:p>
        </w:tc>
        <w:tc>
          <w:tcPr>
            <w:tcW w:w="1160" w:type="pct"/>
            <w:tcBorders>
              <w:top w:val="nil"/>
              <w:left w:val="nil"/>
              <w:bottom w:val="nil"/>
              <w:right w:val="nil"/>
            </w:tcBorders>
            <w:vAlign w:val="center"/>
          </w:tcPr>
          <w:p w14:paraId="612B00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844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AB6B4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Wangdu Qingyuan Drainage Co., Ltd. (Gaoling Township)</w:t>
            </w:r>
          </w:p>
        </w:tc>
        <w:tc>
          <w:tcPr>
            <w:tcW w:w="522" w:type="pct"/>
            <w:tcBorders>
              <w:top w:val="nil"/>
              <w:left w:val="nil"/>
              <w:bottom w:val="nil"/>
              <w:right w:val="nil"/>
            </w:tcBorders>
            <w:vAlign w:val="center"/>
          </w:tcPr>
          <w:p w14:paraId="2A77FE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115.1820</w:t>
            </w:r>
          </w:p>
        </w:tc>
        <w:tc>
          <w:tcPr>
            <w:tcW w:w="590" w:type="pct"/>
            <w:tcBorders>
              <w:top w:val="nil"/>
              <w:left w:val="nil"/>
              <w:bottom w:val="nil"/>
              <w:right w:val="nil"/>
            </w:tcBorders>
            <w:vAlign w:val="center"/>
          </w:tcPr>
          <w:p w14:paraId="3F0886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38.6988</w:t>
            </w:r>
          </w:p>
        </w:tc>
        <w:tc>
          <w:tcPr>
            <w:tcW w:w="1160" w:type="pct"/>
            <w:tcBorders>
              <w:top w:val="nil"/>
              <w:left w:val="nil"/>
              <w:bottom w:val="nil"/>
              <w:right w:val="nil"/>
            </w:tcBorders>
            <w:vAlign w:val="center"/>
          </w:tcPr>
          <w:p w14:paraId="0F7F9E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577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0ACA6A4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Shunping Qingyuan Wastewater Treatment Plant</w:t>
            </w:r>
          </w:p>
        </w:tc>
        <w:tc>
          <w:tcPr>
            <w:tcW w:w="522" w:type="pct"/>
            <w:tcBorders>
              <w:top w:val="nil"/>
              <w:left w:val="nil"/>
              <w:bottom w:val="nil"/>
              <w:right w:val="nil"/>
            </w:tcBorders>
            <w:vAlign w:val="center"/>
          </w:tcPr>
          <w:p w14:paraId="2615E9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115.1433</w:t>
            </w:r>
          </w:p>
        </w:tc>
        <w:tc>
          <w:tcPr>
            <w:tcW w:w="590" w:type="pct"/>
            <w:tcBorders>
              <w:top w:val="nil"/>
              <w:left w:val="nil"/>
              <w:bottom w:val="nil"/>
              <w:right w:val="nil"/>
            </w:tcBorders>
            <w:vAlign w:val="center"/>
          </w:tcPr>
          <w:p w14:paraId="538488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38.8297</w:t>
            </w:r>
          </w:p>
        </w:tc>
        <w:tc>
          <w:tcPr>
            <w:tcW w:w="1160" w:type="pct"/>
            <w:tcBorders>
              <w:top w:val="nil"/>
              <w:left w:val="nil"/>
              <w:bottom w:val="nil"/>
              <w:right w:val="nil"/>
            </w:tcBorders>
            <w:vAlign w:val="center"/>
          </w:tcPr>
          <w:p w14:paraId="32BB28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092A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71B01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Tangxian Wastewater Treatment Plant</w:t>
            </w:r>
          </w:p>
        </w:tc>
        <w:tc>
          <w:tcPr>
            <w:tcW w:w="522" w:type="pct"/>
            <w:tcBorders>
              <w:top w:val="nil"/>
              <w:left w:val="nil"/>
              <w:bottom w:val="nil"/>
              <w:right w:val="nil"/>
            </w:tcBorders>
            <w:vAlign w:val="center"/>
          </w:tcPr>
          <w:p w14:paraId="6CC818D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115.0213</w:t>
            </w:r>
          </w:p>
        </w:tc>
        <w:tc>
          <w:tcPr>
            <w:tcW w:w="590" w:type="pct"/>
            <w:tcBorders>
              <w:top w:val="nil"/>
              <w:left w:val="nil"/>
              <w:bottom w:val="nil"/>
              <w:right w:val="nil"/>
            </w:tcBorders>
            <w:vAlign w:val="center"/>
          </w:tcPr>
          <w:p w14:paraId="70C9DA8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38.7383</w:t>
            </w:r>
          </w:p>
        </w:tc>
        <w:tc>
          <w:tcPr>
            <w:tcW w:w="1160" w:type="pct"/>
            <w:tcBorders>
              <w:top w:val="nil"/>
              <w:left w:val="nil"/>
              <w:bottom w:val="nil"/>
              <w:right w:val="nil"/>
            </w:tcBorders>
            <w:vAlign w:val="center"/>
          </w:tcPr>
          <w:p w14:paraId="382A33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832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7B4A63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Tangxian Changucheng Wastewater Treatment Plant</w:t>
            </w:r>
          </w:p>
        </w:tc>
        <w:tc>
          <w:tcPr>
            <w:tcW w:w="522" w:type="pct"/>
            <w:tcBorders>
              <w:top w:val="nil"/>
              <w:left w:val="nil"/>
              <w:bottom w:val="nil"/>
              <w:right w:val="nil"/>
            </w:tcBorders>
            <w:vAlign w:val="center"/>
          </w:tcPr>
          <w:p w14:paraId="74C259A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114.9950</w:t>
            </w:r>
          </w:p>
        </w:tc>
        <w:tc>
          <w:tcPr>
            <w:tcW w:w="590" w:type="pct"/>
            <w:tcBorders>
              <w:top w:val="nil"/>
              <w:left w:val="nil"/>
              <w:bottom w:val="nil"/>
              <w:right w:val="nil"/>
            </w:tcBorders>
            <w:vAlign w:val="center"/>
          </w:tcPr>
          <w:p w14:paraId="5D5DDF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38.7208</w:t>
            </w:r>
          </w:p>
        </w:tc>
        <w:tc>
          <w:tcPr>
            <w:tcW w:w="1160" w:type="pct"/>
            <w:tcBorders>
              <w:top w:val="nil"/>
              <w:left w:val="nil"/>
              <w:bottom w:val="nil"/>
              <w:right w:val="nil"/>
            </w:tcBorders>
            <w:vAlign w:val="center"/>
          </w:tcPr>
          <w:p w14:paraId="474DAF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579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70CF0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Baoding Sander Water Treatment Co., Ltd.</w:t>
            </w:r>
          </w:p>
        </w:tc>
        <w:tc>
          <w:tcPr>
            <w:tcW w:w="522" w:type="pct"/>
            <w:tcBorders>
              <w:top w:val="nil"/>
              <w:left w:val="nil"/>
              <w:bottom w:val="nil"/>
              <w:right w:val="nil"/>
            </w:tcBorders>
            <w:vAlign w:val="center"/>
          </w:tcPr>
          <w:p w14:paraId="42F795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115.4666</w:t>
            </w:r>
          </w:p>
        </w:tc>
        <w:tc>
          <w:tcPr>
            <w:tcW w:w="590" w:type="pct"/>
            <w:tcBorders>
              <w:top w:val="nil"/>
              <w:left w:val="nil"/>
              <w:bottom w:val="nil"/>
              <w:right w:val="nil"/>
            </w:tcBorders>
            <w:vAlign w:val="center"/>
          </w:tcPr>
          <w:p w14:paraId="24CAF4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38.9833</w:t>
            </w:r>
          </w:p>
        </w:tc>
        <w:tc>
          <w:tcPr>
            <w:tcW w:w="1160" w:type="pct"/>
            <w:tcBorders>
              <w:top w:val="nil"/>
              <w:left w:val="nil"/>
              <w:bottom w:val="nil"/>
              <w:right w:val="nil"/>
            </w:tcBorders>
            <w:vAlign w:val="center"/>
          </w:tcPr>
          <w:p w14:paraId="577570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581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533AD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Baoding Daceying Water Treatment Co., Ltd.</w:t>
            </w:r>
          </w:p>
        </w:tc>
        <w:tc>
          <w:tcPr>
            <w:tcW w:w="522" w:type="pct"/>
            <w:tcBorders>
              <w:top w:val="nil"/>
              <w:left w:val="nil"/>
              <w:bottom w:val="nil"/>
              <w:right w:val="nil"/>
            </w:tcBorders>
            <w:vAlign w:val="center"/>
          </w:tcPr>
          <w:p w14:paraId="5FE5F1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115.3447</w:t>
            </w:r>
          </w:p>
        </w:tc>
        <w:tc>
          <w:tcPr>
            <w:tcW w:w="590" w:type="pct"/>
            <w:tcBorders>
              <w:top w:val="nil"/>
              <w:left w:val="nil"/>
              <w:bottom w:val="nil"/>
              <w:right w:val="nil"/>
            </w:tcBorders>
            <w:vAlign w:val="center"/>
          </w:tcPr>
          <w:p w14:paraId="14EE87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38.9982</w:t>
            </w:r>
          </w:p>
        </w:tc>
        <w:tc>
          <w:tcPr>
            <w:tcW w:w="1160" w:type="pct"/>
            <w:tcBorders>
              <w:top w:val="nil"/>
              <w:left w:val="nil"/>
              <w:bottom w:val="nil"/>
              <w:right w:val="nil"/>
            </w:tcBorders>
            <w:vAlign w:val="center"/>
          </w:tcPr>
          <w:p w14:paraId="2731A3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D21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008D0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Baoding Zhongquan Water Services Co., Ltd.</w:t>
            </w:r>
          </w:p>
        </w:tc>
        <w:tc>
          <w:tcPr>
            <w:tcW w:w="522" w:type="pct"/>
            <w:tcBorders>
              <w:top w:val="nil"/>
              <w:left w:val="nil"/>
              <w:bottom w:val="nil"/>
              <w:right w:val="nil"/>
            </w:tcBorders>
            <w:vAlign w:val="center"/>
          </w:tcPr>
          <w:p w14:paraId="7DA2A4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115.3563</w:t>
            </w:r>
          </w:p>
        </w:tc>
        <w:tc>
          <w:tcPr>
            <w:tcW w:w="590" w:type="pct"/>
            <w:tcBorders>
              <w:top w:val="nil"/>
              <w:left w:val="nil"/>
              <w:bottom w:val="nil"/>
              <w:right w:val="nil"/>
            </w:tcBorders>
            <w:vAlign w:val="center"/>
          </w:tcPr>
          <w:p w14:paraId="21CBBD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38.9678</w:t>
            </w:r>
          </w:p>
        </w:tc>
        <w:tc>
          <w:tcPr>
            <w:tcW w:w="1160" w:type="pct"/>
            <w:tcBorders>
              <w:top w:val="nil"/>
              <w:left w:val="nil"/>
              <w:bottom w:val="nil"/>
              <w:right w:val="nil"/>
            </w:tcBorders>
            <w:vAlign w:val="center"/>
          </w:tcPr>
          <w:p w14:paraId="4E3D76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69B1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5D8E08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Xushui Dawangdian Town Wastewater Treatment Plant</w:t>
            </w:r>
          </w:p>
        </w:tc>
        <w:tc>
          <w:tcPr>
            <w:tcW w:w="522" w:type="pct"/>
            <w:tcBorders>
              <w:top w:val="nil"/>
              <w:left w:val="nil"/>
              <w:bottom w:val="nil"/>
              <w:right w:val="nil"/>
            </w:tcBorders>
            <w:vAlign w:val="center"/>
          </w:tcPr>
          <w:p w14:paraId="42B68D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115.4758</w:t>
            </w:r>
          </w:p>
        </w:tc>
        <w:tc>
          <w:tcPr>
            <w:tcW w:w="590" w:type="pct"/>
            <w:tcBorders>
              <w:top w:val="nil"/>
              <w:left w:val="nil"/>
              <w:bottom w:val="nil"/>
              <w:right w:val="nil"/>
            </w:tcBorders>
            <w:vAlign w:val="center"/>
          </w:tcPr>
          <w:p w14:paraId="26ECED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39.0116</w:t>
            </w:r>
          </w:p>
        </w:tc>
        <w:tc>
          <w:tcPr>
            <w:tcW w:w="1160" w:type="pct"/>
            <w:tcBorders>
              <w:top w:val="nil"/>
              <w:left w:val="nil"/>
              <w:bottom w:val="nil"/>
              <w:right w:val="nil"/>
            </w:tcBorders>
            <w:vAlign w:val="center"/>
          </w:tcPr>
          <w:p w14:paraId="443B57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704A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14888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Baoding Chuangjie Municipal Engineering Co., Ltd.</w:t>
            </w:r>
          </w:p>
        </w:tc>
        <w:tc>
          <w:tcPr>
            <w:tcW w:w="522" w:type="pct"/>
            <w:tcBorders>
              <w:top w:val="nil"/>
              <w:left w:val="nil"/>
              <w:bottom w:val="nil"/>
              <w:right w:val="nil"/>
            </w:tcBorders>
            <w:vAlign w:val="center"/>
          </w:tcPr>
          <w:p w14:paraId="16EFA5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115.6566</w:t>
            </w:r>
          </w:p>
        </w:tc>
        <w:tc>
          <w:tcPr>
            <w:tcW w:w="590" w:type="pct"/>
            <w:tcBorders>
              <w:top w:val="nil"/>
              <w:left w:val="nil"/>
              <w:bottom w:val="nil"/>
              <w:right w:val="nil"/>
            </w:tcBorders>
            <w:vAlign w:val="center"/>
          </w:tcPr>
          <w:p w14:paraId="1BE163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38.9986</w:t>
            </w:r>
          </w:p>
        </w:tc>
        <w:tc>
          <w:tcPr>
            <w:tcW w:w="1160" w:type="pct"/>
            <w:tcBorders>
              <w:top w:val="nil"/>
              <w:left w:val="nil"/>
              <w:bottom w:val="nil"/>
              <w:right w:val="nil"/>
            </w:tcBorders>
            <w:vAlign w:val="center"/>
          </w:tcPr>
          <w:p w14:paraId="6A0AF1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1AF1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B616A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Wuhe Distillery Co., Ltd.</w:t>
            </w:r>
          </w:p>
        </w:tc>
        <w:tc>
          <w:tcPr>
            <w:tcW w:w="522" w:type="pct"/>
            <w:tcBorders>
              <w:top w:val="nil"/>
              <w:left w:val="nil"/>
              <w:bottom w:val="nil"/>
              <w:right w:val="nil"/>
            </w:tcBorders>
            <w:vAlign w:val="center"/>
          </w:tcPr>
          <w:p w14:paraId="453CDF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115.5795</w:t>
            </w:r>
          </w:p>
        </w:tc>
        <w:tc>
          <w:tcPr>
            <w:tcW w:w="590" w:type="pct"/>
            <w:tcBorders>
              <w:top w:val="nil"/>
              <w:left w:val="nil"/>
              <w:bottom w:val="nil"/>
              <w:right w:val="nil"/>
            </w:tcBorders>
            <w:vAlign w:val="center"/>
          </w:tcPr>
          <w:p w14:paraId="5CB70A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39.1399</w:t>
            </w:r>
          </w:p>
        </w:tc>
        <w:tc>
          <w:tcPr>
            <w:tcW w:w="1160" w:type="pct"/>
            <w:tcBorders>
              <w:top w:val="nil"/>
              <w:left w:val="nil"/>
              <w:bottom w:val="nil"/>
              <w:right w:val="nil"/>
            </w:tcBorders>
            <w:vAlign w:val="center"/>
          </w:tcPr>
          <w:p w14:paraId="221A3F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Industrial Wastewater Treatment</w:t>
            </w:r>
          </w:p>
        </w:tc>
      </w:tr>
      <w:tr w14:paraId="4F92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4858E8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Housing and Urban-Rural Development Bureau (Gucheng Town Wastewater Treatment Plant)</w:t>
            </w:r>
          </w:p>
        </w:tc>
        <w:tc>
          <w:tcPr>
            <w:tcW w:w="522" w:type="pct"/>
            <w:tcBorders>
              <w:top w:val="nil"/>
              <w:left w:val="nil"/>
              <w:bottom w:val="nil"/>
              <w:right w:val="nil"/>
            </w:tcBorders>
            <w:vAlign w:val="center"/>
          </w:tcPr>
          <w:p w14:paraId="0437AF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115.7165</w:t>
            </w:r>
          </w:p>
        </w:tc>
        <w:tc>
          <w:tcPr>
            <w:tcW w:w="590" w:type="pct"/>
            <w:tcBorders>
              <w:top w:val="nil"/>
              <w:left w:val="nil"/>
              <w:bottom w:val="nil"/>
              <w:right w:val="nil"/>
            </w:tcBorders>
            <w:vAlign w:val="center"/>
          </w:tcPr>
          <w:p w14:paraId="433529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39.1276</w:t>
            </w:r>
          </w:p>
        </w:tc>
        <w:tc>
          <w:tcPr>
            <w:tcW w:w="1160" w:type="pct"/>
            <w:tcBorders>
              <w:top w:val="nil"/>
              <w:left w:val="nil"/>
              <w:bottom w:val="nil"/>
              <w:right w:val="nil"/>
            </w:tcBorders>
            <w:vAlign w:val="center"/>
          </w:tcPr>
          <w:p w14:paraId="09E2E2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02C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F5931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Jiuxing Agricultural Development Co., Ltd.</w:t>
            </w:r>
          </w:p>
        </w:tc>
        <w:tc>
          <w:tcPr>
            <w:tcW w:w="522" w:type="pct"/>
            <w:tcBorders>
              <w:top w:val="nil"/>
              <w:left w:val="nil"/>
              <w:bottom w:val="nil"/>
              <w:right w:val="nil"/>
            </w:tcBorders>
            <w:vAlign w:val="center"/>
          </w:tcPr>
          <w:p w14:paraId="5C6C28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115.6290</w:t>
            </w:r>
          </w:p>
        </w:tc>
        <w:tc>
          <w:tcPr>
            <w:tcW w:w="590" w:type="pct"/>
            <w:tcBorders>
              <w:top w:val="nil"/>
              <w:left w:val="nil"/>
              <w:bottom w:val="nil"/>
              <w:right w:val="nil"/>
            </w:tcBorders>
            <w:vAlign w:val="center"/>
          </w:tcPr>
          <w:p w14:paraId="413BD42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39.1412</w:t>
            </w:r>
          </w:p>
        </w:tc>
        <w:tc>
          <w:tcPr>
            <w:tcW w:w="1160" w:type="pct"/>
            <w:tcBorders>
              <w:top w:val="nil"/>
              <w:left w:val="nil"/>
              <w:bottom w:val="nil"/>
              <w:right w:val="nil"/>
            </w:tcBorders>
            <w:vAlign w:val="center"/>
          </w:tcPr>
          <w:p w14:paraId="23ED36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Agricultural Wastewater Treatment</w:t>
            </w:r>
          </w:p>
        </w:tc>
      </w:tr>
      <w:tr w14:paraId="02F8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2E6E64E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Baigou Town Wastewater Treatment Plant</w:t>
            </w:r>
          </w:p>
        </w:tc>
        <w:tc>
          <w:tcPr>
            <w:tcW w:w="522" w:type="pct"/>
            <w:tcBorders>
              <w:top w:val="nil"/>
              <w:left w:val="nil"/>
              <w:bottom w:val="nil"/>
              <w:right w:val="nil"/>
            </w:tcBorders>
            <w:vAlign w:val="center"/>
          </w:tcPr>
          <w:p w14:paraId="144146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116.0225</w:t>
            </w:r>
          </w:p>
        </w:tc>
        <w:tc>
          <w:tcPr>
            <w:tcW w:w="590" w:type="pct"/>
            <w:tcBorders>
              <w:top w:val="nil"/>
              <w:left w:val="nil"/>
              <w:bottom w:val="nil"/>
              <w:right w:val="nil"/>
            </w:tcBorders>
            <w:vAlign w:val="center"/>
          </w:tcPr>
          <w:p w14:paraId="0D0A61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39.1008</w:t>
            </w:r>
          </w:p>
        </w:tc>
        <w:tc>
          <w:tcPr>
            <w:tcW w:w="1160" w:type="pct"/>
            <w:tcBorders>
              <w:top w:val="nil"/>
              <w:left w:val="nil"/>
              <w:bottom w:val="nil"/>
              <w:right w:val="nil"/>
            </w:tcBorders>
            <w:vAlign w:val="center"/>
          </w:tcPr>
          <w:p w14:paraId="1D5D35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425A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611777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Gaobeidian City Wastewater Treatment Plant</w:t>
            </w:r>
          </w:p>
        </w:tc>
        <w:tc>
          <w:tcPr>
            <w:tcW w:w="522" w:type="pct"/>
            <w:tcBorders>
              <w:top w:val="nil"/>
              <w:left w:val="nil"/>
              <w:bottom w:val="nil"/>
              <w:right w:val="nil"/>
            </w:tcBorders>
            <w:vAlign w:val="center"/>
          </w:tcPr>
          <w:p w14:paraId="610EFF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115.8965</w:t>
            </w:r>
          </w:p>
        </w:tc>
        <w:tc>
          <w:tcPr>
            <w:tcW w:w="590" w:type="pct"/>
            <w:tcBorders>
              <w:top w:val="nil"/>
              <w:left w:val="nil"/>
              <w:bottom w:val="nil"/>
              <w:right w:val="nil"/>
            </w:tcBorders>
            <w:vAlign w:val="center"/>
          </w:tcPr>
          <w:p w14:paraId="2D5EFD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39.3040</w:t>
            </w:r>
          </w:p>
        </w:tc>
        <w:tc>
          <w:tcPr>
            <w:tcW w:w="1160" w:type="pct"/>
            <w:tcBorders>
              <w:top w:val="nil"/>
              <w:left w:val="nil"/>
              <w:bottom w:val="nil"/>
              <w:right w:val="nil"/>
            </w:tcBorders>
            <w:vAlign w:val="center"/>
          </w:tcPr>
          <w:p w14:paraId="548191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6867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1D414C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Zhongcheng Poultry Industry Co., Ltd.</w:t>
            </w:r>
          </w:p>
        </w:tc>
        <w:tc>
          <w:tcPr>
            <w:tcW w:w="522" w:type="pct"/>
            <w:tcBorders>
              <w:top w:val="nil"/>
              <w:left w:val="nil"/>
              <w:bottom w:val="nil"/>
              <w:right w:val="nil"/>
            </w:tcBorders>
            <w:vAlign w:val="center"/>
          </w:tcPr>
          <w:p w14:paraId="4029E1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115.8533</w:t>
            </w:r>
          </w:p>
        </w:tc>
        <w:tc>
          <w:tcPr>
            <w:tcW w:w="590" w:type="pct"/>
            <w:tcBorders>
              <w:top w:val="nil"/>
              <w:left w:val="nil"/>
              <w:bottom w:val="nil"/>
              <w:right w:val="nil"/>
            </w:tcBorders>
            <w:vAlign w:val="center"/>
          </w:tcPr>
          <w:p w14:paraId="3F7859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39.1714</w:t>
            </w:r>
          </w:p>
        </w:tc>
        <w:tc>
          <w:tcPr>
            <w:tcW w:w="1160" w:type="pct"/>
            <w:tcBorders>
              <w:top w:val="nil"/>
              <w:left w:val="nil"/>
              <w:bottom w:val="nil"/>
              <w:right w:val="nil"/>
            </w:tcBorders>
            <w:vAlign w:val="center"/>
          </w:tcPr>
          <w:p w14:paraId="0DD676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Agricultural Wastewater Treatment</w:t>
            </w:r>
          </w:p>
        </w:tc>
      </w:tr>
      <w:tr w14:paraId="7EC2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4653F7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Jinrun Textile Printing and Dyeing Co., Ltd.</w:t>
            </w:r>
          </w:p>
        </w:tc>
        <w:tc>
          <w:tcPr>
            <w:tcW w:w="522" w:type="pct"/>
            <w:tcBorders>
              <w:top w:val="nil"/>
              <w:left w:val="nil"/>
              <w:bottom w:val="nil"/>
              <w:right w:val="nil"/>
            </w:tcBorders>
            <w:vAlign w:val="center"/>
          </w:tcPr>
          <w:p w14:paraId="1E2198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115.8892</w:t>
            </w:r>
          </w:p>
        </w:tc>
        <w:tc>
          <w:tcPr>
            <w:tcW w:w="590" w:type="pct"/>
            <w:tcBorders>
              <w:top w:val="nil"/>
              <w:left w:val="nil"/>
              <w:bottom w:val="nil"/>
              <w:right w:val="nil"/>
            </w:tcBorders>
            <w:vAlign w:val="center"/>
          </w:tcPr>
          <w:p w14:paraId="729C875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39.2703</w:t>
            </w:r>
          </w:p>
        </w:tc>
        <w:tc>
          <w:tcPr>
            <w:tcW w:w="1160" w:type="pct"/>
            <w:tcBorders>
              <w:top w:val="nil"/>
              <w:left w:val="nil"/>
              <w:bottom w:val="nil"/>
              <w:right w:val="nil"/>
            </w:tcBorders>
            <w:vAlign w:val="center"/>
          </w:tcPr>
          <w:p w14:paraId="6FAB2F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Industrial Wastewater Treatment</w:t>
            </w:r>
          </w:p>
        </w:tc>
      </w:tr>
      <w:tr w14:paraId="3051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55509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County Wastewater Treatment Plant - Dingxing County Urban Construction Municipal Co., Ltd.</w:t>
            </w:r>
          </w:p>
        </w:tc>
        <w:tc>
          <w:tcPr>
            <w:tcW w:w="522" w:type="pct"/>
            <w:tcBorders>
              <w:top w:val="nil"/>
              <w:left w:val="nil"/>
              <w:bottom w:val="nil"/>
              <w:right w:val="nil"/>
            </w:tcBorders>
            <w:vAlign w:val="center"/>
          </w:tcPr>
          <w:p w14:paraId="1A6B01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115.7889</w:t>
            </w:r>
          </w:p>
        </w:tc>
        <w:tc>
          <w:tcPr>
            <w:tcW w:w="590" w:type="pct"/>
            <w:tcBorders>
              <w:top w:val="nil"/>
              <w:left w:val="nil"/>
              <w:bottom w:val="nil"/>
              <w:right w:val="nil"/>
            </w:tcBorders>
            <w:vAlign w:val="center"/>
          </w:tcPr>
          <w:p w14:paraId="703D4E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39.2156</w:t>
            </w:r>
          </w:p>
        </w:tc>
        <w:tc>
          <w:tcPr>
            <w:tcW w:w="1160" w:type="pct"/>
            <w:tcBorders>
              <w:top w:val="nil"/>
              <w:left w:val="nil"/>
              <w:bottom w:val="nil"/>
              <w:right w:val="nil"/>
            </w:tcBorders>
            <w:vAlign w:val="center"/>
          </w:tcPr>
          <w:p w14:paraId="5436EF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3E74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620B4A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Dingxing Town Wastewater Treatment Plant - Dingxing County Housing and Urban-Rural Development Bureau</w:t>
            </w:r>
          </w:p>
        </w:tc>
        <w:tc>
          <w:tcPr>
            <w:tcW w:w="522" w:type="pct"/>
            <w:tcBorders>
              <w:top w:val="nil"/>
              <w:left w:val="nil"/>
              <w:bottom w:val="nil"/>
              <w:right w:val="nil"/>
            </w:tcBorders>
            <w:vAlign w:val="center"/>
          </w:tcPr>
          <w:p w14:paraId="2F9B4C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115.7816</w:t>
            </w:r>
          </w:p>
        </w:tc>
        <w:tc>
          <w:tcPr>
            <w:tcW w:w="590" w:type="pct"/>
            <w:tcBorders>
              <w:top w:val="nil"/>
              <w:left w:val="nil"/>
              <w:bottom w:val="nil"/>
              <w:right w:val="nil"/>
            </w:tcBorders>
            <w:vAlign w:val="center"/>
          </w:tcPr>
          <w:p w14:paraId="6C691D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39.2483</w:t>
            </w:r>
          </w:p>
        </w:tc>
        <w:tc>
          <w:tcPr>
            <w:tcW w:w="1160" w:type="pct"/>
            <w:tcBorders>
              <w:top w:val="nil"/>
              <w:left w:val="nil"/>
              <w:bottom w:val="nil"/>
              <w:right w:val="nil"/>
            </w:tcBorders>
            <w:vAlign w:val="center"/>
          </w:tcPr>
          <w:p w14:paraId="45378C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7CD4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7730D37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Yixian Yuquan Urban Construction Development Co., Ltd.</w:t>
            </w:r>
          </w:p>
        </w:tc>
        <w:tc>
          <w:tcPr>
            <w:tcW w:w="522" w:type="pct"/>
            <w:tcBorders>
              <w:top w:val="nil"/>
              <w:left w:val="nil"/>
              <w:bottom w:val="nil"/>
              <w:right w:val="nil"/>
            </w:tcBorders>
            <w:vAlign w:val="center"/>
          </w:tcPr>
          <w:p w14:paraId="792F4B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115.4993</w:t>
            </w:r>
          </w:p>
        </w:tc>
        <w:tc>
          <w:tcPr>
            <w:tcW w:w="590" w:type="pct"/>
            <w:tcBorders>
              <w:top w:val="nil"/>
              <w:left w:val="nil"/>
              <w:bottom w:val="nil"/>
              <w:right w:val="nil"/>
            </w:tcBorders>
            <w:vAlign w:val="center"/>
          </w:tcPr>
          <w:p w14:paraId="4E99F6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39.3272</w:t>
            </w:r>
          </w:p>
        </w:tc>
        <w:tc>
          <w:tcPr>
            <w:tcW w:w="1160" w:type="pct"/>
            <w:tcBorders>
              <w:top w:val="nil"/>
              <w:left w:val="nil"/>
              <w:bottom w:val="nil"/>
              <w:right w:val="nil"/>
            </w:tcBorders>
            <w:vAlign w:val="center"/>
          </w:tcPr>
          <w:p w14:paraId="62D9E71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6C2E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nil"/>
              <w:right w:val="nil"/>
            </w:tcBorders>
            <w:vAlign w:val="center"/>
          </w:tcPr>
          <w:p w14:paraId="21931C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Laishui Binhe Urban Wastewater Treatment Center (East)</w:t>
            </w:r>
          </w:p>
        </w:tc>
        <w:tc>
          <w:tcPr>
            <w:tcW w:w="522" w:type="pct"/>
            <w:tcBorders>
              <w:top w:val="nil"/>
              <w:left w:val="nil"/>
              <w:bottom w:val="nil"/>
              <w:right w:val="nil"/>
            </w:tcBorders>
            <w:vAlign w:val="center"/>
          </w:tcPr>
          <w:p w14:paraId="0121AA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115.7486</w:t>
            </w:r>
          </w:p>
        </w:tc>
        <w:tc>
          <w:tcPr>
            <w:tcW w:w="590" w:type="pct"/>
            <w:tcBorders>
              <w:top w:val="nil"/>
              <w:left w:val="nil"/>
              <w:bottom w:val="nil"/>
              <w:right w:val="nil"/>
            </w:tcBorders>
            <w:vAlign w:val="center"/>
          </w:tcPr>
          <w:p w14:paraId="6D9A1B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39.3908</w:t>
            </w:r>
          </w:p>
        </w:tc>
        <w:tc>
          <w:tcPr>
            <w:tcW w:w="1160" w:type="pct"/>
            <w:tcBorders>
              <w:top w:val="nil"/>
              <w:left w:val="nil"/>
              <w:bottom w:val="nil"/>
              <w:right w:val="nil"/>
            </w:tcBorders>
            <w:vAlign w:val="center"/>
          </w:tcPr>
          <w:p w14:paraId="41AB39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r w14:paraId="5BDC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25" w:type="pct"/>
            <w:tcBorders>
              <w:top w:val="nil"/>
              <w:left w:val="nil"/>
              <w:bottom w:val="single" w:color="000000" w:sz="12" w:space="0"/>
              <w:right w:val="nil"/>
            </w:tcBorders>
            <w:vAlign w:val="center"/>
          </w:tcPr>
          <w:p w14:paraId="3B0813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Laishui Binhe Urban Wastewater Treatment Center (West)</w:t>
            </w:r>
          </w:p>
        </w:tc>
        <w:tc>
          <w:tcPr>
            <w:tcW w:w="522" w:type="pct"/>
            <w:tcBorders>
              <w:top w:val="nil"/>
              <w:left w:val="nil"/>
              <w:bottom w:val="single" w:color="000000" w:sz="12" w:space="0"/>
              <w:right w:val="nil"/>
            </w:tcBorders>
            <w:vAlign w:val="center"/>
          </w:tcPr>
          <w:p w14:paraId="0D3354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115.6544</w:t>
            </w:r>
          </w:p>
        </w:tc>
        <w:tc>
          <w:tcPr>
            <w:tcW w:w="590" w:type="pct"/>
            <w:tcBorders>
              <w:top w:val="nil"/>
              <w:left w:val="nil"/>
              <w:bottom w:val="single" w:color="000000" w:sz="12" w:space="0"/>
              <w:right w:val="nil"/>
            </w:tcBorders>
            <w:vAlign w:val="center"/>
          </w:tcPr>
          <w:p w14:paraId="483E98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39.3778</w:t>
            </w:r>
          </w:p>
        </w:tc>
        <w:tc>
          <w:tcPr>
            <w:tcW w:w="1160" w:type="pct"/>
            <w:tcBorders>
              <w:top w:val="nil"/>
              <w:left w:val="nil"/>
              <w:bottom w:val="single" w:color="000000" w:sz="12" w:space="0"/>
              <w:right w:val="nil"/>
            </w:tcBorders>
            <w:vAlign w:val="center"/>
          </w:tcPr>
          <w:p w14:paraId="38544E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Municipal Wastewater Treatment</w:t>
            </w:r>
          </w:p>
        </w:tc>
      </w:tr>
    </w:tbl>
    <w:p w14:paraId="435DF3C5">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bCs/>
          <w:color w:val="auto"/>
          <w:lang w:eastAsia="zh-CN"/>
        </w:rPr>
      </w:pPr>
    </w:p>
    <w:p w14:paraId="21AC95F5">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b w:val="0"/>
          <w:bCs w:val="0"/>
          <w:color w:val="auto"/>
          <w:lang w:val="en-US" w:eastAsia="zh-CN"/>
        </w:rPr>
      </w:pPr>
      <w:r>
        <w:rPr>
          <w:rFonts w:hint="eastAsia" w:ascii="Times New Roman" w:hAnsi="Times New Roman" w:cs="Times New Roman" w:eastAsiaTheme="minorEastAsia"/>
          <w:b/>
          <w:bCs/>
          <w:color w:val="auto"/>
          <w:lang w:eastAsia="zh-CN"/>
        </w:rPr>
        <w:t>Table S</w:t>
      </w:r>
      <w:r>
        <w:rPr>
          <w:rFonts w:hint="eastAsia" w:ascii="Times New Roman" w:hAnsi="Times New Roman" w:cs="Times New Roman"/>
          <w:b/>
          <w:bCs/>
          <w:color w:val="auto"/>
          <w:lang w:val="en-US" w:eastAsia="zh-CN"/>
        </w:rPr>
        <w:t>2</w:t>
      </w:r>
      <w:r>
        <w:rPr>
          <w:rFonts w:hint="eastAsia" w:ascii="Times New Roman" w:hAnsi="Times New Roman" w:cs="Times New Roman" w:eastAsiaTheme="minorEastAsia"/>
          <w:b/>
          <w:bCs/>
          <w:color w:val="auto"/>
          <w:lang w:eastAsia="zh-CN"/>
        </w:rPr>
        <w:t>.</w:t>
      </w:r>
      <w:r>
        <w:rPr>
          <w:rFonts w:hint="eastAsia" w:ascii="Times New Roman" w:hAnsi="Times New Roman" w:cs="Times New Roman" w:eastAsiaTheme="minorEastAsia"/>
          <w:b w:val="0"/>
          <w:bCs w:val="0"/>
          <w:color w:val="auto"/>
          <w:lang w:eastAsia="zh-CN"/>
        </w:rPr>
        <w:t xml:space="preserve"> Crop management procedures under the wheat-maize rotation</w:t>
      </w:r>
      <w:r>
        <w:rPr>
          <w:rFonts w:hint="eastAsia" w:ascii="Times New Roman" w:hAnsi="Times New Roman" w:cs="Times New Roman"/>
          <w:b w:val="0"/>
          <w:bCs w:val="0"/>
          <w:color w:val="auto"/>
          <w:lang w:val="en-US" w:eastAsia="zh-CN"/>
        </w:rPr>
        <w:t>.</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625"/>
        <w:gridCol w:w="777"/>
        <w:gridCol w:w="566"/>
        <w:gridCol w:w="5169"/>
      </w:tblGrid>
      <w:tr w14:paraId="03C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single" w:color="auto" w:sz="4" w:space="0"/>
              <w:left w:val="nil"/>
              <w:bottom w:val="single" w:color="auto" w:sz="4" w:space="0"/>
              <w:right w:val="nil"/>
            </w:tcBorders>
            <w:vAlign w:val="center"/>
          </w:tcPr>
          <w:p w14:paraId="4C45C48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Crop</w:t>
            </w:r>
          </w:p>
        </w:tc>
        <w:tc>
          <w:tcPr>
            <w:tcW w:w="366" w:type="pct"/>
            <w:tcBorders>
              <w:top w:val="single" w:color="auto" w:sz="4" w:space="0"/>
              <w:left w:val="nil"/>
              <w:bottom w:val="single" w:color="auto" w:sz="4" w:space="0"/>
              <w:right w:val="nil"/>
            </w:tcBorders>
          </w:tcPr>
          <w:p w14:paraId="7626808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Year</w:t>
            </w:r>
          </w:p>
        </w:tc>
        <w:tc>
          <w:tcPr>
            <w:tcW w:w="455" w:type="pct"/>
            <w:tcBorders>
              <w:top w:val="single" w:color="auto" w:sz="4" w:space="0"/>
              <w:left w:val="nil"/>
              <w:bottom w:val="single" w:color="auto" w:sz="4" w:space="0"/>
              <w:right w:val="nil"/>
            </w:tcBorders>
          </w:tcPr>
          <w:p w14:paraId="704D1F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Month</w:t>
            </w:r>
          </w:p>
        </w:tc>
        <w:tc>
          <w:tcPr>
            <w:tcW w:w="332" w:type="pct"/>
            <w:tcBorders>
              <w:top w:val="single" w:color="auto" w:sz="4" w:space="0"/>
              <w:left w:val="nil"/>
              <w:bottom w:val="single" w:color="auto" w:sz="4" w:space="0"/>
              <w:right w:val="nil"/>
            </w:tcBorders>
          </w:tcPr>
          <w:p w14:paraId="3097B2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Day</w:t>
            </w:r>
          </w:p>
        </w:tc>
        <w:tc>
          <w:tcPr>
            <w:tcW w:w="3031" w:type="pct"/>
            <w:tcBorders>
              <w:top w:val="single" w:color="auto" w:sz="4" w:space="0"/>
              <w:left w:val="nil"/>
              <w:bottom w:val="single" w:color="auto" w:sz="4" w:space="0"/>
              <w:right w:val="nil"/>
            </w:tcBorders>
          </w:tcPr>
          <w:p w14:paraId="09629FF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Procedures</w:t>
            </w:r>
          </w:p>
        </w:tc>
      </w:tr>
      <w:tr w14:paraId="671E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single" w:color="auto" w:sz="4" w:space="0"/>
              <w:left w:val="nil"/>
              <w:bottom w:val="nil"/>
              <w:right w:val="nil"/>
            </w:tcBorders>
            <w:vAlign w:val="center"/>
          </w:tcPr>
          <w:p w14:paraId="00D90C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Winter Wheat</w:t>
            </w:r>
          </w:p>
        </w:tc>
        <w:tc>
          <w:tcPr>
            <w:tcW w:w="366" w:type="pct"/>
            <w:tcBorders>
              <w:top w:val="single" w:color="auto" w:sz="4" w:space="0"/>
              <w:left w:val="nil"/>
              <w:bottom w:val="nil"/>
              <w:right w:val="nil"/>
            </w:tcBorders>
            <w:vAlign w:val="center"/>
          </w:tcPr>
          <w:p w14:paraId="7716C61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single" w:color="auto" w:sz="4" w:space="0"/>
              <w:left w:val="nil"/>
              <w:bottom w:val="nil"/>
              <w:right w:val="nil"/>
            </w:tcBorders>
            <w:vAlign w:val="center"/>
          </w:tcPr>
          <w:p w14:paraId="0630E2F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w:t>
            </w:r>
          </w:p>
        </w:tc>
        <w:tc>
          <w:tcPr>
            <w:tcW w:w="332" w:type="pct"/>
            <w:tcBorders>
              <w:top w:val="single" w:color="auto" w:sz="4" w:space="0"/>
              <w:left w:val="nil"/>
              <w:bottom w:val="nil"/>
              <w:right w:val="nil"/>
            </w:tcBorders>
            <w:vAlign w:val="center"/>
          </w:tcPr>
          <w:p w14:paraId="50D2B51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w:t>
            </w:r>
          </w:p>
        </w:tc>
        <w:tc>
          <w:tcPr>
            <w:tcW w:w="3031" w:type="pct"/>
            <w:tcBorders>
              <w:top w:val="single" w:color="auto" w:sz="4" w:space="0"/>
              <w:left w:val="nil"/>
              <w:bottom w:val="nil"/>
              <w:right w:val="nil"/>
            </w:tcBorders>
            <w:vAlign w:val="center"/>
          </w:tcPr>
          <w:p w14:paraId="5E7065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Start of the growth season</w:t>
            </w:r>
          </w:p>
        </w:tc>
      </w:tr>
      <w:tr w14:paraId="5BB4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339835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Winter Wheat</w:t>
            </w:r>
          </w:p>
        </w:tc>
        <w:tc>
          <w:tcPr>
            <w:tcW w:w="366" w:type="pct"/>
            <w:tcBorders>
              <w:top w:val="nil"/>
              <w:left w:val="nil"/>
              <w:bottom w:val="nil"/>
              <w:right w:val="nil"/>
            </w:tcBorders>
            <w:vAlign w:val="center"/>
          </w:tcPr>
          <w:p w14:paraId="5AA297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24156D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w:t>
            </w:r>
          </w:p>
        </w:tc>
        <w:tc>
          <w:tcPr>
            <w:tcW w:w="332" w:type="pct"/>
            <w:tcBorders>
              <w:top w:val="nil"/>
              <w:left w:val="nil"/>
              <w:bottom w:val="nil"/>
              <w:right w:val="nil"/>
            </w:tcBorders>
            <w:vAlign w:val="center"/>
          </w:tcPr>
          <w:p w14:paraId="18DA84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w:t>
            </w:r>
          </w:p>
        </w:tc>
        <w:tc>
          <w:tcPr>
            <w:tcW w:w="3031" w:type="pct"/>
            <w:tcBorders>
              <w:top w:val="nil"/>
              <w:left w:val="nil"/>
              <w:bottom w:val="nil"/>
              <w:right w:val="nil"/>
            </w:tcBorders>
            <w:vAlign w:val="center"/>
          </w:tcPr>
          <w:p w14:paraId="494EAD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Compound fertilizer application (120 kg/ha, basal fertilizer)</w:t>
            </w:r>
          </w:p>
        </w:tc>
      </w:tr>
      <w:tr w14:paraId="66C1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1B9376C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Winter Wheat</w:t>
            </w:r>
          </w:p>
        </w:tc>
        <w:tc>
          <w:tcPr>
            <w:tcW w:w="366" w:type="pct"/>
            <w:tcBorders>
              <w:top w:val="nil"/>
              <w:left w:val="nil"/>
              <w:bottom w:val="nil"/>
              <w:right w:val="nil"/>
            </w:tcBorders>
            <w:vAlign w:val="center"/>
          </w:tcPr>
          <w:p w14:paraId="40C1DF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19C670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w:t>
            </w:r>
          </w:p>
        </w:tc>
        <w:tc>
          <w:tcPr>
            <w:tcW w:w="332" w:type="pct"/>
            <w:tcBorders>
              <w:top w:val="nil"/>
              <w:left w:val="nil"/>
              <w:bottom w:val="nil"/>
              <w:right w:val="nil"/>
            </w:tcBorders>
            <w:vAlign w:val="center"/>
          </w:tcPr>
          <w:p w14:paraId="26F46D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w:t>
            </w:r>
          </w:p>
        </w:tc>
        <w:tc>
          <w:tcPr>
            <w:tcW w:w="3031" w:type="pct"/>
            <w:tcBorders>
              <w:top w:val="nil"/>
              <w:left w:val="nil"/>
              <w:bottom w:val="nil"/>
              <w:right w:val="nil"/>
            </w:tcBorders>
            <w:vAlign w:val="center"/>
          </w:tcPr>
          <w:p w14:paraId="6FBDF44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Urea application (60 kg/ha, tillering fertilizer)</w:t>
            </w:r>
          </w:p>
        </w:tc>
      </w:tr>
      <w:tr w14:paraId="2A79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4BB449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Winter Wheat</w:t>
            </w:r>
          </w:p>
        </w:tc>
        <w:tc>
          <w:tcPr>
            <w:tcW w:w="366" w:type="pct"/>
            <w:tcBorders>
              <w:top w:val="nil"/>
              <w:left w:val="nil"/>
              <w:bottom w:val="nil"/>
              <w:right w:val="nil"/>
            </w:tcBorders>
            <w:vAlign w:val="center"/>
          </w:tcPr>
          <w:p w14:paraId="442CD3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730F2F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w:t>
            </w:r>
          </w:p>
        </w:tc>
        <w:tc>
          <w:tcPr>
            <w:tcW w:w="332" w:type="pct"/>
            <w:tcBorders>
              <w:top w:val="nil"/>
              <w:left w:val="nil"/>
              <w:bottom w:val="nil"/>
              <w:right w:val="nil"/>
            </w:tcBorders>
            <w:vAlign w:val="center"/>
          </w:tcPr>
          <w:p w14:paraId="7ED1F5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30</w:t>
            </w:r>
          </w:p>
        </w:tc>
        <w:tc>
          <w:tcPr>
            <w:tcW w:w="3031" w:type="pct"/>
            <w:tcBorders>
              <w:top w:val="nil"/>
              <w:left w:val="nil"/>
              <w:bottom w:val="nil"/>
              <w:right w:val="nil"/>
            </w:tcBorders>
            <w:vAlign w:val="center"/>
          </w:tcPr>
          <w:p w14:paraId="3CD5DB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Water release (end of irrigation period)</w:t>
            </w:r>
          </w:p>
        </w:tc>
      </w:tr>
      <w:tr w14:paraId="0295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3968C2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Winter Wheat</w:t>
            </w:r>
          </w:p>
        </w:tc>
        <w:tc>
          <w:tcPr>
            <w:tcW w:w="366" w:type="pct"/>
            <w:tcBorders>
              <w:top w:val="nil"/>
              <w:left w:val="nil"/>
              <w:bottom w:val="nil"/>
              <w:right w:val="nil"/>
            </w:tcBorders>
            <w:vAlign w:val="center"/>
          </w:tcPr>
          <w:p w14:paraId="57E3CF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2EC021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w:t>
            </w:r>
          </w:p>
        </w:tc>
        <w:tc>
          <w:tcPr>
            <w:tcW w:w="332" w:type="pct"/>
            <w:tcBorders>
              <w:top w:val="nil"/>
              <w:left w:val="nil"/>
              <w:bottom w:val="nil"/>
              <w:right w:val="nil"/>
            </w:tcBorders>
            <w:vAlign w:val="center"/>
          </w:tcPr>
          <w:p w14:paraId="02F83B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12</w:t>
            </w:r>
          </w:p>
        </w:tc>
        <w:tc>
          <w:tcPr>
            <w:tcW w:w="3031" w:type="pct"/>
            <w:tcBorders>
              <w:top w:val="nil"/>
              <w:left w:val="nil"/>
              <w:bottom w:val="nil"/>
              <w:right w:val="nil"/>
            </w:tcBorders>
            <w:vAlign w:val="center"/>
          </w:tcPr>
          <w:p w14:paraId="708B31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Harvest</w:t>
            </w:r>
          </w:p>
        </w:tc>
      </w:tr>
      <w:tr w14:paraId="71D9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7765EB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Maize</w:t>
            </w:r>
          </w:p>
        </w:tc>
        <w:tc>
          <w:tcPr>
            <w:tcW w:w="366" w:type="pct"/>
            <w:tcBorders>
              <w:top w:val="nil"/>
              <w:left w:val="nil"/>
              <w:bottom w:val="nil"/>
              <w:right w:val="nil"/>
            </w:tcBorders>
            <w:vAlign w:val="center"/>
          </w:tcPr>
          <w:p w14:paraId="064F27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5B54469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w:t>
            </w:r>
          </w:p>
        </w:tc>
        <w:tc>
          <w:tcPr>
            <w:tcW w:w="332" w:type="pct"/>
            <w:tcBorders>
              <w:top w:val="nil"/>
              <w:left w:val="nil"/>
              <w:bottom w:val="nil"/>
              <w:right w:val="nil"/>
            </w:tcBorders>
            <w:vAlign w:val="center"/>
          </w:tcPr>
          <w:p w14:paraId="74109C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w:t>
            </w:r>
          </w:p>
        </w:tc>
        <w:tc>
          <w:tcPr>
            <w:tcW w:w="3031" w:type="pct"/>
            <w:tcBorders>
              <w:top w:val="nil"/>
              <w:left w:val="nil"/>
              <w:bottom w:val="nil"/>
              <w:right w:val="nil"/>
            </w:tcBorders>
            <w:vAlign w:val="center"/>
          </w:tcPr>
          <w:p w14:paraId="2FD970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Sowing and start of growth season</w:t>
            </w:r>
          </w:p>
        </w:tc>
      </w:tr>
      <w:tr w14:paraId="4665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72739E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Maize</w:t>
            </w:r>
          </w:p>
        </w:tc>
        <w:tc>
          <w:tcPr>
            <w:tcW w:w="366" w:type="pct"/>
            <w:tcBorders>
              <w:top w:val="nil"/>
              <w:left w:val="nil"/>
              <w:bottom w:val="nil"/>
              <w:right w:val="nil"/>
            </w:tcBorders>
            <w:vAlign w:val="center"/>
          </w:tcPr>
          <w:p w14:paraId="65A208C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1C354AE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w:t>
            </w:r>
          </w:p>
        </w:tc>
        <w:tc>
          <w:tcPr>
            <w:tcW w:w="332" w:type="pct"/>
            <w:tcBorders>
              <w:top w:val="nil"/>
              <w:left w:val="nil"/>
              <w:bottom w:val="nil"/>
              <w:right w:val="nil"/>
            </w:tcBorders>
            <w:vAlign w:val="center"/>
          </w:tcPr>
          <w:p w14:paraId="6BCCCB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w:t>
            </w:r>
          </w:p>
        </w:tc>
        <w:tc>
          <w:tcPr>
            <w:tcW w:w="3031" w:type="pct"/>
            <w:tcBorders>
              <w:top w:val="nil"/>
              <w:left w:val="nil"/>
              <w:bottom w:val="nil"/>
              <w:right w:val="nil"/>
            </w:tcBorders>
            <w:vAlign w:val="center"/>
          </w:tcPr>
          <w:p w14:paraId="63F376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Compound fertilizer application (150 kg/ha, basal fertilizer)</w:t>
            </w:r>
          </w:p>
        </w:tc>
      </w:tr>
      <w:tr w14:paraId="7DAE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6758968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Maize</w:t>
            </w:r>
          </w:p>
        </w:tc>
        <w:tc>
          <w:tcPr>
            <w:tcW w:w="366" w:type="pct"/>
            <w:tcBorders>
              <w:top w:val="nil"/>
              <w:left w:val="nil"/>
              <w:bottom w:val="nil"/>
              <w:right w:val="nil"/>
            </w:tcBorders>
            <w:vAlign w:val="center"/>
          </w:tcPr>
          <w:p w14:paraId="17B09A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4C0717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8</w:t>
            </w:r>
          </w:p>
        </w:tc>
        <w:tc>
          <w:tcPr>
            <w:tcW w:w="332" w:type="pct"/>
            <w:tcBorders>
              <w:top w:val="nil"/>
              <w:left w:val="nil"/>
              <w:bottom w:val="nil"/>
              <w:right w:val="nil"/>
            </w:tcBorders>
            <w:vAlign w:val="center"/>
          </w:tcPr>
          <w:p w14:paraId="7167A7A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w:t>
            </w:r>
          </w:p>
        </w:tc>
        <w:tc>
          <w:tcPr>
            <w:tcW w:w="3031" w:type="pct"/>
            <w:tcBorders>
              <w:top w:val="nil"/>
              <w:left w:val="nil"/>
              <w:bottom w:val="nil"/>
              <w:right w:val="nil"/>
            </w:tcBorders>
            <w:vAlign w:val="center"/>
          </w:tcPr>
          <w:p w14:paraId="0D36E2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Urea application (80 kg/ha, topdressing)</w:t>
            </w:r>
          </w:p>
        </w:tc>
      </w:tr>
      <w:tr w14:paraId="4938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nil"/>
              <w:right w:val="nil"/>
            </w:tcBorders>
            <w:vAlign w:val="center"/>
          </w:tcPr>
          <w:p w14:paraId="59F5B3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Maize</w:t>
            </w:r>
          </w:p>
        </w:tc>
        <w:tc>
          <w:tcPr>
            <w:tcW w:w="366" w:type="pct"/>
            <w:tcBorders>
              <w:top w:val="nil"/>
              <w:left w:val="nil"/>
              <w:bottom w:val="nil"/>
              <w:right w:val="nil"/>
            </w:tcBorders>
            <w:vAlign w:val="center"/>
          </w:tcPr>
          <w:p w14:paraId="233D399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nil"/>
              <w:right w:val="nil"/>
            </w:tcBorders>
            <w:vAlign w:val="center"/>
          </w:tcPr>
          <w:p w14:paraId="5791CF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10</w:t>
            </w:r>
          </w:p>
        </w:tc>
        <w:tc>
          <w:tcPr>
            <w:tcW w:w="332" w:type="pct"/>
            <w:tcBorders>
              <w:top w:val="nil"/>
              <w:left w:val="nil"/>
              <w:bottom w:val="nil"/>
              <w:right w:val="nil"/>
            </w:tcBorders>
            <w:vAlign w:val="center"/>
          </w:tcPr>
          <w:p w14:paraId="77F9E6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8</w:t>
            </w:r>
          </w:p>
        </w:tc>
        <w:tc>
          <w:tcPr>
            <w:tcW w:w="3031" w:type="pct"/>
            <w:tcBorders>
              <w:top w:val="nil"/>
              <w:left w:val="nil"/>
              <w:bottom w:val="nil"/>
              <w:right w:val="nil"/>
            </w:tcBorders>
            <w:vAlign w:val="center"/>
          </w:tcPr>
          <w:p w14:paraId="6585D9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Water release</w:t>
            </w:r>
          </w:p>
        </w:tc>
      </w:tr>
      <w:tr w14:paraId="2E32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3" w:type="pct"/>
            <w:tcBorders>
              <w:top w:val="nil"/>
              <w:left w:val="nil"/>
              <w:bottom w:val="single" w:color="auto" w:sz="4" w:space="0"/>
              <w:right w:val="nil"/>
            </w:tcBorders>
            <w:vAlign w:val="center"/>
          </w:tcPr>
          <w:p w14:paraId="272E55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Maize</w:t>
            </w:r>
          </w:p>
        </w:tc>
        <w:tc>
          <w:tcPr>
            <w:tcW w:w="366" w:type="pct"/>
            <w:tcBorders>
              <w:top w:val="nil"/>
              <w:left w:val="nil"/>
              <w:bottom w:val="single" w:color="auto" w:sz="4" w:space="0"/>
              <w:right w:val="nil"/>
            </w:tcBorders>
            <w:vAlign w:val="center"/>
          </w:tcPr>
          <w:p w14:paraId="569A5CA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55" w:type="pct"/>
            <w:tcBorders>
              <w:top w:val="nil"/>
              <w:left w:val="nil"/>
              <w:bottom w:val="single" w:color="auto" w:sz="4" w:space="0"/>
              <w:right w:val="nil"/>
            </w:tcBorders>
            <w:vAlign w:val="center"/>
          </w:tcPr>
          <w:p w14:paraId="18A75E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10</w:t>
            </w:r>
          </w:p>
        </w:tc>
        <w:tc>
          <w:tcPr>
            <w:tcW w:w="332" w:type="pct"/>
            <w:tcBorders>
              <w:top w:val="nil"/>
              <w:left w:val="nil"/>
              <w:bottom w:val="single" w:color="auto" w:sz="4" w:space="0"/>
              <w:right w:val="nil"/>
            </w:tcBorders>
            <w:vAlign w:val="center"/>
          </w:tcPr>
          <w:p w14:paraId="320DB6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22</w:t>
            </w:r>
          </w:p>
        </w:tc>
        <w:tc>
          <w:tcPr>
            <w:tcW w:w="3031" w:type="pct"/>
            <w:tcBorders>
              <w:top w:val="nil"/>
              <w:left w:val="nil"/>
              <w:bottom w:val="single" w:color="auto" w:sz="4" w:space="0"/>
              <w:right w:val="nil"/>
            </w:tcBorders>
            <w:vAlign w:val="center"/>
          </w:tcPr>
          <w:p w14:paraId="0413EC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Harvest</w:t>
            </w:r>
          </w:p>
        </w:tc>
      </w:tr>
    </w:tbl>
    <w:p w14:paraId="731C5FB2">
      <w:pPr>
        <w:keepNext w:val="0"/>
        <w:keepLines w:val="0"/>
        <w:widowControl/>
        <w:suppressLineNumbers w:val="0"/>
        <w:jc w:val="left"/>
        <w:rPr>
          <w:rFonts w:hint="eastAsia" w:ascii="Times New Roman" w:hAnsi="Times New Roman" w:cs="Times New Roman" w:eastAsiaTheme="minorEastAsia"/>
          <w:b/>
          <w:bCs/>
          <w:color w:val="auto"/>
          <w:lang w:eastAsia="zh-CN"/>
        </w:rPr>
      </w:pPr>
    </w:p>
    <w:p w14:paraId="3D5EA961">
      <w:pPr>
        <w:keepNext w:val="0"/>
        <w:keepLines w:val="0"/>
        <w:widowControl/>
        <w:suppressLineNumbers w:val="0"/>
        <w:jc w:val="left"/>
        <w:rPr>
          <w:rFonts w:hint="eastAsia" w:ascii="Times New Roman" w:hAnsi="Times New Roman" w:cs="Times New Roman" w:eastAsiaTheme="minorEastAsia"/>
          <w:b/>
          <w:bCs/>
          <w:color w:val="auto"/>
          <w:lang w:eastAsia="zh-CN"/>
        </w:rPr>
      </w:pPr>
      <w:r>
        <w:rPr>
          <w:rFonts w:hint="eastAsia" w:ascii="Times New Roman" w:hAnsi="Times New Roman" w:cs="Times New Roman" w:eastAsiaTheme="minorEastAsia"/>
          <w:b/>
          <w:bCs/>
          <w:color w:val="auto"/>
          <w:lang w:eastAsia="zh-CN"/>
        </w:rPr>
        <w:t>Table S</w:t>
      </w:r>
      <w:r>
        <w:rPr>
          <w:rFonts w:hint="eastAsia" w:ascii="Times New Roman" w:hAnsi="Times New Roman" w:cs="Times New Roman"/>
          <w:b/>
          <w:bCs/>
          <w:color w:val="auto"/>
          <w:lang w:val="en-US" w:eastAsia="zh-CN"/>
        </w:rPr>
        <w:t>3</w:t>
      </w:r>
      <w:r>
        <w:rPr>
          <w:rFonts w:hint="eastAsia"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default" w:ascii="Times New Roman" w:hAnsi="Times New Roman" w:eastAsia="宋体" w:cs="Times New Roman"/>
          <w:color w:val="auto"/>
          <w:kern w:val="0"/>
          <w:sz w:val="21"/>
          <w:szCs w:val="21"/>
          <w:lang w:val="en-US" w:eastAsia="zh-CN" w:bidi="ar"/>
        </w:rPr>
        <w:t>Review of the calibration parameters by variable used by SWAT-CUP</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3282"/>
        <w:gridCol w:w="1884"/>
        <w:gridCol w:w="1532"/>
      </w:tblGrid>
      <w:tr w14:paraId="0C8E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single" w:color="auto" w:sz="4" w:space="0"/>
              <w:left w:val="nil"/>
              <w:bottom w:val="single" w:color="auto" w:sz="4" w:space="0"/>
              <w:right w:val="nil"/>
            </w:tcBorders>
            <w:vAlign w:val="center"/>
          </w:tcPr>
          <w:p w14:paraId="4EF42C59">
            <w:pPr>
              <w:keepNext w:val="0"/>
              <w:keepLines w:val="0"/>
              <w:widowControl/>
              <w:suppressLineNumbers w:val="0"/>
              <w:jc w:val="center"/>
              <w:textAlignment w:val="center"/>
              <w:rPr>
                <w:rFonts w:hint="default" w:ascii="Times New Roman" w:hAnsi="Times New Roman" w:cs="Times New Roman" w:eastAsiaTheme="minorEastAsia"/>
                <w:b/>
                <w:bCs/>
                <w:color w:val="auto"/>
                <w:vertAlign w:val="baseline"/>
                <w:lang w:eastAsia="zh-CN"/>
              </w:rPr>
            </w:pPr>
            <w:r>
              <w:rPr>
                <w:rFonts w:hint="default" w:ascii="Times New Roman" w:hAnsi="Times New Roman" w:eastAsia="宋体" w:cs="Times New Roman"/>
                <w:b/>
                <w:bCs/>
                <w:i w:val="0"/>
                <w:iCs w:val="0"/>
                <w:color w:val="auto"/>
                <w:kern w:val="0"/>
                <w:sz w:val="22"/>
                <w:szCs w:val="22"/>
                <w:u w:val="none"/>
                <w:lang w:val="en-US" w:eastAsia="zh-CN" w:bidi="ar"/>
              </w:rPr>
              <w:t>Parameter</w:t>
            </w:r>
          </w:p>
        </w:tc>
        <w:tc>
          <w:tcPr>
            <w:tcW w:w="1925" w:type="pct"/>
            <w:tcBorders>
              <w:top w:val="single" w:color="auto" w:sz="4" w:space="0"/>
              <w:left w:val="nil"/>
              <w:bottom w:val="single" w:color="auto" w:sz="4" w:space="0"/>
              <w:right w:val="nil"/>
            </w:tcBorders>
            <w:vAlign w:val="center"/>
          </w:tcPr>
          <w:p w14:paraId="00CDB916">
            <w:pPr>
              <w:keepNext w:val="0"/>
              <w:keepLines w:val="0"/>
              <w:widowControl/>
              <w:suppressLineNumbers w:val="0"/>
              <w:jc w:val="center"/>
              <w:textAlignment w:val="center"/>
              <w:rPr>
                <w:rFonts w:hint="default" w:ascii="Times New Roman" w:hAnsi="Times New Roman" w:cs="Times New Roman" w:eastAsiaTheme="minorEastAsia"/>
                <w:b/>
                <w:bCs/>
                <w:color w:val="auto"/>
                <w:vertAlign w:val="baseline"/>
                <w:lang w:eastAsia="zh-CN"/>
              </w:rPr>
            </w:pPr>
            <w:r>
              <w:rPr>
                <w:rFonts w:hint="default" w:ascii="Times New Roman" w:hAnsi="Times New Roman" w:eastAsia="宋体" w:cs="Times New Roman"/>
                <w:b/>
                <w:bCs/>
                <w:i w:val="0"/>
                <w:iCs w:val="0"/>
                <w:color w:val="auto"/>
                <w:kern w:val="0"/>
                <w:sz w:val="22"/>
                <w:szCs w:val="22"/>
                <w:u w:val="none"/>
                <w:lang w:val="en-US" w:eastAsia="zh-CN" w:bidi="ar"/>
              </w:rPr>
              <w:t>Description</w:t>
            </w:r>
          </w:p>
        </w:tc>
        <w:tc>
          <w:tcPr>
            <w:tcW w:w="1105" w:type="pct"/>
            <w:tcBorders>
              <w:top w:val="single" w:color="auto" w:sz="4" w:space="0"/>
              <w:left w:val="nil"/>
              <w:bottom w:val="single" w:color="auto" w:sz="4" w:space="0"/>
              <w:right w:val="nil"/>
            </w:tcBorders>
            <w:vAlign w:val="center"/>
          </w:tcPr>
          <w:p w14:paraId="59EAEA09">
            <w:pPr>
              <w:keepNext w:val="0"/>
              <w:keepLines w:val="0"/>
              <w:widowControl/>
              <w:suppressLineNumbers w:val="0"/>
              <w:jc w:val="center"/>
              <w:textAlignment w:val="center"/>
              <w:rPr>
                <w:rFonts w:hint="default" w:ascii="Times New Roman" w:hAnsi="Times New Roman" w:cs="Times New Roman" w:eastAsiaTheme="minorEastAsia"/>
                <w:b/>
                <w:bCs/>
                <w:color w:val="auto"/>
                <w:vertAlign w:val="baseline"/>
                <w:lang w:eastAsia="zh-CN"/>
              </w:rPr>
            </w:pPr>
            <w:r>
              <w:rPr>
                <w:rFonts w:hint="default" w:ascii="Times New Roman" w:hAnsi="Times New Roman" w:eastAsia="宋体" w:cs="Times New Roman"/>
                <w:b/>
                <w:bCs/>
                <w:i w:val="0"/>
                <w:iCs w:val="0"/>
                <w:color w:val="auto"/>
                <w:kern w:val="0"/>
                <w:sz w:val="22"/>
                <w:szCs w:val="22"/>
                <w:u w:val="none"/>
                <w:lang w:val="en-US" w:eastAsia="zh-CN" w:bidi="ar"/>
              </w:rPr>
              <w:t>Range</w:t>
            </w:r>
          </w:p>
        </w:tc>
        <w:tc>
          <w:tcPr>
            <w:tcW w:w="898" w:type="pct"/>
            <w:tcBorders>
              <w:top w:val="single" w:color="auto" w:sz="4" w:space="0"/>
              <w:left w:val="nil"/>
              <w:bottom w:val="single" w:color="auto" w:sz="4" w:space="0"/>
              <w:right w:val="nil"/>
            </w:tcBorders>
            <w:vAlign w:val="center"/>
          </w:tcPr>
          <w:p w14:paraId="13AEC8FB">
            <w:pPr>
              <w:keepNext w:val="0"/>
              <w:keepLines w:val="0"/>
              <w:widowControl/>
              <w:suppressLineNumbers w:val="0"/>
              <w:jc w:val="center"/>
              <w:textAlignment w:val="center"/>
              <w:rPr>
                <w:rFonts w:hint="default" w:ascii="Times New Roman" w:hAnsi="Times New Roman" w:cs="Times New Roman" w:eastAsiaTheme="minorEastAsia"/>
                <w:b/>
                <w:bCs/>
                <w:color w:val="auto"/>
                <w:vertAlign w:val="baseline"/>
                <w:lang w:eastAsia="zh-CN"/>
              </w:rPr>
            </w:pPr>
            <w:r>
              <w:rPr>
                <w:rFonts w:hint="default" w:ascii="Times New Roman" w:hAnsi="Times New Roman" w:eastAsia="宋体" w:cs="Times New Roman"/>
                <w:b/>
                <w:bCs/>
                <w:i w:val="0"/>
                <w:iCs w:val="0"/>
                <w:color w:val="auto"/>
                <w:kern w:val="0"/>
                <w:sz w:val="22"/>
                <w:szCs w:val="22"/>
                <w:u w:val="none"/>
                <w:lang w:val="en-US" w:eastAsia="zh-CN" w:bidi="ar"/>
              </w:rPr>
              <w:t>Calibrated Value</w:t>
            </w:r>
          </w:p>
        </w:tc>
      </w:tr>
      <w:tr w14:paraId="5BCD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single" w:color="auto" w:sz="4" w:space="0"/>
              <w:left w:val="nil"/>
              <w:bottom w:val="nil"/>
              <w:right w:val="nil"/>
            </w:tcBorders>
            <w:vAlign w:val="center"/>
          </w:tcPr>
          <w:p w14:paraId="467B77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CN2.mgt</w:t>
            </w:r>
          </w:p>
        </w:tc>
        <w:tc>
          <w:tcPr>
            <w:tcW w:w="1925" w:type="pct"/>
            <w:tcBorders>
              <w:top w:val="single" w:color="auto" w:sz="4" w:space="0"/>
              <w:left w:val="nil"/>
              <w:bottom w:val="nil"/>
              <w:right w:val="nil"/>
            </w:tcBorders>
            <w:vAlign w:val="center"/>
          </w:tcPr>
          <w:p w14:paraId="4C54EA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Curve number for moisture condition II</w:t>
            </w:r>
          </w:p>
        </w:tc>
        <w:tc>
          <w:tcPr>
            <w:tcW w:w="1105" w:type="pct"/>
            <w:tcBorders>
              <w:top w:val="single" w:color="auto" w:sz="4" w:space="0"/>
              <w:left w:val="nil"/>
              <w:bottom w:val="nil"/>
              <w:right w:val="nil"/>
            </w:tcBorders>
            <w:vAlign w:val="center"/>
          </w:tcPr>
          <w:p w14:paraId="23D9DD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-0.227385 to -0.163789</w:t>
            </w:r>
          </w:p>
        </w:tc>
        <w:tc>
          <w:tcPr>
            <w:tcW w:w="898" w:type="pct"/>
            <w:tcBorders>
              <w:top w:val="single" w:color="auto" w:sz="4" w:space="0"/>
              <w:left w:val="nil"/>
              <w:bottom w:val="nil"/>
              <w:right w:val="nil"/>
            </w:tcBorders>
            <w:vAlign w:val="center"/>
          </w:tcPr>
          <w:p w14:paraId="688A47D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-0.227385</w:t>
            </w:r>
          </w:p>
        </w:tc>
      </w:tr>
      <w:tr w14:paraId="1F9D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02AE4F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ALPHA_BF.gw</w:t>
            </w:r>
          </w:p>
        </w:tc>
        <w:tc>
          <w:tcPr>
            <w:tcW w:w="1925" w:type="pct"/>
            <w:tcBorders>
              <w:top w:val="nil"/>
              <w:left w:val="nil"/>
              <w:bottom w:val="nil"/>
              <w:right w:val="nil"/>
            </w:tcBorders>
            <w:vAlign w:val="center"/>
          </w:tcPr>
          <w:p w14:paraId="6860A5D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Baseflow alpha factor for groundwater</w:t>
            </w:r>
          </w:p>
        </w:tc>
        <w:tc>
          <w:tcPr>
            <w:tcW w:w="1105" w:type="pct"/>
            <w:tcBorders>
              <w:top w:val="nil"/>
              <w:left w:val="nil"/>
              <w:bottom w:val="nil"/>
              <w:right w:val="nil"/>
            </w:tcBorders>
            <w:vAlign w:val="center"/>
          </w:tcPr>
          <w:p w14:paraId="3D8E5A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0.587098 to 0.73494</w:t>
            </w:r>
          </w:p>
        </w:tc>
        <w:tc>
          <w:tcPr>
            <w:tcW w:w="898" w:type="pct"/>
            <w:tcBorders>
              <w:top w:val="nil"/>
              <w:left w:val="nil"/>
              <w:bottom w:val="nil"/>
              <w:right w:val="nil"/>
            </w:tcBorders>
            <w:vAlign w:val="center"/>
          </w:tcPr>
          <w:p w14:paraId="335523A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0.587098</w:t>
            </w:r>
          </w:p>
        </w:tc>
      </w:tr>
      <w:tr w14:paraId="149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3385FA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REVAPMN.gw</w:t>
            </w:r>
          </w:p>
        </w:tc>
        <w:tc>
          <w:tcPr>
            <w:tcW w:w="1925" w:type="pct"/>
            <w:tcBorders>
              <w:top w:val="nil"/>
              <w:left w:val="nil"/>
              <w:bottom w:val="nil"/>
              <w:right w:val="nil"/>
            </w:tcBorders>
            <w:vAlign w:val="center"/>
          </w:tcPr>
          <w:p w14:paraId="5A8CD4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Threshold depth of water in the shallow aquifer for revap to occur</w:t>
            </w:r>
          </w:p>
        </w:tc>
        <w:tc>
          <w:tcPr>
            <w:tcW w:w="1105" w:type="pct"/>
            <w:tcBorders>
              <w:top w:val="nil"/>
              <w:left w:val="nil"/>
              <w:bottom w:val="nil"/>
              <w:right w:val="nil"/>
            </w:tcBorders>
            <w:vAlign w:val="center"/>
          </w:tcPr>
          <w:p w14:paraId="5C3CAE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-298.642395 to -129.728348</w:t>
            </w:r>
          </w:p>
        </w:tc>
        <w:tc>
          <w:tcPr>
            <w:tcW w:w="898" w:type="pct"/>
            <w:tcBorders>
              <w:top w:val="nil"/>
              <w:left w:val="nil"/>
              <w:bottom w:val="nil"/>
              <w:right w:val="nil"/>
            </w:tcBorders>
            <w:vAlign w:val="center"/>
          </w:tcPr>
          <w:p w14:paraId="51B15A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-298.642395</w:t>
            </w:r>
          </w:p>
        </w:tc>
      </w:tr>
      <w:tr w14:paraId="1CE9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0324BC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GW_REVAP.gw</w:t>
            </w:r>
          </w:p>
        </w:tc>
        <w:tc>
          <w:tcPr>
            <w:tcW w:w="1925" w:type="pct"/>
            <w:tcBorders>
              <w:top w:val="nil"/>
              <w:left w:val="nil"/>
              <w:bottom w:val="nil"/>
              <w:right w:val="nil"/>
            </w:tcBorders>
            <w:vAlign w:val="center"/>
          </w:tcPr>
          <w:p w14:paraId="2662D7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Groundwater revap coefficient</w:t>
            </w:r>
          </w:p>
        </w:tc>
        <w:tc>
          <w:tcPr>
            <w:tcW w:w="1105" w:type="pct"/>
            <w:tcBorders>
              <w:top w:val="nil"/>
              <w:left w:val="nil"/>
              <w:bottom w:val="nil"/>
              <w:right w:val="nil"/>
            </w:tcBorders>
            <w:vAlign w:val="center"/>
          </w:tcPr>
          <w:p w14:paraId="3B94B1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-0.536762 to -0.323774</w:t>
            </w:r>
          </w:p>
        </w:tc>
        <w:tc>
          <w:tcPr>
            <w:tcW w:w="898" w:type="pct"/>
            <w:tcBorders>
              <w:top w:val="nil"/>
              <w:left w:val="nil"/>
              <w:bottom w:val="nil"/>
              <w:right w:val="nil"/>
            </w:tcBorders>
            <w:vAlign w:val="center"/>
          </w:tcPr>
          <w:p w14:paraId="597F3D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-0.536762</w:t>
            </w:r>
          </w:p>
        </w:tc>
      </w:tr>
      <w:tr w14:paraId="682A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57853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GWQMN.gw</w:t>
            </w:r>
          </w:p>
        </w:tc>
        <w:tc>
          <w:tcPr>
            <w:tcW w:w="1925" w:type="pct"/>
            <w:tcBorders>
              <w:top w:val="nil"/>
              <w:left w:val="nil"/>
              <w:bottom w:val="nil"/>
              <w:right w:val="nil"/>
            </w:tcBorders>
            <w:vAlign w:val="center"/>
          </w:tcPr>
          <w:p w14:paraId="03249F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Threshold water depth in shallow aquifer required for return flow</w:t>
            </w:r>
          </w:p>
        </w:tc>
        <w:tc>
          <w:tcPr>
            <w:tcW w:w="1105" w:type="pct"/>
            <w:tcBorders>
              <w:top w:val="nil"/>
              <w:left w:val="nil"/>
              <w:bottom w:val="nil"/>
              <w:right w:val="nil"/>
            </w:tcBorders>
            <w:vAlign w:val="center"/>
          </w:tcPr>
          <w:p w14:paraId="5854F0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-0.305401 to -0.245675</w:t>
            </w:r>
          </w:p>
        </w:tc>
        <w:tc>
          <w:tcPr>
            <w:tcW w:w="898" w:type="pct"/>
            <w:tcBorders>
              <w:top w:val="nil"/>
              <w:left w:val="nil"/>
              <w:bottom w:val="nil"/>
              <w:right w:val="nil"/>
            </w:tcBorders>
            <w:vAlign w:val="center"/>
          </w:tcPr>
          <w:p w14:paraId="01528E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-0.305401</w:t>
            </w:r>
          </w:p>
        </w:tc>
      </w:tr>
      <w:tr w14:paraId="22F4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45E40F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SOL_BD(1).sol</w:t>
            </w:r>
          </w:p>
        </w:tc>
        <w:tc>
          <w:tcPr>
            <w:tcW w:w="1925" w:type="pct"/>
            <w:tcBorders>
              <w:top w:val="nil"/>
              <w:left w:val="nil"/>
              <w:bottom w:val="nil"/>
              <w:right w:val="nil"/>
            </w:tcBorders>
            <w:vAlign w:val="center"/>
          </w:tcPr>
          <w:p w14:paraId="0E391A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Bulk density of soil layer</w:t>
            </w:r>
          </w:p>
        </w:tc>
        <w:tc>
          <w:tcPr>
            <w:tcW w:w="1105" w:type="pct"/>
            <w:tcBorders>
              <w:top w:val="nil"/>
              <w:left w:val="nil"/>
              <w:bottom w:val="nil"/>
              <w:right w:val="nil"/>
            </w:tcBorders>
            <w:vAlign w:val="center"/>
          </w:tcPr>
          <w:p w14:paraId="71FAA5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0.113505 to 0.358781</w:t>
            </w:r>
          </w:p>
        </w:tc>
        <w:tc>
          <w:tcPr>
            <w:tcW w:w="898" w:type="pct"/>
            <w:tcBorders>
              <w:top w:val="nil"/>
              <w:left w:val="nil"/>
              <w:bottom w:val="nil"/>
              <w:right w:val="nil"/>
            </w:tcBorders>
            <w:vAlign w:val="center"/>
          </w:tcPr>
          <w:p w14:paraId="34E865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0.113505</w:t>
            </w:r>
          </w:p>
        </w:tc>
      </w:tr>
      <w:tr w14:paraId="278E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63CA86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CH_K2.rte</w:t>
            </w:r>
          </w:p>
        </w:tc>
        <w:tc>
          <w:tcPr>
            <w:tcW w:w="1925" w:type="pct"/>
            <w:tcBorders>
              <w:top w:val="nil"/>
              <w:left w:val="nil"/>
              <w:bottom w:val="nil"/>
              <w:right w:val="nil"/>
            </w:tcBorders>
            <w:vAlign w:val="center"/>
          </w:tcPr>
          <w:p w14:paraId="05EA21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Effective hydraulic conductivity in main channel</w:t>
            </w:r>
          </w:p>
        </w:tc>
        <w:tc>
          <w:tcPr>
            <w:tcW w:w="1105" w:type="pct"/>
            <w:tcBorders>
              <w:top w:val="nil"/>
              <w:left w:val="nil"/>
              <w:bottom w:val="nil"/>
              <w:right w:val="nil"/>
            </w:tcBorders>
            <w:vAlign w:val="center"/>
          </w:tcPr>
          <w:p w14:paraId="19EABD5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61.810043 to 158.820602</w:t>
            </w:r>
          </w:p>
        </w:tc>
        <w:tc>
          <w:tcPr>
            <w:tcW w:w="898" w:type="pct"/>
            <w:tcBorders>
              <w:top w:val="nil"/>
              <w:left w:val="nil"/>
              <w:bottom w:val="nil"/>
              <w:right w:val="nil"/>
            </w:tcBorders>
            <w:vAlign w:val="center"/>
          </w:tcPr>
          <w:p w14:paraId="66D3CC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61.810043</w:t>
            </w:r>
          </w:p>
        </w:tc>
      </w:tr>
      <w:tr w14:paraId="3039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7D0317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CH_N2.rte</w:t>
            </w:r>
          </w:p>
        </w:tc>
        <w:tc>
          <w:tcPr>
            <w:tcW w:w="1925" w:type="pct"/>
            <w:tcBorders>
              <w:top w:val="nil"/>
              <w:left w:val="nil"/>
              <w:bottom w:val="nil"/>
              <w:right w:val="nil"/>
            </w:tcBorders>
            <w:vAlign w:val="center"/>
          </w:tcPr>
          <w:p w14:paraId="09899A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Manning's "n" value for main channel</w:t>
            </w:r>
          </w:p>
        </w:tc>
        <w:tc>
          <w:tcPr>
            <w:tcW w:w="1105" w:type="pct"/>
            <w:tcBorders>
              <w:top w:val="nil"/>
              <w:left w:val="nil"/>
              <w:bottom w:val="nil"/>
              <w:right w:val="nil"/>
            </w:tcBorders>
            <w:vAlign w:val="center"/>
          </w:tcPr>
          <w:p w14:paraId="1ABE37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0.070693 to 0.150009</w:t>
            </w:r>
          </w:p>
        </w:tc>
        <w:tc>
          <w:tcPr>
            <w:tcW w:w="898" w:type="pct"/>
            <w:tcBorders>
              <w:top w:val="nil"/>
              <w:left w:val="nil"/>
              <w:bottom w:val="nil"/>
              <w:right w:val="nil"/>
            </w:tcBorders>
            <w:vAlign w:val="center"/>
          </w:tcPr>
          <w:p w14:paraId="126FA1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0.070693</w:t>
            </w:r>
          </w:p>
        </w:tc>
      </w:tr>
      <w:tr w14:paraId="7BF0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06E915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GW_DELAY.gw</w:t>
            </w:r>
          </w:p>
        </w:tc>
        <w:tc>
          <w:tcPr>
            <w:tcW w:w="1925" w:type="pct"/>
            <w:tcBorders>
              <w:top w:val="nil"/>
              <w:left w:val="nil"/>
              <w:bottom w:val="nil"/>
              <w:right w:val="nil"/>
            </w:tcBorders>
            <w:vAlign w:val="center"/>
          </w:tcPr>
          <w:p w14:paraId="5E4E4E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Groundwater delay time</w:t>
            </w:r>
          </w:p>
        </w:tc>
        <w:tc>
          <w:tcPr>
            <w:tcW w:w="1105" w:type="pct"/>
            <w:tcBorders>
              <w:top w:val="nil"/>
              <w:left w:val="nil"/>
              <w:bottom w:val="nil"/>
              <w:right w:val="nil"/>
            </w:tcBorders>
            <w:vAlign w:val="center"/>
          </w:tcPr>
          <w:p w14:paraId="1F20A1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26.179174 to 49.137875</w:t>
            </w:r>
          </w:p>
        </w:tc>
        <w:tc>
          <w:tcPr>
            <w:tcW w:w="898" w:type="pct"/>
            <w:tcBorders>
              <w:top w:val="nil"/>
              <w:left w:val="nil"/>
              <w:bottom w:val="nil"/>
              <w:right w:val="nil"/>
            </w:tcBorders>
            <w:vAlign w:val="center"/>
          </w:tcPr>
          <w:p w14:paraId="2E7A36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26.179174</w:t>
            </w:r>
          </w:p>
        </w:tc>
      </w:tr>
      <w:tr w14:paraId="711D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81CC4C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ESCO.hru</w:t>
            </w:r>
          </w:p>
        </w:tc>
        <w:tc>
          <w:tcPr>
            <w:tcW w:w="1925" w:type="pct"/>
            <w:tcBorders>
              <w:top w:val="nil"/>
              <w:left w:val="nil"/>
              <w:bottom w:val="nil"/>
              <w:right w:val="nil"/>
            </w:tcBorders>
            <w:vAlign w:val="center"/>
          </w:tcPr>
          <w:p w14:paraId="5BAC36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Soil evaporation compensation factor</w:t>
            </w:r>
          </w:p>
        </w:tc>
        <w:tc>
          <w:tcPr>
            <w:tcW w:w="1105" w:type="pct"/>
            <w:tcBorders>
              <w:top w:val="nil"/>
              <w:left w:val="nil"/>
              <w:bottom w:val="nil"/>
              <w:right w:val="nil"/>
            </w:tcBorders>
            <w:vAlign w:val="center"/>
          </w:tcPr>
          <w:p w14:paraId="68B950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0.740373 to 0.871827</w:t>
            </w:r>
          </w:p>
        </w:tc>
        <w:tc>
          <w:tcPr>
            <w:tcW w:w="898" w:type="pct"/>
            <w:tcBorders>
              <w:top w:val="nil"/>
              <w:left w:val="nil"/>
              <w:bottom w:val="nil"/>
              <w:right w:val="nil"/>
            </w:tcBorders>
            <w:vAlign w:val="center"/>
          </w:tcPr>
          <w:p w14:paraId="0B9F39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0.740373</w:t>
            </w:r>
          </w:p>
        </w:tc>
      </w:tr>
      <w:tr w14:paraId="20C3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3B31E5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EPCO.hru</w:t>
            </w:r>
          </w:p>
        </w:tc>
        <w:tc>
          <w:tcPr>
            <w:tcW w:w="1925" w:type="pct"/>
            <w:tcBorders>
              <w:top w:val="nil"/>
              <w:left w:val="nil"/>
              <w:bottom w:val="nil"/>
              <w:right w:val="nil"/>
            </w:tcBorders>
            <w:vAlign w:val="center"/>
          </w:tcPr>
          <w:p w14:paraId="2DC901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Plant uptake compensation factor</w:t>
            </w:r>
          </w:p>
        </w:tc>
        <w:tc>
          <w:tcPr>
            <w:tcW w:w="1105" w:type="pct"/>
            <w:tcBorders>
              <w:top w:val="nil"/>
              <w:left w:val="nil"/>
              <w:bottom w:val="nil"/>
              <w:right w:val="nil"/>
            </w:tcBorders>
            <w:vAlign w:val="center"/>
          </w:tcPr>
          <w:p w14:paraId="0BB0B0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0.769135 to 1.016485</w:t>
            </w:r>
          </w:p>
        </w:tc>
        <w:tc>
          <w:tcPr>
            <w:tcW w:w="898" w:type="pct"/>
            <w:tcBorders>
              <w:top w:val="nil"/>
              <w:left w:val="nil"/>
              <w:bottom w:val="nil"/>
              <w:right w:val="nil"/>
            </w:tcBorders>
            <w:vAlign w:val="center"/>
          </w:tcPr>
          <w:p w14:paraId="1E0C5DF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0.769135</w:t>
            </w:r>
          </w:p>
        </w:tc>
      </w:tr>
      <w:tr w14:paraId="56DD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F8B50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CANMX.hru</w:t>
            </w:r>
          </w:p>
        </w:tc>
        <w:tc>
          <w:tcPr>
            <w:tcW w:w="1925" w:type="pct"/>
            <w:tcBorders>
              <w:top w:val="nil"/>
              <w:left w:val="nil"/>
              <w:bottom w:val="nil"/>
              <w:right w:val="nil"/>
            </w:tcBorders>
            <w:vAlign w:val="center"/>
          </w:tcPr>
          <w:p w14:paraId="55577C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Maximum canopy storage</w:t>
            </w:r>
          </w:p>
        </w:tc>
        <w:tc>
          <w:tcPr>
            <w:tcW w:w="1105" w:type="pct"/>
            <w:tcBorders>
              <w:top w:val="nil"/>
              <w:left w:val="nil"/>
              <w:bottom w:val="nil"/>
              <w:right w:val="nil"/>
            </w:tcBorders>
            <w:vAlign w:val="center"/>
          </w:tcPr>
          <w:p w14:paraId="5AAA82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0.261864 to 0.406756</w:t>
            </w:r>
          </w:p>
        </w:tc>
        <w:tc>
          <w:tcPr>
            <w:tcW w:w="898" w:type="pct"/>
            <w:tcBorders>
              <w:top w:val="nil"/>
              <w:left w:val="nil"/>
              <w:bottom w:val="nil"/>
              <w:right w:val="nil"/>
            </w:tcBorders>
            <w:vAlign w:val="center"/>
          </w:tcPr>
          <w:p w14:paraId="677A4E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0.261864</w:t>
            </w:r>
          </w:p>
        </w:tc>
      </w:tr>
      <w:tr w14:paraId="7065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50997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SMFMN.bsn</w:t>
            </w:r>
          </w:p>
        </w:tc>
        <w:tc>
          <w:tcPr>
            <w:tcW w:w="1925" w:type="pct"/>
            <w:tcBorders>
              <w:top w:val="nil"/>
              <w:left w:val="nil"/>
              <w:bottom w:val="nil"/>
              <w:right w:val="nil"/>
            </w:tcBorders>
            <w:vAlign w:val="center"/>
          </w:tcPr>
          <w:p w14:paraId="757192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Minimum melt rate for snow</w:t>
            </w:r>
          </w:p>
        </w:tc>
        <w:tc>
          <w:tcPr>
            <w:tcW w:w="1105" w:type="pct"/>
            <w:tcBorders>
              <w:top w:val="nil"/>
              <w:left w:val="nil"/>
              <w:bottom w:val="nil"/>
              <w:right w:val="nil"/>
            </w:tcBorders>
            <w:vAlign w:val="center"/>
          </w:tcPr>
          <w:p w14:paraId="4F15B6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-21.083895 to -14.533034</w:t>
            </w:r>
          </w:p>
        </w:tc>
        <w:tc>
          <w:tcPr>
            <w:tcW w:w="898" w:type="pct"/>
            <w:tcBorders>
              <w:top w:val="nil"/>
              <w:left w:val="nil"/>
              <w:bottom w:val="nil"/>
              <w:right w:val="nil"/>
            </w:tcBorders>
            <w:vAlign w:val="center"/>
          </w:tcPr>
          <w:p w14:paraId="3CA972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-21.083895</w:t>
            </w:r>
          </w:p>
        </w:tc>
      </w:tr>
      <w:tr w14:paraId="16CB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341F57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SOL_AWC(1).sol</w:t>
            </w:r>
          </w:p>
        </w:tc>
        <w:tc>
          <w:tcPr>
            <w:tcW w:w="1925" w:type="pct"/>
            <w:tcBorders>
              <w:top w:val="nil"/>
              <w:left w:val="nil"/>
              <w:bottom w:val="nil"/>
              <w:right w:val="nil"/>
            </w:tcBorders>
            <w:vAlign w:val="center"/>
          </w:tcPr>
          <w:p w14:paraId="3C5BB72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Available water capacity of soil layer</w:t>
            </w:r>
          </w:p>
        </w:tc>
        <w:tc>
          <w:tcPr>
            <w:tcW w:w="1105" w:type="pct"/>
            <w:tcBorders>
              <w:top w:val="nil"/>
              <w:left w:val="nil"/>
              <w:bottom w:val="nil"/>
              <w:right w:val="nil"/>
            </w:tcBorders>
            <w:vAlign w:val="center"/>
          </w:tcPr>
          <w:p w14:paraId="7BE9A9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-0.724089 to -0.633337</w:t>
            </w:r>
          </w:p>
        </w:tc>
        <w:tc>
          <w:tcPr>
            <w:tcW w:w="898" w:type="pct"/>
            <w:tcBorders>
              <w:top w:val="nil"/>
              <w:left w:val="nil"/>
              <w:bottom w:val="nil"/>
              <w:right w:val="nil"/>
            </w:tcBorders>
            <w:vAlign w:val="center"/>
          </w:tcPr>
          <w:p w14:paraId="324BBB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-0.724089</w:t>
            </w:r>
          </w:p>
        </w:tc>
      </w:tr>
      <w:tr w14:paraId="2011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7A7A9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TIMP.bsn</w:t>
            </w:r>
          </w:p>
        </w:tc>
        <w:tc>
          <w:tcPr>
            <w:tcW w:w="1925" w:type="pct"/>
            <w:tcBorders>
              <w:top w:val="nil"/>
              <w:left w:val="nil"/>
              <w:bottom w:val="nil"/>
              <w:right w:val="nil"/>
            </w:tcBorders>
            <w:vAlign w:val="center"/>
          </w:tcPr>
          <w:p w14:paraId="422A9C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Snow pack temperature lag factor</w:t>
            </w:r>
          </w:p>
        </w:tc>
        <w:tc>
          <w:tcPr>
            <w:tcW w:w="1105" w:type="pct"/>
            <w:tcBorders>
              <w:top w:val="nil"/>
              <w:left w:val="nil"/>
              <w:bottom w:val="nil"/>
              <w:right w:val="nil"/>
            </w:tcBorders>
            <w:vAlign w:val="center"/>
          </w:tcPr>
          <w:p w14:paraId="37CF994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-0.319392 to -0.00985</w:t>
            </w:r>
          </w:p>
        </w:tc>
        <w:tc>
          <w:tcPr>
            <w:tcW w:w="898" w:type="pct"/>
            <w:tcBorders>
              <w:top w:val="nil"/>
              <w:left w:val="nil"/>
              <w:bottom w:val="nil"/>
              <w:right w:val="nil"/>
            </w:tcBorders>
            <w:vAlign w:val="center"/>
          </w:tcPr>
          <w:p w14:paraId="460CBA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-0.319392</w:t>
            </w:r>
          </w:p>
        </w:tc>
      </w:tr>
      <w:tr w14:paraId="17F4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01393E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OV_N.hru</w:t>
            </w:r>
          </w:p>
        </w:tc>
        <w:tc>
          <w:tcPr>
            <w:tcW w:w="1925" w:type="pct"/>
            <w:tcBorders>
              <w:top w:val="nil"/>
              <w:left w:val="nil"/>
              <w:bottom w:val="nil"/>
              <w:right w:val="nil"/>
            </w:tcBorders>
            <w:vAlign w:val="center"/>
          </w:tcPr>
          <w:p w14:paraId="2250972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Manning's "n" value for overland flow</w:t>
            </w:r>
          </w:p>
        </w:tc>
        <w:tc>
          <w:tcPr>
            <w:tcW w:w="1105" w:type="pct"/>
            <w:tcBorders>
              <w:top w:val="nil"/>
              <w:left w:val="nil"/>
              <w:bottom w:val="nil"/>
              <w:right w:val="nil"/>
            </w:tcBorders>
            <w:vAlign w:val="center"/>
          </w:tcPr>
          <w:p w14:paraId="24C415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-0.214462 to -0.091726</w:t>
            </w:r>
          </w:p>
        </w:tc>
        <w:tc>
          <w:tcPr>
            <w:tcW w:w="898" w:type="pct"/>
            <w:tcBorders>
              <w:top w:val="nil"/>
              <w:left w:val="nil"/>
              <w:bottom w:val="nil"/>
              <w:right w:val="nil"/>
            </w:tcBorders>
            <w:vAlign w:val="center"/>
          </w:tcPr>
          <w:p w14:paraId="7731D7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-0.214462</w:t>
            </w:r>
          </w:p>
        </w:tc>
      </w:tr>
      <w:tr w14:paraId="466D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2D83F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SLSUBBSN.hru</w:t>
            </w:r>
          </w:p>
        </w:tc>
        <w:tc>
          <w:tcPr>
            <w:tcW w:w="1925" w:type="pct"/>
            <w:tcBorders>
              <w:top w:val="nil"/>
              <w:left w:val="nil"/>
              <w:bottom w:val="nil"/>
              <w:right w:val="nil"/>
            </w:tcBorders>
            <w:vAlign w:val="center"/>
          </w:tcPr>
          <w:p w14:paraId="3BC50C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Average slope length</w:t>
            </w:r>
          </w:p>
        </w:tc>
        <w:tc>
          <w:tcPr>
            <w:tcW w:w="1105" w:type="pct"/>
            <w:tcBorders>
              <w:top w:val="nil"/>
              <w:left w:val="nil"/>
              <w:bottom w:val="nil"/>
              <w:right w:val="nil"/>
            </w:tcBorders>
            <w:vAlign w:val="center"/>
          </w:tcPr>
          <w:p w14:paraId="2BEB84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0.011894 to 0.100282</w:t>
            </w:r>
          </w:p>
        </w:tc>
        <w:tc>
          <w:tcPr>
            <w:tcW w:w="898" w:type="pct"/>
            <w:tcBorders>
              <w:top w:val="nil"/>
              <w:left w:val="nil"/>
              <w:bottom w:val="nil"/>
              <w:right w:val="nil"/>
            </w:tcBorders>
            <w:vAlign w:val="center"/>
          </w:tcPr>
          <w:p w14:paraId="790392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0.011894</w:t>
            </w:r>
          </w:p>
        </w:tc>
      </w:tr>
      <w:tr w14:paraId="5EB9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42E334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HRU_SLP.hru</w:t>
            </w:r>
          </w:p>
        </w:tc>
        <w:tc>
          <w:tcPr>
            <w:tcW w:w="1925" w:type="pct"/>
            <w:tcBorders>
              <w:top w:val="nil"/>
              <w:left w:val="nil"/>
              <w:bottom w:val="nil"/>
              <w:right w:val="nil"/>
            </w:tcBorders>
            <w:vAlign w:val="center"/>
          </w:tcPr>
          <w:p w14:paraId="69EA76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Average slope of HRUs</w:t>
            </w:r>
          </w:p>
        </w:tc>
        <w:tc>
          <w:tcPr>
            <w:tcW w:w="1105" w:type="pct"/>
            <w:tcBorders>
              <w:top w:val="nil"/>
              <w:left w:val="nil"/>
              <w:bottom w:val="nil"/>
              <w:right w:val="nil"/>
            </w:tcBorders>
            <w:vAlign w:val="center"/>
          </w:tcPr>
          <w:p w14:paraId="730EF8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-0.71607 to -0.558492</w:t>
            </w:r>
          </w:p>
        </w:tc>
        <w:tc>
          <w:tcPr>
            <w:tcW w:w="898" w:type="pct"/>
            <w:tcBorders>
              <w:top w:val="nil"/>
              <w:left w:val="nil"/>
              <w:bottom w:val="nil"/>
              <w:right w:val="nil"/>
            </w:tcBorders>
            <w:vAlign w:val="center"/>
          </w:tcPr>
          <w:p w14:paraId="0C970FD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-0.71607</w:t>
            </w:r>
          </w:p>
        </w:tc>
      </w:tr>
      <w:tr w14:paraId="02BB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220BD2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SOL_K(1).sol</w:t>
            </w:r>
          </w:p>
        </w:tc>
        <w:tc>
          <w:tcPr>
            <w:tcW w:w="1925" w:type="pct"/>
            <w:tcBorders>
              <w:top w:val="nil"/>
              <w:left w:val="nil"/>
              <w:bottom w:val="nil"/>
              <w:right w:val="nil"/>
            </w:tcBorders>
            <w:vAlign w:val="center"/>
          </w:tcPr>
          <w:p w14:paraId="7299C6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Saturated hydraulic conductivity of soil layer</w:t>
            </w:r>
          </w:p>
        </w:tc>
        <w:tc>
          <w:tcPr>
            <w:tcW w:w="1105" w:type="pct"/>
            <w:tcBorders>
              <w:top w:val="nil"/>
              <w:left w:val="nil"/>
              <w:bottom w:val="nil"/>
              <w:right w:val="nil"/>
            </w:tcBorders>
            <w:vAlign w:val="center"/>
          </w:tcPr>
          <w:p w14:paraId="4A9865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-0.708197 to -0.517445</w:t>
            </w:r>
          </w:p>
        </w:tc>
        <w:tc>
          <w:tcPr>
            <w:tcW w:w="898" w:type="pct"/>
            <w:tcBorders>
              <w:top w:val="nil"/>
              <w:left w:val="nil"/>
              <w:bottom w:val="nil"/>
              <w:right w:val="nil"/>
            </w:tcBorders>
            <w:vAlign w:val="center"/>
          </w:tcPr>
          <w:p w14:paraId="3FBACB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-0.708197</w:t>
            </w:r>
          </w:p>
        </w:tc>
      </w:tr>
      <w:tr w14:paraId="63EE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679DBF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SFTMP.bsn</w:t>
            </w:r>
          </w:p>
        </w:tc>
        <w:tc>
          <w:tcPr>
            <w:tcW w:w="1925" w:type="pct"/>
            <w:tcBorders>
              <w:top w:val="nil"/>
              <w:left w:val="nil"/>
              <w:bottom w:val="nil"/>
              <w:right w:val="nil"/>
            </w:tcBorders>
            <w:vAlign w:val="center"/>
          </w:tcPr>
          <w:p w14:paraId="539C6C8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Snowfall temperature</w:t>
            </w:r>
          </w:p>
        </w:tc>
        <w:tc>
          <w:tcPr>
            <w:tcW w:w="1105" w:type="pct"/>
            <w:tcBorders>
              <w:top w:val="nil"/>
              <w:left w:val="nil"/>
              <w:bottom w:val="nil"/>
              <w:right w:val="nil"/>
            </w:tcBorders>
            <w:vAlign w:val="center"/>
          </w:tcPr>
          <w:p w14:paraId="5A17A3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-5.83032 to -5.157282</w:t>
            </w:r>
          </w:p>
        </w:tc>
        <w:tc>
          <w:tcPr>
            <w:tcW w:w="898" w:type="pct"/>
            <w:tcBorders>
              <w:top w:val="nil"/>
              <w:left w:val="nil"/>
              <w:bottom w:val="nil"/>
              <w:right w:val="nil"/>
            </w:tcBorders>
            <w:vAlign w:val="center"/>
          </w:tcPr>
          <w:p w14:paraId="296BA8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-5.83032</w:t>
            </w:r>
          </w:p>
        </w:tc>
      </w:tr>
      <w:tr w14:paraId="4759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44951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SURLAG.bsn</w:t>
            </w:r>
          </w:p>
        </w:tc>
        <w:tc>
          <w:tcPr>
            <w:tcW w:w="1925" w:type="pct"/>
            <w:tcBorders>
              <w:top w:val="nil"/>
              <w:left w:val="nil"/>
              <w:bottom w:val="nil"/>
              <w:right w:val="nil"/>
            </w:tcBorders>
            <w:vAlign w:val="center"/>
          </w:tcPr>
          <w:p w14:paraId="447D1E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Surface runoff lag coefficient</w:t>
            </w:r>
          </w:p>
        </w:tc>
        <w:tc>
          <w:tcPr>
            <w:tcW w:w="1105" w:type="pct"/>
            <w:tcBorders>
              <w:top w:val="nil"/>
              <w:left w:val="nil"/>
              <w:bottom w:val="nil"/>
              <w:right w:val="nil"/>
            </w:tcBorders>
            <w:vAlign w:val="center"/>
          </w:tcPr>
          <w:p w14:paraId="4C1D1E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1.019251 to 1.208369</w:t>
            </w:r>
          </w:p>
        </w:tc>
        <w:tc>
          <w:tcPr>
            <w:tcW w:w="898" w:type="pct"/>
            <w:tcBorders>
              <w:top w:val="nil"/>
              <w:left w:val="nil"/>
              <w:bottom w:val="nil"/>
              <w:right w:val="nil"/>
            </w:tcBorders>
            <w:vAlign w:val="center"/>
          </w:tcPr>
          <w:p w14:paraId="38F4AC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1.019251</w:t>
            </w:r>
          </w:p>
        </w:tc>
      </w:tr>
      <w:tr w14:paraId="1F2B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23E542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SPCON.bsn</w:t>
            </w:r>
          </w:p>
        </w:tc>
        <w:tc>
          <w:tcPr>
            <w:tcW w:w="1925" w:type="pct"/>
            <w:tcBorders>
              <w:top w:val="nil"/>
              <w:left w:val="nil"/>
              <w:bottom w:val="nil"/>
              <w:right w:val="nil"/>
            </w:tcBorders>
            <w:vAlign w:val="center"/>
          </w:tcPr>
          <w:p w14:paraId="4BA6C6A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Linear parameter for channel sediment routing</w:t>
            </w:r>
          </w:p>
        </w:tc>
        <w:tc>
          <w:tcPr>
            <w:tcW w:w="1105" w:type="pct"/>
            <w:tcBorders>
              <w:top w:val="nil"/>
              <w:left w:val="nil"/>
              <w:bottom w:val="nil"/>
              <w:right w:val="nil"/>
            </w:tcBorders>
            <w:vAlign w:val="center"/>
          </w:tcPr>
          <w:p w14:paraId="2755E32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0.002088 to 0.003108</w:t>
            </w:r>
          </w:p>
        </w:tc>
        <w:tc>
          <w:tcPr>
            <w:tcW w:w="898" w:type="pct"/>
            <w:tcBorders>
              <w:top w:val="nil"/>
              <w:left w:val="nil"/>
              <w:bottom w:val="nil"/>
              <w:right w:val="nil"/>
            </w:tcBorders>
            <w:vAlign w:val="center"/>
          </w:tcPr>
          <w:p w14:paraId="79E1FF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0.002088</w:t>
            </w:r>
          </w:p>
        </w:tc>
      </w:tr>
      <w:tr w14:paraId="14F4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4B8DA2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SPEXP.bsn</w:t>
            </w:r>
          </w:p>
        </w:tc>
        <w:tc>
          <w:tcPr>
            <w:tcW w:w="1925" w:type="pct"/>
            <w:tcBorders>
              <w:top w:val="nil"/>
              <w:left w:val="nil"/>
              <w:bottom w:val="nil"/>
              <w:right w:val="nil"/>
            </w:tcBorders>
            <w:vAlign w:val="center"/>
          </w:tcPr>
          <w:p w14:paraId="1E44DC1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Exponent parameter for channel sediment routing</w:t>
            </w:r>
          </w:p>
        </w:tc>
        <w:tc>
          <w:tcPr>
            <w:tcW w:w="1105" w:type="pct"/>
            <w:tcBorders>
              <w:top w:val="nil"/>
              <w:left w:val="nil"/>
              <w:bottom w:val="nil"/>
              <w:right w:val="nil"/>
            </w:tcBorders>
            <w:vAlign w:val="center"/>
          </w:tcPr>
          <w:p w14:paraId="35DD11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1.771576 to 1.918158</w:t>
            </w:r>
          </w:p>
        </w:tc>
        <w:tc>
          <w:tcPr>
            <w:tcW w:w="898" w:type="pct"/>
            <w:tcBorders>
              <w:top w:val="nil"/>
              <w:left w:val="nil"/>
              <w:bottom w:val="nil"/>
              <w:right w:val="nil"/>
            </w:tcBorders>
            <w:vAlign w:val="center"/>
          </w:tcPr>
          <w:p w14:paraId="038C06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1.771576</w:t>
            </w:r>
          </w:p>
        </w:tc>
      </w:tr>
      <w:tr w14:paraId="7C0C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525930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USLE_P.mgt</w:t>
            </w:r>
          </w:p>
        </w:tc>
        <w:tc>
          <w:tcPr>
            <w:tcW w:w="1925" w:type="pct"/>
            <w:tcBorders>
              <w:top w:val="nil"/>
              <w:left w:val="nil"/>
              <w:bottom w:val="nil"/>
              <w:right w:val="nil"/>
            </w:tcBorders>
            <w:vAlign w:val="center"/>
          </w:tcPr>
          <w:p w14:paraId="200173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USLE support practice factor</w:t>
            </w:r>
          </w:p>
        </w:tc>
        <w:tc>
          <w:tcPr>
            <w:tcW w:w="1105" w:type="pct"/>
            <w:tcBorders>
              <w:top w:val="nil"/>
              <w:left w:val="nil"/>
              <w:bottom w:val="nil"/>
              <w:right w:val="nil"/>
            </w:tcBorders>
            <w:vAlign w:val="center"/>
          </w:tcPr>
          <w:p w14:paraId="266972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0.205009 to 0.309585</w:t>
            </w:r>
          </w:p>
        </w:tc>
        <w:tc>
          <w:tcPr>
            <w:tcW w:w="898" w:type="pct"/>
            <w:tcBorders>
              <w:top w:val="nil"/>
              <w:left w:val="nil"/>
              <w:bottom w:val="nil"/>
              <w:right w:val="nil"/>
            </w:tcBorders>
            <w:vAlign w:val="center"/>
          </w:tcPr>
          <w:p w14:paraId="6BF2C7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0.205009</w:t>
            </w:r>
          </w:p>
        </w:tc>
      </w:tr>
      <w:tr w14:paraId="0C08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EF9EA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BIOMIX.mgt</w:t>
            </w:r>
          </w:p>
        </w:tc>
        <w:tc>
          <w:tcPr>
            <w:tcW w:w="1925" w:type="pct"/>
            <w:tcBorders>
              <w:top w:val="nil"/>
              <w:left w:val="nil"/>
              <w:bottom w:val="nil"/>
              <w:right w:val="nil"/>
            </w:tcBorders>
            <w:vAlign w:val="center"/>
          </w:tcPr>
          <w:p w14:paraId="395BD1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Biological mixing efficiency</w:t>
            </w:r>
          </w:p>
        </w:tc>
        <w:tc>
          <w:tcPr>
            <w:tcW w:w="1105" w:type="pct"/>
            <w:tcBorders>
              <w:top w:val="nil"/>
              <w:left w:val="nil"/>
              <w:bottom w:val="nil"/>
              <w:right w:val="nil"/>
            </w:tcBorders>
            <w:vAlign w:val="center"/>
          </w:tcPr>
          <w:p w14:paraId="4370F0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0.580056 to 1.144494</w:t>
            </w:r>
          </w:p>
        </w:tc>
        <w:tc>
          <w:tcPr>
            <w:tcW w:w="898" w:type="pct"/>
            <w:tcBorders>
              <w:top w:val="nil"/>
              <w:left w:val="nil"/>
              <w:bottom w:val="nil"/>
              <w:right w:val="nil"/>
            </w:tcBorders>
            <w:vAlign w:val="center"/>
          </w:tcPr>
          <w:p w14:paraId="475075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0.580056</w:t>
            </w:r>
          </w:p>
        </w:tc>
      </w:tr>
      <w:tr w14:paraId="41C0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2F66DC1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RSDCO.bsn</w:t>
            </w:r>
          </w:p>
        </w:tc>
        <w:tc>
          <w:tcPr>
            <w:tcW w:w="1925" w:type="pct"/>
            <w:tcBorders>
              <w:top w:val="nil"/>
              <w:left w:val="nil"/>
              <w:bottom w:val="nil"/>
              <w:right w:val="nil"/>
            </w:tcBorders>
            <w:vAlign w:val="center"/>
          </w:tcPr>
          <w:p w14:paraId="237B4E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Residue decomposition coefficient</w:t>
            </w:r>
          </w:p>
        </w:tc>
        <w:tc>
          <w:tcPr>
            <w:tcW w:w="1105" w:type="pct"/>
            <w:tcBorders>
              <w:top w:val="nil"/>
              <w:left w:val="nil"/>
              <w:bottom w:val="nil"/>
              <w:right w:val="nil"/>
            </w:tcBorders>
            <w:vAlign w:val="center"/>
          </w:tcPr>
          <w:p w14:paraId="0F12C98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-0.000922 to 0.044884</w:t>
            </w:r>
          </w:p>
        </w:tc>
        <w:tc>
          <w:tcPr>
            <w:tcW w:w="898" w:type="pct"/>
            <w:tcBorders>
              <w:top w:val="nil"/>
              <w:left w:val="nil"/>
              <w:bottom w:val="nil"/>
              <w:right w:val="nil"/>
            </w:tcBorders>
            <w:vAlign w:val="center"/>
          </w:tcPr>
          <w:p w14:paraId="5544A2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-0.000922</w:t>
            </w:r>
          </w:p>
        </w:tc>
      </w:tr>
      <w:tr w14:paraId="5CEC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AF58C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ERORGN.hru</w:t>
            </w:r>
          </w:p>
        </w:tc>
        <w:tc>
          <w:tcPr>
            <w:tcW w:w="1925" w:type="pct"/>
            <w:tcBorders>
              <w:top w:val="nil"/>
              <w:left w:val="nil"/>
              <w:bottom w:val="nil"/>
              <w:right w:val="nil"/>
            </w:tcBorders>
            <w:vAlign w:val="center"/>
          </w:tcPr>
          <w:p w14:paraId="7BFF683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Organic N enrichment ratio</w:t>
            </w:r>
          </w:p>
        </w:tc>
        <w:tc>
          <w:tcPr>
            <w:tcW w:w="1105" w:type="pct"/>
            <w:tcBorders>
              <w:top w:val="nil"/>
              <w:left w:val="nil"/>
              <w:bottom w:val="nil"/>
              <w:right w:val="nil"/>
            </w:tcBorders>
            <w:vAlign w:val="center"/>
          </w:tcPr>
          <w:p w14:paraId="5E5D455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0.512294 to 4.41083</w:t>
            </w:r>
          </w:p>
        </w:tc>
        <w:tc>
          <w:tcPr>
            <w:tcW w:w="898" w:type="pct"/>
            <w:tcBorders>
              <w:top w:val="nil"/>
              <w:left w:val="nil"/>
              <w:bottom w:val="nil"/>
              <w:right w:val="nil"/>
            </w:tcBorders>
            <w:vAlign w:val="center"/>
          </w:tcPr>
          <w:p w14:paraId="100506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0.512294</w:t>
            </w:r>
          </w:p>
        </w:tc>
      </w:tr>
      <w:tr w14:paraId="1AC0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0564741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SDNCO.bsn</w:t>
            </w:r>
          </w:p>
        </w:tc>
        <w:tc>
          <w:tcPr>
            <w:tcW w:w="1925" w:type="pct"/>
            <w:tcBorders>
              <w:top w:val="nil"/>
              <w:left w:val="nil"/>
              <w:bottom w:val="nil"/>
              <w:right w:val="nil"/>
            </w:tcBorders>
            <w:vAlign w:val="center"/>
          </w:tcPr>
          <w:p w14:paraId="4AC699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Denitrification threshold water content</w:t>
            </w:r>
          </w:p>
        </w:tc>
        <w:tc>
          <w:tcPr>
            <w:tcW w:w="1105" w:type="pct"/>
            <w:tcBorders>
              <w:top w:val="nil"/>
              <w:left w:val="nil"/>
              <w:bottom w:val="nil"/>
              <w:right w:val="nil"/>
            </w:tcBorders>
            <w:vAlign w:val="center"/>
          </w:tcPr>
          <w:p w14:paraId="07DBE5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0.360954 to 0.65338</w:t>
            </w:r>
          </w:p>
        </w:tc>
        <w:tc>
          <w:tcPr>
            <w:tcW w:w="898" w:type="pct"/>
            <w:tcBorders>
              <w:top w:val="nil"/>
              <w:left w:val="nil"/>
              <w:bottom w:val="nil"/>
              <w:right w:val="nil"/>
            </w:tcBorders>
            <w:vAlign w:val="center"/>
          </w:tcPr>
          <w:p w14:paraId="4946F9B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0.360954</w:t>
            </w:r>
          </w:p>
        </w:tc>
      </w:tr>
      <w:tr w14:paraId="542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7FA3706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NPERCO.bsn</w:t>
            </w:r>
          </w:p>
        </w:tc>
        <w:tc>
          <w:tcPr>
            <w:tcW w:w="1925" w:type="pct"/>
            <w:tcBorders>
              <w:top w:val="nil"/>
              <w:left w:val="nil"/>
              <w:bottom w:val="nil"/>
              <w:right w:val="nil"/>
            </w:tcBorders>
            <w:vAlign w:val="center"/>
          </w:tcPr>
          <w:p w14:paraId="42E213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Nitrogen percolation coefficient</w:t>
            </w:r>
          </w:p>
        </w:tc>
        <w:tc>
          <w:tcPr>
            <w:tcW w:w="1105" w:type="pct"/>
            <w:tcBorders>
              <w:top w:val="nil"/>
              <w:left w:val="nil"/>
              <w:bottom w:val="nil"/>
              <w:right w:val="nil"/>
            </w:tcBorders>
            <w:vAlign w:val="center"/>
          </w:tcPr>
          <w:p w14:paraId="7A3F9F7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-0.131061 to 0.432779</w:t>
            </w:r>
          </w:p>
        </w:tc>
        <w:tc>
          <w:tcPr>
            <w:tcW w:w="898" w:type="pct"/>
            <w:tcBorders>
              <w:top w:val="nil"/>
              <w:left w:val="nil"/>
              <w:bottom w:val="nil"/>
              <w:right w:val="nil"/>
            </w:tcBorders>
            <w:vAlign w:val="center"/>
          </w:tcPr>
          <w:p w14:paraId="41ADC5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-0.131061</w:t>
            </w:r>
          </w:p>
        </w:tc>
      </w:tr>
      <w:tr w14:paraId="1169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610438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BC1.swq</w:t>
            </w:r>
          </w:p>
        </w:tc>
        <w:tc>
          <w:tcPr>
            <w:tcW w:w="1925" w:type="pct"/>
            <w:tcBorders>
              <w:top w:val="nil"/>
              <w:left w:val="nil"/>
              <w:bottom w:val="nil"/>
              <w:right w:val="nil"/>
            </w:tcBorders>
            <w:vAlign w:val="center"/>
          </w:tcPr>
          <w:p w14:paraId="3FF622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Rate constant for biological oxidation of NH₄⁺ to NO₂⁻</w:t>
            </w:r>
          </w:p>
        </w:tc>
        <w:tc>
          <w:tcPr>
            <w:tcW w:w="1105" w:type="pct"/>
            <w:tcBorders>
              <w:top w:val="nil"/>
              <w:left w:val="nil"/>
              <w:bottom w:val="nil"/>
              <w:right w:val="nil"/>
            </w:tcBorders>
            <w:vAlign w:val="center"/>
          </w:tcPr>
          <w:p w14:paraId="140FAD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0.480728 to 0.738214</w:t>
            </w:r>
          </w:p>
        </w:tc>
        <w:tc>
          <w:tcPr>
            <w:tcW w:w="898" w:type="pct"/>
            <w:tcBorders>
              <w:top w:val="nil"/>
              <w:left w:val="nil"/>
              <w:bottom w:val="nil"/>
              <w:right w:val="nil"/>
            </w:tcBorders>
            <w:vAlign w:val="center"/>
          </w:tcPr>
          <w:p w14:paraId="064224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0.480728</w:t>
            </w:r>
          </w:p>
        </w:tc>
      </w:tr>
      <w:tr w14:paraId="0982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2AEE4A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BC2.swq</w:t>
            </w:r>
          </w:p>
        </w:tc>
        <w:tc>
          <w:tcPr>
            <w:tcW w:w="1925" w:type="pct"/>
            <w:tcBorders>
              <w:top w:val="nil"/>
              <w:left w:val="nil"/>
              <w:bottom w:val="nil"/>
              <w:right w:val="nil"/>
            </w:tcBorders>
            <w:vAlign w:val="center"/>
          </w:tcPr>
          <w:p w14:paraId="507892E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Rate constant for biological oxidation of NO₂⁻ to NO₃⁻</w:t>
            </w:r>
          </w:p>
        </w:tc>
        <w:tc>
          <w:tcPr>
            <w:tcW w:w="1105" w:type="pct"/>
            <w:tcBorders>
              <w:top w:val="nil"/>
              <w:left w:val="nil"/>
              <w:bottom w:val="nil"/>
              <w:right w:val="nil"/>
            </w:tcBorders>
            <w:vAlign w:val="center"/>
          </w:tcPr>
          <w:p w14:paraId="106D13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-0.324727 to 0.771867</w:t>
            </w:r>
          </w:p>
        </w:tc>
        <w:tc>
          <w:tcPr>
            <w:tcW w:w="898" w:type="pct"/>
            <w:tcBorders>
              <w:top w:val="nil"/>
              <w:left w:val="nil"/>
              <w:bottom w:val="nil"/>
              <w:right w:val="nil"/>
            </w:tcBorders>
            <w:vAlign w:val="center"/>
          </w:tcPr>
          <w:p w14:paraId="20043C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-0.324727</w:t>
            </w:r>
          </w:p>
        </w:tc>
      </w:tr>
      <w:tr w14:paraId="454D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6D8DBAB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BC3.swq</w:t>
            </w:r>
          </w:p>
        </w:tc>
        <w:tc>
          <w:tcPr>
            <w:tcW w:w="1925" w:type="pct"/>
            <w:tcBorders>
              <w:top w:val="nil"/>
              <w:left w:val="nil"/>
              <w:bottom w:val="nil"/>
              <w:right w:val="nil"/>
            </w:tcBorders>
            <w:vAlign w:val="center"/>
          </w:tcPr>
          <w:p w14:paraId="4F66756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Rate constant for hydrolysis of organic N to NH₄⁺</w:t>
            </w:r>
          </w:p>
        </w:tc>
        <w:tc>
          <w:tcPr>
            <w:tcW w:w="1105" w:type="pct"/>
            <w:tcBorders>
              <w:top w:val="nil"/>
              <w:left w:val="nil"/>
              <w:bottom w:val="nil"/>
              <w:right w:val="nil"/>
            </w:tcBorders>
            <w:vAlign w:val="center"/>
          </w:tcPr>
          <w:p w14:paraId="67F0F5F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0.057636 to 0.220542</w:t>
            </w:r>
          </w:p>
        </w:tc>
        <w:tc>
          <w:tcPr>
            <w:tcW w:w="898" w:type="pct"/>
            <w:tcBorders>
              <w:top w:val="nil"/>
              <w:left w:val="nil"/>
              <w:bottom w:val="nil"/>
              <w:right w:val="nil"/>
            </w:tcBorders>
            <w:vAlign w:val="center"/>
          </w:tcPr>
          <w:p w14:paraId="660FFF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0.057636</w:t>
            </w:r>
          </w:p>
        </w:tc>
      </w:tr>
      <w:tr w14:paraId="5812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19CAB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PHOSKD.bsn</w:t>
            </w:r>
          </w:p>
        </w:tc>
        <w:tc>
          <w:tcPr>
            <w:tcW w:w="1925" w:type="pct"/>
            <w:tcBorders>
              <w:top w:val="nil"/>
              <w:left w:val="nil"/>
              <w:bottom w:val="nil"/>
              <w:right w:val="nil"/>
            </w:tcBorders>
            <w:vAlign w:val="center"/>
          </w:tcPr>
          <w:p w14:paraId="57AAF2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Phosphorus partitioning coefficient</w:t>
            </w:r>
          </w:p>
        </w:tc>
        <w:tc>
          <w:tcPr>
            <w:tcW w:w="1105" w:type="pct"/>
            <w:tcBorders>
              <w:top w:val="nil"/>
              <w:left w:val="nil"/>
              <w:bottom w:val="nil"/>
              <w:right w:val="nil"/>
            </w:tcBorders>
            <w:vAlign w:val="center"/>
          </w:tcPr>
          <w:p w14:paraId="077F4B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192.89035 to 285.15799</w:t>
            </w:r>
          </w:p>
        </w:tc>
        <w:tc>
          <w:tcPr>
            <w:tcW w:w="898" w:type="pct"/>
            <w:tcBorders>
              <w:top w:val="nil"/>
              <w:left w:val="nil"/>
              <w:bottom w:val="nil"/>
              <w:right w:val="nil"/>
            </w:tcBorders>
            <w:vAlign w:val="center"/>
          </w:tcPr>
          <w:p w14:paraId="3E6FCE9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192.89035</w:t>
            </w:r>
          </w:p>
        </w:tc>
      </w:tr>
      <w:tr w14:paraId="18FF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24A71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PPERCO.bsn</w:t>
            </w:r>
          </w:p>
        </w:tc>
        <w:tc>
          <w:tcPr>
            <w:tcW w:w="1925" w:type="pct"/>
            <w:tcBorders>
              <w:top w:val="nil"/>
              <w:left w:val="nil"/>
              <w:bottom w:val="nil"/>
              <w:right w:val="nil"/>
            </w:tcBorders>
            <w:vAlign w:val="center"/>
          </w:tcPr>
          <w:p w14:paraId="1275343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Phosphorus percolation coefficient</w:t>
            </w:r>
          </w:p>
        </w:tc>
        <w:tc>
          <w:tcPr>
            <w:tcW w:w="1105" w:type="pct"/>
            <w:tcBorders>
              <w:top w:val="nil"/>
              <w:left w:val="nil"/>
              <w:bottom w:val="nil"/>
              <w:right w:val="nil"/>
            </w:tcBorders>
            <w:vAlign w:val="center"/>
          </w:tcPr>
          <w:p w14:paraId="79CCD9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7.509212 to 12.602797</w:t>
            </w:r>
          </w:p>
        </w:tc>
        <w:tc>
          <w:tcPr>
            <w:tcW w:w="898" w:type="pct"/>
            <w:tcBorders>
              <w:top w:val="nil"/>
              <w:left w:val="nil"/>
              <w:bottom w:val="nil"/>
              <w:right w:val="nil"/>
            </w:tcBorders>
            <w:vAlign w:val="center"/>
          </w:tcPr>
          <w:p w14:paraId="33EE88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7.509212</w:t>
            </w:r>
          </w:p>
        </w:tc>
      </w:tr>
      <w:tr w14:paraId="6FD9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5BB7A9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AI2.wwq</w:t>
            </w:r>
          </w:p>
        </w:tc>
        <w:tc>
          <w:tcPr>
            <w:tcW w:w="1925" w:type="pct"/>
            <w:tcBorders>
              <w:top w:val="nil"/>
              <w:left w:val="nil"/>
              <w:bottom w:val="nil"/>
              <w:right w:val="nil"/>
            </w:tcBorders>
            <w:vAlign w:val="center"/>
          </w:tcPr>
          <w:p w14:paraId="13EF55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Fraction of algae biomass that settles</w:t>
            </w:r>
          </w:p>
        </w:tc>
        <w:tc>
          <w:tcPr>
            <w:tcW w:w="1105" w:type="pct"/>
            <w:tcBorders>
              <w:top w:val="nil"/>
              <w:left w:val="nil"/>
              <w:bottom w:val="nil"/>
              <w:right w:val="nil"/>
            </w:tcBorders>
            <w:vAlign w:val="center"/>
          </w:tcPr>
          <w:p w14:paraId="498CA91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0.016989 to 0.021993</w:t>
            </w:r>
          </w:p>
        </w:tc>
        <w:tc>
          <w:tcPr>
            <w:tcW w:w="898" w:type="pct"/>
            <w:tcBorders>
              <w:top w:val="nil"/>
              <w:left w:val="nil"/>
              <w:bottom w:val="nil"/>
              <w:right w:val="nil"/>
            </w:tcBorders>
            <w:vAlign w:val="center"/>
          </w:tcPr>
          <w:p w14:paraId="038FFB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0.016989</w:t>
            </w:r>
          </w:p>
        </w:tc>
      </w:tr>
      <w:tr w14:paraId="782E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30A79BB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SOL_ORGP.chm</w:t>
            </w:r>
          </w:p>
        </w:tc>
        <w:tc>
          <w:tcPr>
            <w:tcW w:w="1925" w:type="pct"/>
            <w:tcBorders>
              <w:top w:val="nil"/>
              <w:left w:val="nil"/>
              <w:bottom w:val="nil"/>
              <w:right w:val="nil"/>
            </w:tcBorders>
            <w:vAlign w:val="center"/>
          </w:tcPr>
          <w:p w14:paraId="5A6300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Organic P content in soil layer</w:t>
            </w:r>
          </w:p>
        </w:tc>
        <w:tc>
          <w:tcPr>
            <w:tcW w:w="1105" w:type="pct"/>
            <w:tcBorders>
              <w:top w:val="nil"/>
              <w:left w:val="nil"/>
              <w:bottom w:val="nil"/>
              <w:right w:val="nil"/>
            </w:tcBorders>
            <w:vAlign w:val="center"/>
          </w:tcPr>
          <w:p w14:paraId="6321E3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48.517494 to 90.48156</w:t>
            </w:r>
          </w:p>
        </w:tc>
        <w:tc>
          <w:tcPr>
            <w:tcW w:w="898" w:type="pct"/>
            <w:tcBorders>
              <w:top w:val="nil"/>
              <w:left w:val="nil"/>
              <w:bottom w:val="nil"/>
              <w:right w:val="nil"/>
            </w:tcBorders>
            <w:vAlign w:val="center"/>
          </w:tcPr>
          <w:p w14:paraId="22E0D63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48.517494</w:t>
            </w:r>
          </w:p>
        </w:tc>
      </w:tr>
      <w:tr w14:paraId="09EE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140C7F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PSP.bsn</w:t>
            </w:r>
          </w:p>
        </w:tc>
        <w:tc>
          <w:tcPr>
            <w:tcW w:w="1925" w:type="pct"/>
            <w:tcBorders>
              <w:top w:val="nil"/>
              <w:left w:val="nil"/>
              <w:bottom w:val="nil"/>
              <w:right w:val="nil"/>
            </w:tcBorders>
            <w:vAlign w:val="center"/>
          </w:tcPr>
          <w:p w14:paraId="396845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P availability index</w:t>
            </w:r>
          </w:p>
        </w:tc>
        <w:tc>
          <w:tcPr>
            <w:tcW w:w="1105" w:type="pct"/>
            <w:tcBorders>
              <w:top w:val="nil"/>
              <w:left w:val="nil"/>
              <w:bottom w:val="nil"/>
              <w:right w:val="nil"/>
            </w:tcBorders>
            <w:vAlign w:val="center"/>
          </w:tcPr>
          <w:p w14:paraId="1AB589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-0.013416 to 0.553792</w:t>
            </w:r>
          </w:p>
        </w:tc>
        <w:tc>
          <w:tcPr>
            <w:tcW w:w="898" w:type="pct"/>
            <w:tcBorders>
              <w:top w:val="nil"/>
              <w:left w:val="nil"/>
              <w:bottom w:val="nil"/>
              <w:right w:val="nil"/>
            </w:tcBorders>
            <w:vAlign w:val="center"/>
          </w:tcPr>
          <w:p w14:paraId="2EB4EA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-0.013416</w:t>
            </w:r>
          </w:p>
        </w:tc>
      </w:tr>
      <w:tr w14:paraId="32B0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nil"/>
              <w:right w:val="nil"/>
            </w:tcBorders>
            <w:vAlign w:val="center"/>
          </w:tcPr>
          <w:p w14:paraId="74A29F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ERORGP.hru</w:t>
            </w:r>
          </w:p>
        </w:tc>
        <w:tc>
          <w:tcPr>
            <w:tcW w:w="1925" w:type="pct"/>
            <w:tcBorders>
              <w:top w:val="nil"/>
              <w:left w:val="nil"/>
              <w:bottom w:val="nil"/>
              <w:right w:val="nil"/>
            </w:tcBorders>
            <w:vAlign w:val="center"/>
          </w:tcPr>
          <w:p w14:paraId="18A096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Organic P enrichment ratio</w:t>
            </w:r>
          </w:p>
        </w:tc>
        <w:tc>
          <w:tcPr>
            <w:tcW w:w="1105" w:type="pct"/>
            <w:tcBorders>
              <w:top w:val="nil"/>
              <w:left w:val="nil"/>
              <w:bottom w:val="nil"/>
              <w:right w:val="nil"/>
            </w:tcBorders>
            <w:vAlign w:val="center"/>
          </w:tcPr>
          <w:p w14:paraId="6EF651E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-1.605889 to 1.647271</w:t>
            </w:r>
          </w:p>
        </w:tc>
        <w:tc>
          <w:tcPr>
            <w:tcW w:w="898" w:type="pct"/>
            <w:tcBorders>
              <w:top w:val="nil"/>
              <w:left w:val="nil"/>
              <w:bottom w:val="nil"/>
              <w:right w:val="nil"/>
            </w:tcBorders>
            <w:vAlign w:val="center"/>
          </w:tcPr>
          <w:p w14:paraId="2BAEA7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-1.605889</w:t>
            </w:r>
          </w:p>
        </w:tc>
      </w:tr>
      <w:tr w14:paraId="7107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pct"/>
            <w:tcBorders>
              <w:top w:val="nil"/>
              <w:left w:val="nil"/>
              <w:bottom w:val="single" w:color="auto" w:sz="4" w:space="0"/>
              <w:right w:val="nil"/>
            </w:tcBorders>
            <w:vAlign w:val="center"/>
          </w:tcPr>
          <w:p w14:paraId="6122AF5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RS5.swq</w:t>
            </w:r>
          </w:p>
        </w:tc>
        <w:tc>
          <w:tcPr>
            <w:tcW w:w="1925" w:type="pct"/>
            <w:tcBorders>
              <w:top w:val="nil"/>
              <w:left w:val="nil"/>
              <w:bottom w:val="single" w:color="auto" w:sz="4" w:space="0"/>
              <w:right w:val="nil"/>
            </w:tcBorders>
            <w:vAlign w:val="center"/>
          </w:tcPr>
          <w:p w14:paraId="25EB592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Settling rate of organic N in the reach</w:t>
            </w:r>
          </w:p>
        </w:tc>
        <w:tc>
          <w:tcPr>
            <w:tcW w:w="1105" w:type="pct"/>
            <w:tcBorders>
              <w:top w:val="nil"/>
              <w:left w:val="nil"/>
              <w:bottom w:val="single" w:color="auto" w:sz="4" w:space="0"/>
              <w:right w:val="nil"/>
            </w:tcBorders>
            <w:vAlign w:val="center"/>
          </w:tcPr>
          <w:p w14:paraId="460AFAC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0.002507 to 0.088449</w:t>
            </w:r>
          </w:p>
        </w:tc>
        <w:tc>
          <w:tcPr>
            <w:tcW w:w="898" w:type="pct"/>
            <w:tcBorders>
              <w:top w:val="nil"/>
              <w:left w:val="nil"/>
              <w:bottom w:val="single" w:color="auto" w:sz="4" w:space="0"/>
              <w:right w:val="nil"/>
            </w:tcBorders>
            <w:vAlign w:val="center"/>
          </w:tcPr>
          <w:p w14:paraId="227C6F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0.002507</w:t>
            </w:r>
          </w:p>
        </w:tc>
      </w:tr>
    </w:tbl>
    <w:p w14:paraId="46F4BFD5">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
          <w:bCs/>
          <w:color w:val="auto"/>
          <w:lang w:eastAsia="zh-CN"/>
        </w:rPr>
      </w:pPr>
    </w:p>
    <w:p w14:paraId="6C10B9EE">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val="0"/>
          <w:bCs w:val="0"/>
          <w:color w:val="auto"/>
          <w:lang w:val="en-US" w:eastAsia="zh-CN"/>
        </w:rPr>
      </w:pPr>
      <w:r>
        <w:rPr>
          <w:rFonts w:hint="eastAsia" w:ascii="Times New Roman" w:hAnsi="Times New Roman" w:cs="Times New Roman" w:eastAsiaTheme="minorEastAsia"/>
          <w:b/>
          <w:bCs/>
          <w:color w:val="auto"/>
          <w:lang w:eastAsia="zh-CN"/>
        </w:rPr>
        <w:t>Table S</w:t>
      </w:r>
      <w:r>
        <w:rPr>
          <w:rFonts w:hint="eastAsia" w:ascii="Times New Roman" w:hAnsi="Times New Roman" w:cs="Times New Roman"/>
          <w:b/>
          <w:bCs/>
          <w:color w:val="auto"/>
          <w:lang w:val="en-US" w:eastAsia="zh-CN"/>
        </w:rPr>
        <w:t>4</w:t>
      </w:r>
      <w:r>
        <w:rPr>
          <w:rFonts w:hint="eastAsia" w:ascii="Times New Roman" w:hAnsi="Times New Roman" w:cs="Times New Roman" w:eastAsiaTheme="minorEastAsia"/>
          <w:b/>
          <w:bCs/>
          <w:color w:val="auto"/>
          <w:lang w:eastAsia="zh-CN"/>
        </w:rPr>
        <w:t xml:space="preserve">. </w:t>
      </w:r>
      <w:r>
        <w:rPr>
          <w:rFonts w:hint="eastAsia" w:ascii="Times New Roman" w:hAnsi="Times New Roman" w:cs="Times New Roman" w:eastAsiaTheme="minorEastAsia"/>
          <w:b w:val="0"/>
          <w:bCs w:val="0"/>
          <w:color w:val="auto"/>
          <w:lang w:eastAsia="zh-CN"/>
        </w:rPr>
        <w:t>The abundance of the populations of eight biomarkers in the RF analysis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3AC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single" w:color="auto" w:sz="4" w:space="0"/>
              <w:right w:val="nil"/>
            </w:tcBorders>
            <w:vAlign w:val="center"/>
          </w:tcPr>
          <w:p w14:paraId="466AD75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Phylum</w:t>
            </w:r>
          </w:p>
        </w:tc>
        <w:tc>
          <w:tcPr>
            <w:tcW w:w="2841" w:type="dxa"/>
            <w:tcBorders>
              <w:top w:val="single" w:color="auto" w:sz="4" w:space="0"/>
              <w:left w:val="nil"/>
              <w:bottom w:val="single" w:color="auto" w:sz="4" w:space="0"/>
              <w:right w:val="nil"/>
            </w:tcBorders>
          </w:tcPr>
          <w:p w14:paraId="045F2B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OTU numbers</w:t>
            </w:r>
          </w:p>
        </w:tc>
        <w:tc>
          <w:tcPr>
            <w:tcW w:w="2841" w:type="dxa"/>
            <w:tcBorders>
              <w:top w:val="single" w:color="auto" w:sz="4" w:space="0"/>
              <w:left w:val="nil"/>
              <w:bottom w:val="single" w:color="auto" w:sz="4" w:space="0"/>
              <w:right w:val="nil"/>
            </w:tcBorders>
          </w:tcPr>
          <w:p w14:paraId="284B1B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Relative abundance</w:t>
            </w:r>
          </w:p>
        </w:tc>
      </w:tr>
      <w:tr w14:paraId="1DE9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nil"/>
              <w:bottom w:val="nil"/>
              <w:right w:val="nil"/>
            </w:tcBorders>
            <w:vAlign w:val="center"/>
          </w:tcPr>
          <w:p w14:paraId="393FAE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Actinobacteriota</w:t>
            </w:r>
          </w:p>
        </w:tc>
        <w:tc>
          <w:tcPr>
            <w:tcW w:w="2841" w:type="dxa"/>
            <w:tcBorders>
              <w:top w:val="single" w:color="auto" w:sz="4" w:space="0"/>
              <w:left w:val="nil"/>
              <w:bottom w:val="nil"/>
              <w:right w:val="nil"/>
            </w:tcBorders>
            <w:vAlign w:val="center"/>
          </w:tcPr>
          <w:p w14:paraId="6E9964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359092</w:t>
            </w:r>
          </w:p>
        </w:tc>
        <w:tc>
          <w:tcPr>
            <w:tcW w:w="2841" w:type="dxa"/>
            <w:tcBorders>
              <w:top w:val="single" w:color="auto" w:sz="4" w:space="0"/>
              <w:left w:val="nil"/>
              <w:bottom w:val="nil"/>
              <w:right w:val="nil"/>
            </w:tcBorders>
            <w:vAlign w:val="center"/>
          </w:tcPr>
          <w:p w14:paraId="65112EC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0.161280355</w:t>
            </w:r>
          </w:p>
        </w:tc>
      </w:tr>
      <w:tr w14:paraId="092E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vAlign w:val="center"/>
          </w:tcPr>
          <w:p w14:paraId="613CCB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Patescibacteria</w:t>
            </w:r>
          </w:p>
        </w:tc>
        <w:tc>
          <w:tcPr>
            <w:tcW w:w="2841" w:type="dxa"/>
            <w:tcBorders>
              <w:top w:val="nil"/>
              <w:left w:val="nil"/>
              <w:bottom w:val="nil"/>
              <w:right w:val="nil"/>
            </w:tcBorders>
            <w:vAlign w:val="center"/>
          </w:tcPr>
          <w:p w14:paraId="7E0644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17419</w:t>
            </w:r>
          </w:p>
        </w:tc>
        <w:tc>
          <w:tcPr>
            <w:tcW w:w="2841" w:type="dxa"/>
            <w:tcBorders>
              <w:top w:val="nil"/>
              <w:left w:val="nil"/>
              <w:bottom w:val="nil"/>
              <w:right w:val="nil"/>
            </w:tcBorders>
            <w:vAlign w:val="center"/>
          </w:tcPr>
          <w:p w14:paraId="7BFAFA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0.007823462</w:t>
            </w:r>
          </w:p>
        </w:tc>
      </w:tr>
      <w:tr w14:paraId="640C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vAlign w:val="center"/>
          </w:tcPr>
          <w:p w14:paraId="62D01C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Deferrisomatota</w:t>
            </w:r>
          </w:p>
        </w:tc>
        <w:tc>
          <w:tcPr>
            <w:tcW w:w="2841" w:type="dxa"/>
            <w:tcBorders>
              <w:top w:val="nil"/>
              <w:left w:val="nil"/>
              <w:bottom w:val="nil"/>
              <w:right w:val="nil"/>
            </w:tcBorders>
            <w:vAlign w:val="center"/>
          </w:tcPr>
          <w:p w14:paraId="5EB7B0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267</w:t>
            </w:r>
          </w:p>
        </w:tc>
        <w:tc>
          <w:tcPr>
            <w:tcW w:w="2841" w:type="dxa"/>
            <w:tcBorders>
              <w:top w:val="nil"/>
              <w:left w:val="nil"/>
              <w:bottom w:val="nil"/>
              <w:right w:val="nil"/>
            </w:tcBorders>
            <w:vAlign w:val="center"/>
          </w:tcPr>
          <w:p w14:paraId="1C8963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0.000119919</w:t>
            </w:r>
          </w:p>
        </w:tc>
      </w:tr>
      <w:tr w14:paraId="6E65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vAlign w:val="center"/>
          </w:tcPr>
          <w:p w14:paraId="580BA7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GAL15</w:t>
            </w:r>
          </w:p>
        </w:tc>
        <w:tc>
          <w:tcPr>
            <w:tcW w:w="2841" w:type="dxa"/>
            <w:tcBorders>
              <w:top w:val="nil"/>
              <w:left w:val="nil"/>
              <w:bottom w:val="nil"/>
              <w:right w:val="nil"/>
            </w:tcBorders>
            <w:vAlign w:val="center"/>
          </w:tcPr>
          <w:p w14:paraId="0D9FFC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3808</w:t>
            </w:r>
          </w:p>
        </w:tc>
        <w:tc>
          <w:tcPr>
            <w:tcW w:w="2841" w:type="dxa"/>
            <w:tcBorders>
              <w:top w:val="nil"/>
              <w:left w:val="nil"/>
              <w:bottom w:val="nil"/>
              <w:right w:val="nil"/>
            </w:tcBorders>
            <w:vAlign w:val="center"/>
          </w:tcPr>
          <w:p w14:paraId="04E445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0.001710302</w:t>
            </w:r>
          </w:p>
        </w:tc>
      </w:tr>
      <w:tr w14:paraId="088F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vAlign w:val="center"/>
          </w:tcPr>
          <w:p w14:paraId="18318CD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NB1-j</w:t>
            </w:r>
          </w:p>
        </w:tc>
        <w:tc>
          <w:tcPr>
            <w:tcW w:w="2841" w:type="dxa"/>
            <w:tcBorders>
              <w:top w:val="nil"/>
              <w:left w:val="nil"/>
              <w:bottom w:val="nil"/>
              <w:right w:val="nil"/>
            </w:tcBorders>
            <w:vAlign w:val="center"/>
          </w:tcPr>
          <w:p w14:paraId="405264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3477</w:t>
            </w:r>
          </w:p>
        </w:tc>
        <w:tc>
          <w:tcPr>
            <w:tcW w:w="2841" w:type="dxa"/>
            <w:tcBorders>
              <w:top w:val="nil"/>
              <w:left w:val="nil"/>
              <w:bottom w:val="nil"/>
              <w:right w:val="nil"/>
            </w:tcBorders>
            <w:vAlign w:val="center"/>
          </w:tcPr>
          <w:p w14:paraId="320AA2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0.001561638</w:t>
            </w:r>
          </w:p>
        </w:tc>
      </w:tr>
      <w:tr w14:paraId="4338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840" w:type="dxa"/>
            <w:tcBorders>
              <w:top w:val="nil"/>
              <w:left w:val="nil"/>
              <w:bottom w:val="nil"/>
              <w:right w:val="nil"/>
            </w:tcBorders>
            <w:vAlign w:val="center"/>
          </w:tcPr>
          <w:p w14:paraId="08B319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FCPU426</w:t>
            </w:r>
          </w:p>
        </w:tc>
        <w:tc>
          <w:tcPr>
            <w:tcW w:w="2841" w:type="dxa"/>
            <w:tcBorders>
              <w:top w:val="nil"/>
              <w:left w:val="nil"/>
              <w:bottom w:val="nil"/>
              <w:right w:val="nil"/>
            </w:tcBorders>
            <w:vAlign w:val="center"/>
          </w:tcPr>
          <w:p w14:paraId="6DCDD6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60</w:t>
            </w:r>
          </w:p>
        </w:tc>
        <w:tc>
          <w:tcPr>
            <w:tcW w:w="2841" w:type="dxa"/>
            <w:tcBorders>
              <w:top w:val="nil"/>
              <w:left w:val="nil"/>
              <w:bottom w:val="nil"/>
              <w:right w:val="nil"/>
            </w:tcBorders>
            <w:vAlign w:val="center"/>
          </w:tcPr>
          <w:p w14:paraId="4635E8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2.69E-05</w:t>
            </w:r>
          </w:p>
        </w:tc>
      </w:tr>
      <w:tr w14:paraId="49A5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nil"/>
              <w:right w:val="nil"/>
            </w:tcBorders>
            <w:vAlign w:val="center"/>
          </w:tcPr>
          <w:p w14:paraId="389AFC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Synergistota</w:t>
            </w:r>
          </w:p>
        </w:tc>
        <w:tc>
          <w:tcPr>
            <w:tcW w:w="2841" w:type="dxa"/>
            <w:tcBorders>
              <w:top w:val="nil"/>
              <w:left w:val="nil"/>
              <w:bottom w:val="nil"/>
              <w:right w:val="nil"/>
            </w:tcBorders>
            <w:vAlign w:val="center"/>
          </w:tcPr>
          <w:p w14:paraId="27B247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3018</w:t>
            </w:r>
          </w:p>
        </w:tc>
        <w:tc>
          <w:tcPr>
            <w:tcW w:w="2841" w:type="dxa"/>
            <w:tcBorders>
              <w:top w:val="nil"/>
              <w:left w:val="nil"/>
              <w:bottom w:val="nil"/>
              <w:right w:val="nil"/>
            </w:tcBorders>
            <w:vAlign w:val="center"/>
          </w:tcPr>
          <w:p w14:paraId="0CAA4A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0.001355486</w:t>
            </w:r>
          </w:p>
        </w:tc>
      </w:tr>
      <w:tr w14:paraId="32F6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nil"/>
              <w:left w:val="nil"/>
              <w:bottom w:val="single" w:color="auto" w:sz="4" w:space="0"/>
              <w:right w:val="nil"/>
            </w:tcBorders>
            <w:vAlign w:val="center"/>
          </w:tcPr>
          <w:p w14:paraId="5E70C4C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Chloroflexi</w:t>
            </w:r>
          </w:p>
        </w:tc>
        <w:tc>
          <w:tcPr>
            <w:tcW w:w="2841" w:type="dxa"/>
            <w:tcBorders>
              <w:top w:val="nil"/>
              <w:left w:val="nil"/>
              <w:bottom w:val="single" w:color="auto" w:sz="4" w:space="0"/>
              <w:right w:val="nil"/>
            </w:tcBorders>
            <w:vAlign w:val="center"/>
          </w:tcPr>
          <w:p w14:paraId="55D55D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350426</w:t>
            </w:r>
          </w:p>
        </w:tc>
        <w:tc>
          <w:tcPr>
            <w:tcW w:w="2841" w:type="dxa"/>
            <w:tcBorders>
              <w:top w:val="nil"/>
              <w:left w:val="nil"/>
              <w:bottom w:val="single" w:color="auto" w:sz="4" w:space="0"/>
              <w:right w:val="nil"/>
            </w:tcBorders>
            <w:vAlign w:val="center"/>
          </w:tcPr>
          <w:p w14:paraId="069CF04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0.157388161</w:t>
            </w:r>
          </w:p>
        </w:tc>
      </w:tr>
    </w:tbl>
    <w:p w14:paraId="141218F6">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bCs/>
          <w:color w:val="auto"/>
          <w:lang w:eastAsia="zh-CN"/>
        </w:rPr>
      </w:pPr>
    </w:p>
    <w:p w14:paraId="10963FD4">
      <w:pPr>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cs="Times New Roman" w:eastAsiaTheme="minorEastAsia"/>
          <w:b w:val="0"/>
          <w:bCs w:val="0"/>
          <w:color w:val="auto"/>
          <w:lang w:val="en-US" w:eastAsia="zh-CN"/>
        </w:rPr>
      </w:pPr>
      <w:r>
        <w:rPr>
          <w:rFonts w:hint="eastAsia" w:ascii="Times New Roman" w:hAnsi="Times New Roman" w:cs="Times New Roman" w:eastAsiaTheme="minorEastAsia"/>
          <w:b/>
          <w:bCs/>
          <w:color w:val="auto"/>
          <w:lang w:eastAsia="zh-CN"/>
        </w:rPr>
        <w:t xml:space="preserve">Table </w:t>
      </w:r>
      <w:r>
        <w:rPr>
          <w:rFonts w:hint="eastAsia" w:ascii="Times New Roman" w:hAnsi="Times New Roman" w:cs="Times New Roman"/>
          <w:b/>
          <w:bCs/>
          <w:color w:val="auto"/>
          <w:lang w:val="en-US" w:eastAsia="zh-CN"/>
        </w:rPr>
        <w:t>S5.</w:t>
      </w:r>
      <w:r>
        <w:rPr>
          <w:rFonts w:hint="eastAsia" w:ascii="Times New Roman" w:hAnsi="Times New Roman" w:cs="Times New Roman" w:eastAsiaTheme="minorEastAsia"/>
          <w:b w:val="0"/>
          <w:bCs w:val="0"/>
          <w:color w:val="auto"/>
          <w:lang w:val="en-US" w:eastAsia="zh-CN"/>
        </w:rPr>
        <w:t xml:space="preserve"> </w:t>
      </w:r>
      <w:r>
        <w:rPr>
          <w:rFonts w:hint="default" w:ascii="Times New Roman" w:hAnsi="Times New Roman" w:cs="Times New Roman" w:eastAsiaTheme="minorEastAsia"/>
          <w:b w:val="0"/>
          <w:bCs w:val="0"/>
          <w:color w:val="auto"/>
          <w:lang w:val="en-US" w:eastAsia="zh-CN"/>
        </w:rPr>
        <w:t>Nitrogen and Oxygen Isotope Endmember Values (Mean ± SD) of Potential Nitrate Sources Used in the SIAR Model</w:t>
      </w:r>
    </w:p>
    <w:tbl>
      <w:tblPr>
        <w:tblStyle w:val="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1"/>
        <w:gridCol w:w="1767"/>
        <w:gridCol w:w="1915"/>
        <w:gridCol w:w="1915"/>
      </w:tblGrid>
      <w:tr w14:paraId="30A9B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tcBorders>
              <w:top w:val="single" w:color="auto" w:sz="4" w:space="0"/>
              <w:bottom w:val="single" w:color="auto" w:sz="4" w:space="0"/>
            </w:tcBorders>
            <w:vAlign w:val="center"/>
          </w:tcPr>
          <w:p w14:paraId="53BF9A8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Source</w:t>
            </w:r>
          </w:p>
        </w:tc>
        <w:tc>
          <w:tcPr>
            <w:tcW w:w="1767" w:type="dxa"/>
            <w:tcBorders>
              <w:top w:val="single" w:color="auto" w:sz="4" w:space="0"/>
              <w:bottom w:val="single" w:color="auto" w:sz="4" w:space="0"/>
            </w:tcBorders>
            <w:vAlign w:val="center"/>
          </w:tcPr>
          <w:p w14:paraId="2212E2B5">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Sampling Time</w:t>
            </w:r>
          </w:p>
        </w:tc>
        <w:tc>
          <w:tcPr>
            <w:tcW w:w="1915" w:type="dxa"/>
            <w:tcBorders>
              <w:top w:val="single" w:color="auto" w:sz="4" w:space="0"/>
              <w:bottom w:val="single" w:color="auto" w:sz="4" w:space="0"/>
            </w:tcBorders>
            <w:vAlign w:val="center"/>
          </w:tcPr>
          <w:p w14:paraId="41838201">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δ</w:t>
            </w:r>
            <w:r>
              <w:rPr>
                <w:rFonts w:hint="default" w:ascii="Times New Roman" w:hAnsi="Times New Roman" w:cs="Times New Roman"/>
                <w:sz w:val="16"/>
                <w:szCs w:val="16"/>
                <w:vertAlign w:val="superscript"/>
                <w:lang w:val="en-US" w:eastAsia="zh-CN"/>
              </w:rPr>
              <w:t>15</w:t>
            </w:r>
            <w:r>
              <w:rPr>
                <w:rFonts w:hint="default" w:ascii="Times New Roman" w:hAnsi="Times New Roman" w:cs="Times New Roman"/>
                <w:sz w:val="16"/>
                <w:szCs w:val="16"/>
                <w:lang w:val="en-US" w:eastAsia="zh-CN"/>
              </w:rPr>
              <w:t>N (‰) Mean ± SD</w:t>
            </w:r>
          </w:p>
        </w:tc>
        <w:tc>
          <w:tcPr>
            <w:tcW w:w="1915" w:type="dxa"/>
            <w:tcBorders>
              <w:top w:val="single" w:color="auto" w:sz="4" w:space="0"/>
              <w:bottom w:val="single" w:color="auto" w:sz="4" w:space="0"/>
            </w:tcBorders>
            <w:vAlign w:val="center"/>
          </w:tcPr>
          <w:p w14:paraId="408E08BE">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δ</w:t>
            </w:r>
            <w:r>
              <w:rPr>
                <w:rFonts w:hint="default" w:ascii="Times New Roman" w:hAnsi="Times New Roman" w:cs="Times New Roman"/>
                <w:sz w:val="16"/>
                <w:szCs w:val="16"/>
                <w:vertAlign w:val="superscript"/>
                <w:lang w:val="en-US" w:eastAsia="zh-CN"/>
              </w:rPr>
              <w:t>1</w:t>
            </w:r>
            <w:r>
              <w:rPr>
                <w:rFonts w:hint="eastAsia" w:ascii="Times New Roman" w:hAnsi="Times New Roman" w:cs="Times New Roman"/>
                <w:sz w:val="16"/>
                <w:szCs w:val="16"/>
                <w:vertAlign w:val="superscript"/>
                <w:lang w:val="en-US" w:eastAsia="zh-CN"/>
              </w:rPr>
              <w:t>8</w:t>
            </w:r>
            <w:r>
              <w:rPr>
                <w:rFonts w:hint="eastAsia" w:ascii="Times New Roman" w:hAnsi="Times New Roman" w:cs="Times New Roman"/>
                <w:sz w:val="16"/>
                <w:szCs w:val="16"/>
                <w:vertAlign w:val="baseline"/>
                <w:lang w:val="en-US" w:eastAsia="zh-CN"/>
              </w:rPr>
              <w:t>O</w:t>
            </w:r>
            <w:r>
              <w:rPr>
                <w:rFonts w:hint="eastAsia" w:ascii="Times New Roman" w:hAnsi="Times New Roman" w:cs="Times New Roman"/>
                <w:sz w:val="16"/>
                <w:szCs w:val="16"/>
                <w:lang w:val="en-US" w:eastAsia="zh-CN"/>
              </w:rPr>
              <w:t xml:space="preserve"> </w:t>
            </w:r>
            <w:r>
              <w:rPr>
                <w:rFonts w:hint="default" w:ascii="Times New Roman" w:hAnsi="Times New Roman" w:cs="Times New Roman"/>
                <w:sz w:val="16"/>
                <w:szCs w:val="16"/>
                <w:lang w:val="en-US" w:eastAsia="zh-CN"/>
              </w:rPr>
              <w:t>(‰) Mean ± SD</w:t>
            </w:r>
          </w:p>
        </w:tc>
      </w:tr>
      <w:tr w14:paraId="320FA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tcBorders>
              <w:top w:val="single" w:color="auto" w:sz="4" w:space="0"/>
            </w:tcBorders>
            <w:vAlign w:val="center"/>
          </w:tcPr>
          <w:p w14:paraId="202FAF1F">
            <w:pPr>
              <w:spacing w:line="240" w:lineRule="auto"/>
              <w:ind w:right="-334"/>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A</w:t>
            </w:r>
            <w:r>
              <w:rPr>
                <w:rFonts w:hint="default" w:ascii="Times New Roman" w:hAnsi="Times New Roman" w:cs="Times New Roman"/>
                <w:sz w:val="16"/>
                <w:szCs w:val="16"/>
                <w:lang w:val="en-US" w:eastAsia="zh-CN"/>
              </w:rPr>
              <w:t xml:space="preserve">tmospheric </w:t>
            </w:r>
            <w:r>
              <w:rPr>
                <w:rFonts w:hint="eastAsia" w:ascii="Times New Roman" w:hAnsi="Times New Roman" w:cs="Times New Roman"/>
                <w:sz w:val="16"/>
                <w:szCs w:val="16"/>
                <w:lang w:val="en-US" w:eastAsia="zh-CN"/>
              </w:rPr>
              <w:t>D</w:t>
            </w:r>
            <w:r>
              <w:rPr>
                <w:rFonts w:hint="default" w:ascii="Times New Roman" w:hAnsi="Times New Roman" w:cs="Times New Roman"/>
                <w:sz w:val="16"/>
                <w:szCs w:val="16"/>
                <w:lang w:val="en-US" w:eastAsia="zh-CN"/>
              </w:rPr>
              <w:t>eposition (AP)</w:t>
            </w:r>
          </w:p>
        </w:tc>
        <w:tc>
          <w:tcPr>
            <w:tcW w:w="1767" w:type="dxa"/>
            <w:tcBorders>
              <w:top w:val="single" w:color="auto" w:sz="4" w:space="0"/>
            </w:tcBorders>
            <w:vAlign w:val="center"/>
          </w:tcPr>
          <w:p w14:paraId="394E0527">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May-23</w:t>
            </w:r>
          </w:p>
        </w:tc>
        <w:tc>
          <w:tcPr>
            <w:tcW w:w="1915" w:type="dxa"/>
            <w:tcBorders>
              <w:top w:val="single" w:color="auto" w:sz="4" w:space="0"/>
            </w:tcBorders>
            <w:vAlign w:val="center"/>
          </w:tcPr>
          <w:p w14:paraId="5F5F8BC0">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4.58 ± 8.24</w:t>
            </w:r>
          </w:p>
        </w:tc>
        <w:tc>
          <w:tcPr>
            <w:tcW w:w="1915" w:type="dxa"/>
            <w:tcBorders>
              <w:top w:val="single" w:color="auto" w:sz="4" w:space="0"/>
            </w:tcBorders>
            <w:vAlign w:val="center"/>
          </w:tcPr>
          <w:p w14:paraId="60D80113">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29.0 ± 20.96</w:t>
            </w:r>
          </w:p>
        </w:tc>
      </w:tr>
      <w:tr w14:paraId="7F554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244DDCB5">
            <w:pPr>
              <w:spacing w:line="240" w:lineRule="auto"/>
              <w:ind w:right="-334"/>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C</w:t>
            </w:r>
            <w:r>
              <w:rPr>
                <w:rFonts w:hint="default" w:ascii="Times New Roman" w:hAnsi="Times New Roman" w:cs="Times New Roman"/>
                <w:sz w:val="16"/>
                <w:szCs w:val="16"/>
                <w:lang w:val="en-US" w:eastAsia="zh-CN"/>
              </w:rPr>
              <w:t xml:space="preserve">hemical </w:t>
            </w:r>
            <w:r>
              <w:rPr>
                <w:rFonts w:hint="eastAsia" w:ascii="Times New Roman" w:hAnsi="Times New Roman" w:cs="Times New Roman"/>
                <w:sz w:val="16"/>
                <w:szCs w:val="16"/>
                <w:lang w:val="en-US" w:eastAsia="zh-CN"/>
              </w:rPr>
              <w:t>F</w:t>
            </w:r>
            <w:r>
              <w:rPr>
                <w:rFonts w:hint="default" w:ascii="Times New Roman" w:hAnsi="Times New Roman" w:cs="Times New Roman"/>
                <w:sz w:val="16"/>
                <w:szCs w:val="16"/>
                <w:lang w:val="en-US" w:eastAsia="zh-CN"/>
              </w:rPr>
              <w:t>ertilizer (CF)</w:t>
            </w:r>
          </w:p>
        </w:tc>
        <w:tc>
          <w:tcPr>
            <w:tcW w:w="1767" w:type="dxa"/>
            <w:vAlign w:val="center"/>
          </w:tcPr>
          <w:p w14:paraId="586889F7">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May-23</w:t>
            </w:r>
          </w:p>
        </w:tc>
        <w:tc>
          <w:tcPr>
            <w:tcW w:w="1915" w:type="dxa"/>
            <w:vAlign w:val="center"/>
          </w:tcPr>
          <w:p w14:paraId="2F8A488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13.04 ± 4.4</w:t>
            </w:r>
          </w:p>
        </w:tc>
        <w:tc>
          <w:tcPr>
            <w:tcW w:w="1915" w:type="dxa"/>
            <w:vAlign w:val="center"/>
          </w:tcPr>
          <w:p w14:paraId="12D03E6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6.6 ± 3.79</w:t>
            </w:r>
          </w:p>
        </w:tc>
      </w:tr>
      <w:tr w14:paraId="3D4C4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60B64D72">
            <w:pPr>
              <w:spacing w:line="240" w:lineRule="auto"/>
              <w:ind w:right="-334"/>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w:t>
            </w:r>
            <w:r>
              <w:rPr>
                <w:rFonts w:hint="default" w:ascii="Times New Roman" w:hAnsi="Times New Roman" w:cs="Times New Roman"/>
                <w:sz w:val="16"/>
                <w:szCs w:val="16"/>
                <w:lang w:val="en-US" w:eastAsia="zh-CN"/>
              </w:rPr>
              <w:t xml:space="preserve">oil </w:t>
            </w:r>
            <w:r>
              <w:rPr>
                <w:rFonts w:hint="eastAsia" w:ascii="Times New Roman" w:hAnsi="Times New Roman" w:cs="Times New Roman"/>
                <w:sz w:val="16"/>
                <w:szCs w:val="16"/>
                <w:lang w:val="en-US" w:eastAsia="zh-CN"/>
              </w:rPr>
              <w:t>N</w:t>
            </w:r>
            <w:r>
              <w:rPr>
                <w:rFonts w:hint="default" w:ascii="Times New Roman" w:hAnsi="Times New Roman" w:cs="Times New Roman"/>
                <w:sz w:val="16"/>
                <w:szCs w:val="16"/>
                <w:lang w:val="en-US" w:eastAsia="zh-CN"/>
              </w:rPr>
              <w:t>itrogen (SN)</w:t>
            </w:r>
          </w:p>
        </w:tc>
        <w:tc>
          <w:tcPr>
            <w:tcW w:w="1767" w:type="dxa"/>
            <w:vAlign w:val="center"/>
          </w:tcPr>
          <w:p w14:paraId="01DA4C73">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May-23</w:t>
            </w:r>
          </w:p>
        </w:tc>
        <w:tc>
          <w:tcPr>
            <w:tcW w:w="1915" w:type="dxa"/>
            <w:vAlign w:val="center"/>
          </w:tcPr>
          <w:p w14:paraId="5B7A3DB7">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7.73 ± 4.87</w:t>
            </w:r>
          </w:p>
        </w:tc>
        <w:tc>
          <w:tcPr>
            <w:tcW w:w="1915" w:type="dxa"/>
            <w:vAlign w:val="center"/>
          </w:tcPr>
          <w:p w14:paraId="7534B9D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24.54 ± 28.75</w:t>
            </w:r>
          </w:p>
        </w:tc>
      </w:tr>
      <w:tr w14:paraId="12E38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10C9D9E1">
            <w:pPr>
              <w:spacing w:line="240" w:lineRule="auto"/>
              <w:ind w:right="-334"/>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M</w:t>
            </w:r>
            <w:r>
              <w:rPr>
                <w:rFonts w:hint="default" w:ascii="Times New Roman" w:hAnsi="Times New Roman" w:cs="Times New Roman"/>
                <w:sz w:val="16"/>
                <w:szCs w:val="16"/>
                <w:lang w:val="en-US" w:eastAsia="zh-CN"/>
              </w:rPr>
              <w:t xml:space="preserve">anure and </w:t>
            </w:r>
            <w:r>
              <w:rPr>
                <w:rFonts w:hint="eastAsia" w:ascii="Times New Roman" w:hAnsi="Times New Roman" w:cs="Times New Roman"/>
                <w:sz w:val="16"/>
                <w:szCs w:val="16"/>
                <w:lang w:val="en-US" w:eastAsia="zh-CN"/>
              </w:rPr>
              <w:t>S</w:t>
            </w:r>
            <w:r>
              <w:rPr>
                <w:rFonts w:hint="default" w:ascii="Times New Roman" w:hAnsi="Times New Roman" w:cs="Times New Roman"/>
                <w:sz w:val="16"/>
                <w:szCs w:val="16"/>
                <w:lang w:val="en-US" w:eastAsia="zh-CN"/>
              </w:rPr>
              <w:t>ewage (M&amp;S)</w:t>
            </w:r>
          </w:p>
        </w:tc>
        <w:tc>
          <w:tcPr>
            <w:tcW w:w="1767" w:type="dxa"/>
            <w:vAlign w:val="center"/>
          </w:tcPr>
          <w:p w14:paraId="4171ACEA">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May-23</w:t>
            </w:r>
          </w:p>
        </w:tc>
        <w:tc>
          <w:tcPr>
            <w:tcW w:w="1915" w:type="dxa"/>
            <w:vAlign w:val="center"/>
          </w:tcPr>
          <w:p w14:paraId="2A303C0E">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15.92 ± 12.43</w:t>
            </w:r>
          </w:p>
        </w:tc>
        <w:tc>
          <w:tcPr>
            <w:tcW w:w="1915" w:type="dxa"/>
            <w:vAlign w:val="center"/>
          </w:tcPr>
          <w:p w14:paraId="0CF23F3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17.56 ± 15.71</w:t>
            </w:r>
          </w:p>
        </w:tc>
      </w:tr>
      <w:tr w14:paraId="400E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33EA3621">
            <w:pPr>
              <w:spacing w:line="240" w:lineRule="auto"/>
              <w:ind w:right="-334" w:rightChars="-159"/>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A</w:t>
            </w:r>
            <w:r>
              <w:rPr>
                <w:rFonts w:hint="default" w:ascii="Times New Roman" w:hAnsi="Times New Roman" w:cs="Times New Roman"/>
                <w:sz w:val="16"/>
                <w:szCs w:val="16"/>
                <w:lang w:val="en-US" w:eastAsia="zh-CN"/>
              </w:rPr>
              <w:t xml:space="preserve">tmospheric </w:t>
            </w:r>
            <w:r>
              <w:rPr>
                <w:rFonts w:hint="eastAsia" w:ascii="Times New Roman" w:hAnsi="Times New Roman" w:cs="Times New Roman"/>
                <w:sz w:val="16"/>
                <w:szCs w:val="16"/>
                <w:lang w:val="en-US" w:eastAsia="zh-CN"/>
              </w:rPr>
              <w:t>D</w:t>
            </w:r>
            <w:r>
              <w:rPr>
                <w:rFonts w:hint="default" w:ascii="Times New Roman" w:hAnsi="Times New Roman" w:cs="Times New Roman"/>
                <w:sz w:val="16"/>
                <w:szCs w:val="16"/>
                <w:lang w:val="en-US" w:eastAsia="zh-CN"/>
              </w:rPr>
              <w:t>eposition (AP)</w:t>
            </w:r>
          </w:p>
        </w:tc>
        <w:tc>
          <w:tcPr>
            <w:tcW w:w="1767" w:type="dxa"/>
            <w:vAlign w:val="center"/>
          </w:tcPr>
          <w:p w14:paraId="6F328B3C">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Aug-23</w:t>
            </w:r>
          </w:p>
        </w:tc>
        <w:tc>
          <w:tcPr>
            <w:tcW w:w="1915" w:type="dxa"/>
            <w:vAlign w:val="center"/>
          </w:tcPr>
          <w:p w14:paraId="4AF29C51">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4.93 ± 3.91</w:t>
            </w:r>
          </w:p>
        </w:tc>
        <w:tc>
          <w:tcPr>
            <w:tcW w:w="1915" w:type="dxa"/>
            <w:vAlign w:val="center"/>
          </w:tcPr>
          <w:p w14:paraId="0C8ECE39">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-3.92 ± 2.68</w:t>
            </w:r>
          </w:p>
        </w:tc>
      </w:tr>
      <w:tr w14:paraId="4E89D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7E47BA2D">
            <w:pPr>
              <w:spacing w:line="240" w:lineRule="auto"/>
              <w:ind w:right="-334" w:rightChars="-159"/>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C</w:t>
            </w:r>
            <w:r>
              <w:rPr>
                <w:rFonts w:hint="default" w:ascii="Times New Roman" w:hAnsi="Times New Roman" w:cs="Times New Roman"/>
                <w:sz w:val="16"/>
                <w:szCs w:val="16"/>
                <w:lang w:val="en-US" w:eastAsia="zh-CN"/>
              </w:rPr>
              <w:t xml:space="preserve">hemical </w:t>
            </w:r>
            <w:r>
              <w:rPr>
                <w:rFonts w:hint="eastAsia" w:ascii="Times New Roman" w:hAnsi="Times New Roman" w:cs="Times New Roman"/>
                <w:sz w:val="16"/>
                <w:szCs w:val="16"/>
                <w:lang w:val="en-US" w:eastAsia="zh-CN"/>
              </w:rPr>
              <w:t>F</w:t>
            </w:r>
            <w:r>
              <w:rPr>
                <w:rFonts w:hint="default" w:ascii="Times New Roman" w:hAnsi="Times New Roman" w:cs="Times New Roman"/>
                <w:sz w:val="16"/>
                <w:szCs w:val="16"/>
                <w:lang w:val="en-US" w:eastAsia="zh-CN"/>
              </w:rPr>
              <w:t>ertilizer (CF)</w:t>
            </w:r>
          </w:p>
        </w:tc>
        <w:tc>
          <w:tcPr>
            <w:tcW w:w="1767" w:type="dxa"/>
            <w:vAlign w:val="center"/>
          </w:tcPr>
          <w:p w14:paraId="4CA0A65E">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Aug-23</w:t>
            </w:r>
          </w:p>
        </w:tc>
        <w:tc>
          <w:tcPr>
            <w:tcW w:w="1915" w:type="dxa"/>
            <w:vAlign w:val="center"/>
          </w:tcPr>
          <w:p w14:paraId="599F3CB3">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10.2 ± 3.69</w:t>
            </w:r>
          </w:p>
        </w:tc>
        <w:tc>
          <w:tcPr>
            <w:tcW w:w="1915" w:type="dxa"/>
            <w:vAlign w:val="center"/>
          </w:tcPr>
          <w:p w14:paraId="23079B85">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-0.85 ± 1.89</w:t>
            </w:r>
          </w:p>
        </w:tc>
      </w:tr>
      <w:tr w14:paraId="0A621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vAlign w:val="center"/>
          </w:tcPr>
          <w:p w14:paraId="756CD8E7">
            <w:pPr>
              <w:spacing w:line="240" w:lineRule="auto"/>
              <w:ind w:right="-334" w:rightChars="-159"/>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S</w:t>
            </w:r>
            <w:r>
              <w:rPr>
                <w:rFonts w:hint="default" w:ascii="Times New Roman" w:hAnsi="Times New Roman" w:cs="Times New Roman"/>
                <w:sz w:val="16"/>
                <w:szCs w:val="16"/>
                <w:lang w:val="en-US" w:eastAsia="zh-CN"/>
              </w:rPr>
              <w:t xml:space="preserve">oil </w:t>
            </w:r>
            <w:r>
              <w:rPr>
                <w:rFonts w:hint="eastAsia" w:ascii="Times New Roman" w:hAnsi="Times New Roman" w:cs="Times New Roman"/>
                <w:sz w:val="16"/>
                <w:szCs w:val="16"/>
                <w:lang w:val="en-US" w:eastAsia="zh-CN"/>
              </w:rPr>
              <w:t>N</w:t>
            </w:r>
            <w:r>
              <w:rPr>
                <w:rFonts w:hint="default" w:ascii="Times New Roman" w:hAnsi="Times New Roman" w:cs="Times New Roman"/>
                <w:sz w:val="16"/>
                <w:szCs w:val="16"/>
                <w:lang w:val="en-US" w:eastAsia="zh-CN"/>
              </w:rPr>
              <w:t>itrogen (SN)</w:t>
            </w:r>
          </w:p>
        </w:tc>
        <w:tc>
          <w:tcPr>
            <w:tcW w:w="1767" w:type="dxa"/>
            <w:vAlign w:val="center"/>
          </w:tcPr>
          <w:p w14:paraId="5F53691B">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Aug-23</w:t>
            </w:r>
          </w:p>
        </w:tc>
        <w:tc>
          <w:tcPr>
            <w:tcW w:w="1915" w:type="dxa"/>
            <w:vAlign w:val="center"/>
          </w:tcPr>
          <w:p w14:paraId="2FB10524">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7.96 ± 3.64</w:t>
            </w:r>
          </w:p>
        </w:tc>
        <w:tc>
          <w:tcPr>
            <w:tcW w:w="1915" w:type="dxa"/>
            <w:vAlign w:val="center"/>
          </w:tcPr>
          <w:p w14:paraId="64362209">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4.4 ± 1.44</w:t>
            </w:r>
          </w:p>
        </w:tc>
      </w:tr>
      <w:tr w14:paraId="6DFD4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61" w:type="dxa"/>
            <w:tcBorders>
              <w:bottom w:val="single" w:color="auto" w:sz="4" w:space="0"/>
            </w:tcBorders>
            <w:vAlign w:val="center"/>
          </w:tcPr>
          <w:p w14:paraId="2A5F7F96">
            <w:pPr>
              <w:spacing w:line="240" w:lineRule="auto"/>
              <w:ind w:right="-334" w:rightChars="-159"/>
              <w:jc w:val="both"/>
              <w:rPr>
                <w:rFonts w:hint="default" w:ascii="Times New Roman" w:hAnsi="Times New Roman" w:cs="Times New Roman"/>
                <w:sz w:val="16"/>
                <w:szCs w:val="16"/>
                <w:lang w:val="en-US" w:eastAsia="zh-CN"/>
              </w:rPr>
            </w:pPr>
            <w:r>
              <w:rPr>
                <w:rFonts w:hint="eastAsia" w:ascii="Times New Roman" w:hAnsi="Times New Roman" w:cs="Times New Roman"/>
                <w:sz w:val="16"/>
                <w:szCs w:val="16"/>
                <w:lang w:val="en-US" w:eastAsia="zh-CN"/>
              </w:rPr>
              <w:t>M</w:t>
            </w:r>
            <w:r>
              <w:rPr>
                <w:rFonts w:hint="default" w:ascii="Times New Roman" w:hAnsi="Times New Roman" w:cs="Times New Roman"/>
                <w:sz w:val="16"/>
                <w:szCs w:val="16"/>
                <w:lang w:val="en-US" w:eastAsia="zh-CN"/>
              </w:rPr>
              <w:t xml:space="preserve">anure and </w:t>
            </w:r>
            <w:r>
              <w:rPr>
                <w:rFonts w:hint="eastAsia" w:ascii="Times New Roman" w:hAnsi="Times New Roman" w:cs="Times New Roman"/>
                <w:sz w:val="16"/>
                <w:szCs w:val="16"/>
                <w:lang w:val="en-US" w:eastAsia="zh-CN"/>
              </w:rPr>
              <w:t>S</w:t>
            </w:r>
            <w:r>
              <w:rPr>
                <w:rFonts w:hint="default" w:ascii="Times New Roman" w:hAnsi="Times New Roman" w:cs="Times New Roman"/>
                <w:sz w:val="16"/>
                <w:szCs w:val="16"/>
                <w:lang w:val="en-US" w:eastAsia="zh-CN"/>
              </w:rPr>
              <w:t>ewage (M&amp;S)</w:t>
            </w:r>
          </w:p>
        </w:tc>
        <w:tc>
          <w:tcPr>
            <w:tcW w:w="1767" w:type="dxa"/>
            <w:tcBorders>
              <w:bottom w:val="single" w:color="auto" w:sz="4" w:space="0"/>
            </w:tcBorders>
            <w:vAlign w:val="center"/>
          </w:tcPr>
          <w:p w14:paraId="7DE7A0E8">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Aug-23</w:t>
            </w:r>
          </w:p>
        </w:tc>
        <w:tc>
          <w:tcPr>
            <w:tcW w:w="1915" w:type="dxa"/>
            <w:tcBorders>
              <w:bottom w:val="single" w:color="auto" w:sz="4" w:space="0"/>
            </w:tcBorders>
            <w:vAlign w:val="center"/>
          </w:tcPr>
          <w:p w14:paraId="2D4D03F3">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9.94 ± 6.59</w:t>
            </w:r>
          </w:p>
        </w:tc>
        <w:tc>
          <w:tcPr>
            <w:tcW w:w="1915" w:type="dxa"/>
            <w:tcBorders>
              <w:bottom w:val="single" w:color="auto" w:sz="4" w:space="0"/>
            </w:tcBorders>
            <w:vAlign w:val="center"/>
          </w:tcPr>
          <w:p w14:paraId="30AEFCA0">
            <w:pPr>
              <w:spacing w:line="240" w:lineRule="auto"/>
              <w:ind w:right="-334"/>
              <w:jc w:val="both"/>
              <w:rPr>
                <w:rFonts w:hint="default" w:ascii="Times New Roman" w:hAnsi="Times New Roman" w:cs="Times New Roman"/>
                <w:sz w:val="16"/>
                <w:szCs w:val="16"/>
                <w:lang w:val="en-US" w:eastAsia="zh-CN"/>
              </w:rPr>
            </w:pPr>
            <w:r>
              <w:rPr>
                <w:rFonts w:hint="default" w:ascii="Times New Roman" w:hAnsi="Times New Roman" w:cs="Times New Roman"/>
                <w:sz w:val="16"/>
                <w:szCs w:val="16"/>
                <w:lang w:val="en-US" w:eastAsia="zh-CN"/>
              </w:rPr>
              <w:t>-0.74 ± 1.83</w:t>
            </w:r>
          </w:p>
        </w:tc>
      </w:tr>
    </w:tbl>
    <w:p w14:paraId="0EF2FCE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eastAsia="宋体" w:cs="Times New Roman"/>
          <w:kern w:val="2"/>
          <w:sz w:val="21"/>
          <w:szCs w:val="22"/>
          <w:lang w:val="en-US" w:eastAsia="zh-CN" w:bidi="ar-SA"/>
        </w:rPr>
      </w:pPr>
    </w:p>
    <w:p w14:paraId="63E532CC">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val="0"/>
          <w:bCs w:val="0"/>
          <w:color w:val="auto"/>
          <w:lang w:eastAsia="zh-CN"/>
        </w:rPr>
        <w:drawing>
          <wp:inline distT="0" distB="0" distL="114300" distR="114300">
            <wp:extent cx="3940175" cy="3933190"/>
            <wp:effectExtent l="0" t="0" r="3175" b="10160"/>
            <wp:docPr id="25" name="图片 25" descr="6d1c4064a50373f82f005dc1818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d1c4064a50373f82f005dc181803d8"/>
                    <pic:cNvPicPr>
                      <a:picLocks noChangeAspect="1"/>
                    </pic:cNvPicPr>
                  </pic:nvPicPr>
                  <pic:blipFill>
                    <a:blip r:embed="rId32"/>
                    <a:stretch>
                      <a:fillRect/>
                    </a:stretch>
                  </pic:blipFill>
                  <pic:spPr>
                    <a:xfrm>
                      <a:off x="0" y="0"/>
                      <a:ext cx="3940175" cy="3933190"/>
                    </a:xfrm>
                    <a:prstGeom prst="rect">
                      <a:avLst/>
                    </a:prstGeom>
                  </pic:spPr>
                </pic:pic>
              </a:graphicData>
            </a:graphic>
          </wp:inline>
        </w:drawing>
      </w:r>
    </w:p>
    <w:p w14:paraId="1DA1E046">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val="0"/>
          <w:bCs w:val="0"/>
          <w:color w:val="auto"/>
          <w:lang w:eastAsia="zh-CN"/>
        </w:rPr>
      </w:pPr>
    </w:p>
    <w:p w14:paraId="2D858944">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1</w:t>
      </w:r>
      <w:r>
        <w:rPr>
          <w:rFonts w:hint="default"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default" w:ascii="Times New Roman" w:hAnsi="Times New Roman" w:cs="Times New Roman" w:eastAsiaTheme="minorEastAsia"/>
          <w:color w:val="auto"/>
          <w:lang w:eastAsia="zh-CN"/>
        </w:rPr>
        <w:t>Integration of Data for SWAT Model, Including Land Use, Soil Characteristics, DEM, Meteorological Information, and Monthly Monitoring of Nitrogen Species</w:t>
      </w:r>
    </w:p>
    <w:p w14:paraId="13F4BCA6">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color w:val="auto"/>
          <w:lang w:eastAsia="zh-CN"/>
        </w:rPr>
      </w:pPr>
    </w:p>
    <w:p w14:paraId="73549D92">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val="0"/>
          <w:bCs w:val="0"/>
          <w:color w:val="auto"/>
          <w:lang w:eastAsia="zh-CN"/>
        </w:rPr>
      </w:pPr>
      <w:r>
        <w:rPr>
          <w:rFonts w:hint="eastAsia" w:ascii="Times New Roman" w:hAnsi="Times New Roman" w:cs="Times New Roman" w:eastAsiaTheme="minorEastAsia"/>
          <w:b w:val="0"/>
          <w:bCs w:val="0"/>
          <w:color w:val="auto"/>
          <w:lang w:eastAsia="zh-CN"/>
        </w:rPr>
        <w:drawing>
          <wp:inline distT="0" distB="0" distL="114300" distR="114300">
            <wp:extent cx="1727835" cy="1406525"/>
            <wp:effectExtent l="0" t="0" r="5715" b="3175"/>
            <wp:docPr id="23" name="图片 23" descr="Rplo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plot01"/>
                    <pic:cNvPicPr>
                      <a:picLocks noChangeAspect="1"/>
                    </pic:cNvPicPr>
                  </pic:nvPicPr>
                  <pic:blipFill>
                    <a:blip r:embed="rId33"/>
                    <a:stretch>
                      <a:fillRect/>
                    </a:stretch>
                  </pic:blipFill>
                  <pic:spPr>
                    <a:xfrm>
                      <a:off x="0" y="0"/>
                      <a:ext cx="1727835" cy="1406525"/>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3" name="图片 3" descr="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plot"/>
                    <pic:cNvPicPr>
                      <a:picLocks noChangeAspect="1"/>
                    </pic:cNvPicPr>
                  </pic:nvPicPr>
                  <pic:blipFill>
                    <a:blip r:embed="rId34"/>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21" name="图片 21" descr="Rplo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Rplot03"/>
                    <pic:cNvPicPr>
                      <a:picLocks noChangeAspect="1"/>
                    </pic:cNvPicPr>
                  </pic:nvPicPr>
                  <pic:blipFill>
                    <a:blip r:embed="rId35"/>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6525"/>
            <wp:effectExtent l="0" t="0" r="5715" b="3175"/>
            <wp:docPr id="22" name="图片 22" descr="Rplo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Rplot02"/>
                    <pic:cNvPicPr>
                      <a:picLocks noChangeAspect="1"/>
                    </pic:cNvPicPr>
                  </pic:nvPicPr>
                  <pic:blipFill>
                    <a:blip r:embed="rId36"/>
                    <a:stretch>
                      <a:fillRect/>
                    </a:stretch>
                  </pic:blipFill>
                  <pic:spPr>
                    <a:xfrm>
                      <a:off x="0" y="0"/>
                      <a:ext cx="1727835" cy="1406525"/>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20" name="图片 20" descr="Rplo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Rplot04"/>
                    <pic:cNvPicPr>
                      <a:picLocks noChangeAspect="1"/>
                    </pic:cNvPicPr>
                  </pic:nvPicPr>
                  <pic:blipFill>
                    <a:blip r:embed="rId37"/>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8" name="图片 18" descr="Rplo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plot06"/>
                    <pic:cNvPicPr>
                      <a:picLocks noChangeAspect="1"/>
                    </pic:cNvPicPr>
                  </pic:nvPicPr>
                  <pic:blipFill>
                    <a:blip r:embed="rId38"/>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7" name="图片 17" descr="Rplo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Rplot07"/>
                    <pic:cNvPicPr>
                      <a:picLocks noChangeAspect="1"/>
                    </pic:cNvPicPr>
                  </pic:nvPicPr>
                  <pic:blipFill>
                    <a:blip r:embed="rId39"/>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9" name="图片 19" descr="Rplo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plot05"/>
                    <pic:cNvPicPr>
                      <a:picLocks noChangeAspect="1"/>
                    </pic:cNvPicPr>
                  </pic:nvPicPr>
                  <pic:blipFill>
                    <a:blip r:embed="rId40"/>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6" name="图片 16" descr="Rplo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Rplot08"/>
                    <pic:cNvPicPr>
                      <a:picLocks noChangeAspect="1"/>
                    </pic:cNvPicPr>
                  </pic:nvPicPr>
                  <pic:blipFill>
                    <a:blip r:embed="rId41"/>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4" name="图片 14" descr="Rpl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plot10"/>
                    <pic:cNvPicPr>
                      <a:picLocks noChangeAspect="1"/>
                    </pic:cNvPicPr>
                  </pic:nvPicPr>
                  <pic:blipFill>
                    <a:blip r:embed="rId42"/>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3" name="图片 13" descr="Rplo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Rplot11"/>
                    <pic:cNvPicPr>
                      <a:picLocks noChangeAspect="1"/>
                    </pic:cNvPicPr>
                  </pic:nvPicPr>
                  <pic:blipFill>
                    <a:blip r:embed="rId43"/>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5" name="图片 15" descr="Rplo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Rplot09"/>
                    <pic:cNvPicPr>
                      <a:picLocks noChangeAspect="1"/>
                    </pic:cNvPicPr>
                  </pic:nvPicPr>
                  <pic:blipFill>
                    <a:blip r:embed="rId44"/>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11" name="图片 11" descr="Rplo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Rplot12"/>
                    <pic:cNvPicPr>
                      <a:picLocks noChangeAspect="1"/>
                    </pic:cNvPicPr>
                  </pic:nvPicPr>
                  <pic:blipFill>
                    <a:blip r:embed="rId45"/>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8" name="图片 8" descr="Rplo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plot14"/>
                    <pic:cNvPicPr>
                      <a:picLocks noChangeAspect="1"/>
                    </pic:cNvPicPr>
                  </pic:nvPicPr>
                  <pic:blipFill>
                    <a:blip r:embed="rId46"/>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7" name="图片 7" descr="Rplo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plot15"/>
                    <pic:cNvPicPr>
                      <a:picLocks noChangeAspect="1"/>
                    </pic:cNvPicPr>
                  </pic:nvPicPr>
                  <pic:blipFill>
                    <a:blip r:embed="rId47"/>
                    <a:stretch>
                      <a:fillRect/>
                    </a:stretch>
                  </pic:blipFill>
                  <pic:spPr>
                    <a:xfrm>
                      <a:off x="0" y="0"/>
                      <a:ext cx="1727835" cy="1405890"/>
                    </a:xfrm>
                    <a:prstGeom prst="rect">
                      <a:avLst/>
                    </a:prstGeom>
                  </pic:spPr>
                </pic:pic>
              </a:graphicData>
            </a:graphic>
          </wp:inline>
        </w:drawing>
      </w:r>
      <w:r>
        <w:rPr>
          <w:rFonts w:hint="eastAsia" w:ascii="Times New Roman" w:hAnsi="Times New Roman" w:cs="Times New Roman" w:eastAsiaTheme="minorEastAsia"/>
          <w:b w:val="0"/>
          <w:bCs w:val="0"/>
          <w:color w:val="auto"/>
          <w:lang w:eastAsia="zh-CN"/>
        </w:rPr>
        <w:drawing>
          <wp:inline distT="0" distB="0" distL="114300" distR="114300">
            <wp:extent cx="1727835" cy="1405890"/>
            <wp:effectExtent l="0" t="0" r="5715" b="3810"/>
            <wp:docPr id="9" name="图片 9" descr="Rplo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plot13"/>
                    <pic:cNvPicPr>
                      <a:picLocks noChangeAspect="1"/>
                    </pic:cNvPicPr>
                  </pic:nvPicPr>
                  <pic:blipFill>
                    <a:blip r:embed="rId48"/>
                    <a:stretch>
                      <a:fillRect/>
                    </a:stretch>
                  </pic:blipFill>
                  <pic:spPr>
                    <a:xfrm>
                      <a:off x="0" y="0"/>
                      <a:ext cx="1727835" cy="1405890"/>
                    </a:xfrm>
                    <a:prstGeom prst="rect">
                      <a:avLst/>
                    </a:prstGeom>
                  </pic:spPr>
                </pic:pic>
              </a:graphicData>
            </a:graphic>
          </wp:inline>
        </w:drawing>
      </w:r>
    </w:p>
    <w:p w14:paraId="50084CB3">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eastAsiaTheme="minorEastAsia"/>
          <w:b w:val="0"/>
          <w:bCs w:val="0"/>
          <w:color w:val="auto"/>
          <w:lang w:eastAsia="zh-CN"/>
        </w:rPr>
      </w:pPr>
    </w:p>
    <w:p w14:paraId="4FC668A1">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2</w:t>
      </w:r>
      <w:r>
        <w:rPr>
          <w:rFonts w:hint="default"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default" w:ascii="Times New Roman" w:hAnsi="Times New Roman" w:cs="Times New Roman" w:eastAsiaTheme="minorEastAsia"/>
          <w:color w:val="auto"/>
          <w:lang w:eastAsia="zh-CN"/>
        </w:rPr>
        <w:t>Comparison of the physicochemical properties of water at sampling locations among the BYD, HF, BGY, and XY groups</w:t>
      </w:r>
    </w:p>
    <w:p w14:paraId="42221F16">
      <w:pPr>
        <w:ind w:right="-334"/>
        <w:jc w:val="both"/>
      </w:pPr>
      <w:r>
        <w:rPr>
          <w:rFonts w:hint="eastAsia"/>
        </w:rPr>
        <w:drawing>
          <wp:inline distT="0" distB="0" distL="114300" distR="114300">
            <wp:extent cx="2492375" cy="2016125"/>
            <wp:effectExtent l="0" t="0" r="3175" b="3175"/>
            <wp:docPr id="33" name="图片 33"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幻灯片2"/>
                    <pic:cNvPicPr>
                      <a:picLocks noChangeAspect="1"/>
                    </pic:cNvPicPr>
                  </pic:nvPicPr>
                  <pic:blipFill>
                    <a:blip r:embed="rId49"/>
                    <a:stretch>
                      <a:fillRect/>
                    </a:stretch>
                  </pic:blipFill>
                  <pic:spPr>
                    <a:xfrm>
                      <a:off x="0" y="0"/>
                      <a:ext cx="2492375" cy="2016125"/>
                    </a:xfrm>
                    <a:prstGeom prst="rect">
                      <a:avLst/>
                    </a:prstGeom>
                  </pic:spPr>
                </pic:pic>
              </a:graphicData>
            </a:graphic>
          </wp:inline>
        </w:drawing>
      </w:r>
      <w:r>
        <w:rPr>
          <w:rFonts w:hint="eastAsia"/>
        </w:rPr>
        <w:drawing>
          <wp:inline distT="0" distB="0" distL="114300" distR="114300">
            <wp:extent cx="2957195" cy="2016125"/>
            <wp:effectExtent l="0" t="0" r="14605" b="3175"/>
            <wp:docPr id="34" name="图片 34"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幻灯片3"/>
                    <pic:cNvPicPr>
                      <a:picLocks noChangeAspect="1"/>
                    </pic:cNvPicPr>
                  </pic:nvPicPr>
                  <pic:blipFill>
                    <a:blip r:embed="rId50"/>
                    <a:stretch>
                      <a:fillRect/>
                    </a:stretch>
                  </pic:blipFill>
                  <pic:spPr>
                    <a:xfrm>
                      <a:off x="0" y="0"/>
                      <a:ext cx="2957195" cy="2016125"/>
                    </a:xfrm>
                    <a:prstGeom prst="rect">
                      <a:avLst/>
                    </a:prstGeom>
                  </pic:spPr>
                </pic:pic>
              </a:graphicData>
            </a:graphic>
          </wp:inline>
        </w:drawing>
      </w:r>
    </w:p>
    <w:p w14:paraId="1B4E1738">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eastAsia="Segoe UI" w:cs="Times New Roman"/>
          <w:szCs w:val="21"/>
          <w:shd w:val="clear" w:color="auto" w:fill="FFFFFF"/>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3</w:t>
      </w:r>
      <w:r>
        <w:rPr>
          <w:rFonts w:hint="default"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default" w:ascii="Times New Roman" w:hAnsi="Times New Roman" w:eastAsia="Segoe UI" w:cs="Times New Roman"/>
          <w:szCs w:val="21"/>
          <w:shd w:val="clear" w:color="auto" w:fill="FFFFFF"/>
        </w:rPr>
        <w:t>Isotopic compositions of δ</w:t>
      </w:r>
      <w:r>
        <w:rPr>
          <w:rFonts w:hint="default" w:ascii="Times New Roman" w:hAnsi="Times New Roman" w:eastAsia="Segoe UI" w:cs="Times New Roman"/>
          <w:szCs w:val="21"/>
          <w:shd w:val="clear" w:color="auto" w:fill="FFFFFF"/>
          <w:vertAlign w:val="superscript"/>
        </w:rPr>
        <w:t>15</w:t>
      </w:r>
      <w:r>
        <w:rPr>
          <w:rFonts w:hint="default" w:ascii="Times New Roman" w:hAnsi="Times New Roman" w:eastAsia="Segoe UI" w:cs="Times New Roman"/>
          <w:szCs w:val="21"/>
          <w:shd w:val="clear" w:color="auto" w:fill="FFFFFF"/>
        </w:rPr>
        <w:t>N-NO</w:t>
      </w:r>
      <w:r>
        <w:rPr>
          <w:rFonts w:hint="default" w:ascii="Times New Roman" w:hAnsi="Times New Roman" w:eastAsia="Segoe UI" w:cs="Times New Roman"/>
          <w:szCs w:val="21"/>
          <w:shd w:val="clear" w:color="auto" w:fill="FFFFFF"/>
          <w:vertAlign w:val="subscript"/>
        </w:rPr>
        <w:t>3</w:t>
      </w:r>
      <w:r>
        <w:rPr>
          <w:rFonts w:hint="default" w:ascii="Times New Roman" w:hAnsi="Times New Roman" w:cs="Times New Roman"/>
          <w:szCs w:val="21"/>
          <w:shd w:val="clear" w:color="auto" w:fill="FFFFFF"/>
          <w:vertAlign w:val="superscript"/>
        </w:rPr>
        <w:t>-</w:t>
      </w:r>
      <w:r>
        <w:rPr>
          <w:rFonts w:hint="default" w:ascii="Times New Roman" w:hAnsi="Times New Roman" w:eastAsia="Segoe UI" w:cs="Times New Roman"/>
          <w:szCs w:val="21"/>
          <w:shd w:val="clear" w:color="auto" w:fill="FFFFFF"/>
        </w:rPr>
        <w:t xml:space="preserve"> and δ</w:t>
      </w:r>
      <w:r>
        <w:rPr>
          <w:rFonts w:hint="default" w:ascii="Times New Roman" w:hAnsi="Times New Roman" w:eastAsia="Segoe UI" w:cs="Times New Roman"/>
          <w:szCs w:val="21"/>
          <w:shd w:val="clear" w:color="auto" w:fill="FFFFFF"/>
          <w:vertAlign w:val="superscript"/>
        </w:rPr>
        <w:t>18</w:t>
      </w:r>
      <w:r>
        <w:rPr>
          <w:rFonts w:hint="default" w:ascii="Times New Roman" w:hAnsi="Times New Roman" w:eastAsia="Segoe UI" w:cs="Times New Roman"/>
          <w:szCs w:val="21"/>
          <w:shd w:val="clear" w:color="auto" w:fill="FFFFFF"/>
        </w:rPr>
        <w:t>O-NO</w:t>
      </w:r>
      <w:r>
        <w:rPr>
          <w:rFonts w:hint="default" w:ascii="Times New Roman" w:hAnsi="Times New Roman" w:eastAsia="Segoe UI" w:cs="Times New Roman"/>
          <w:szCs w:val="21"/>
          <w:shd w:val="clear" w:color="auto" w:fill="FFFFFF"/>
          <w:vertAlign w:val="subscript"/>
        </w:rPr>
        <w:t>3</w:t>
      </w:r>
      <w:r>
        <w:rPr>
          <w:rFonts w:hint="default" w:ascii="Times New Roman" w:hAnsi="Times New Roman" w:cs="Times New Roman"/>
          <w:szCs w:val="21"/>
          <w:shd w:val="clear" w:color="auto" w:fill="FFFFFF"/>
          <w:vertAlign w:val="superscript"/>
        </w:rPr>
        <w:t>-</w:t>
      </w:r>
      <w:r>
        <w:rPr>
          <w:rFonts w:hint="default" w:ascii="Times New Roman" w:hAnsi="Times New Roman" w:eastAsia="Segoe UI" w:cs="Times New Roman"/>
          <w:szCs w:val="21"/>
          <w:shd w:val="clear" w:color="auto" w:fill="FFFFFF"/>
        </w:rPr>
        <w:t xml:space="preserve"> for surface water samples together with typical nitrate source regions for atmospheric deposition (AP), chemical fertilizer (CF), soil nitrogen (SN), and manure&amp;sewage (M&amp;S). The δ</w:t>
      </w:r>
      <w:r>
        <w:rPr>
          <w:rFonts w:hint="default" w:ascii="Times New Roman" w:hAnsi="Times New Roman" w:eastAsia="Segoe UI" w:cs="Times New Roman"/>
          <w:szCs w:val="21"/>
          <w:shd w:val="clear" w:color="auto" w:fill="FFFFFF"/>
          <w:vertAlign w:val="superscript"/>
        </w:rPr>
        <w:t>15</w:t>
      </w:r>
      <w:r>
        <w:rPr>
          <w:rFonts w:hint="default" w:ascii="Times New Roman" w:hAnsi="Times New Roman" w:eastAsia="Segoe UI" w:cs="Times New Roman"/>
          <w:szCs w:val="21"/>
          <w:shd w:val="clear" w:color="auto" w:fill="FFFFFF"/>
        </w:rPr>
        <w:t>N values for MS are adapted from measurements within the Baiyangdian Basin while the other sources were measured from local pollution sources. δ</w:t>
      </w:r>
      <w:r>
        <w:rPr>
          <w:rFonts w:hint="default" w:ascii="Times New Roman" w:hAnsi="Times New Roman" w:eastAsia="Segoe UI" w:cs="Times New Roman"/>
          <w:szCs w:val="21"/>
          <w:shd w:val="clear" w:color="auto" w:fill="FFFFFF"/>
          <w:vertAlign w:val="superscript"/>
        </w:rPr>
        <w:t>18</w:t>
      </w:r>
      <w:r>
        <w:rPr>
          <w:rFonts w:hint="default" w:ascii="Times New Roman" w:hAnsi="Times New Roman" w:eastAsia="Segoe UI" w:cs="Times New Roman"/>
          <w:szCs w:val="21"/>
          <w:shd w:val="clear" w:color="auto" w:fill="FFFFFF"/>
        </w:rPr>
        <w:t>O values for A</w:t>
      </w:r>
      <w:r>
        <w:rPr>
          <w:rFonts w:hint="default" w:ascii="Times New Roman" w:hAnsi="Times New Roman" w:cs="Times New Roman"/>
          <w:szCs w:val="21"/>
          <w:shd w:val="clear" w:color="auto" w:fill="FFFFFF"/>
        </w:rPr>
        <w:t>P</w:t>
      </w:r>
      <w:r>
        <w:rPr>
          <w:rFonts w:hint="default" w:ascii="Times New Roman" w:hAnsi="Times New Roman" w:eastAsia="Segoe UI" w:cs="Times New Roman"/>
          <w:szCs w:val="21"/>
          <w:shd w:val="clear" w:color="auto" w:fill="FFFFFF"/>
        </w:rPr>
        <w:t xml:space="preserve"> were measured from local precipi</w:t>
      </w:r>
      <w:r>
        <w:rPr>
          <w:rFonts w:hint="default" w:ascii="Times New Roman" w:hAnsi="Times New Roman" w:eastAsia="Segoe UI" w:cs="Times New Roman"/>
          <w:szCs w:val="21"/>
          <w:shd w:val="clear" w:color="auto" w:fill="FFFFFF"/>
        </w:rPr>
        <w:softHyphen/>
      </w:r>
      <w:r>
        <w:rPr>
          <w:rFonts w:hint="default" w:ascii="Times New Roman" w:hAnsi="Times New Roman" w:eastAsia="Segoe UI" w:cs="Times New Roman"/>
          <w:szCs w:val="21"/>
          <w:shd w:val="clear" w:color="auto" w:fill="FFFFFF"/>
        </w:rPr>
        <w:t xml:space="preserve"> tation samples and the other sources were calculated using nitrification theory</w:t>
      </w:r>
    </w:p>
    <w:p w14:paraId="1E6BD40F">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eastAsia="Segoe UI" w:cs="Times New Roman"/>
          <w:szCs w:val="21"/>
          <w:shd w:val="clear" w:color="auto" w:fill="FFFFFF"/>
        </w:rPr>
      </w:pPr>
    </w:p>
    <w:p w14:paraId="168E56DB">
      <w:pPr>
        <w:keepNext w:val="0"/>
        <w:keepLines w:val="0"/>
        <w:pageBreakBefore w:val="0"/>
        <w:kinsoku/>
        <w:wordWrap/>
        <w:overflowPunct/>
        <w:topLinePunct w:val="0"/>
        <w:autoSpaceDE/>
        <w:autoSpaceDN/>
        <w:bidi w:val="0"/>
        <w:adjustRightInd/>
        <w:snapToGrid/>
        <w:jc w:val="center"/>
        <w:textAlignment w:val="auto"/>
        <w:rPr>
          <w:rFonts w:hint="eastAsia" w:eastAsiaTheme="minorEastAsia"/>
          <w:color w:val="auto"/>
          <w:lang w:eastAsia="zh-CN"/>
        </w:rPr>
      </w:pPr>
      <w:r>
        <w:rPr>
          <w:rFonts w:hint="eastAsia" w:eastAsiaTheme="minorEastAsia"/>
          <w:color w:val="auto"/>
          <w:lang w:eastAsia="zh-CN"/>
        </w:rPr>
        <w:drawing>
          <wp:inline distT="0" distB="0" distL="114300" distR="114300">
            <wp:extent cx="3884295" cy="2268220"/>
            <wp:effectExtent l="0" t="0" r="1905" b="17780"/>
            <wp:docPr id="10" name="图片 10" descr="群落柱形图_CommunityBarPie_20240902_15440466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群落柱形图_CommunityBarPie_20240902_154404663 (2)"/>
                    <pic:cNvPicPr>
                      <a:picLocks noChangeAspect="1"/>
                    </pic:cNvPicPr>
                  </pic:nvPicPr>
                  <pic:blipFill>
                    <a:blip r:embed="rId51"/>
                    <a:stretch>
                      <a:fillRect/>
                    </a:stretch>
                  </pic:blipFill>
                  <pic:spPr>
                    <a:xfrm>
                      <a:off x="0" y="0"/>
                      <a:ext cx="3884295" cy="2268220"/>
                    </a:xfrm>
                    <a:prstGeom prst="rect">
                      <a:avLst/>
                    </a:prstGeom>
                  </pic:spPr>
                </pic:pic>
              </a:graphicData>
            </a:graphic>
          </wp:inline>
        </w:drawing>
      </w:r>
      <w:r>
        <w:rPr>
          <w:rFonts w:hint="eastAsia" w:eastAsiaTheme="minorEastAsia"/>
          <w:color w:val="auto"/>
          <w:lang w:eastAsia="zh-CN"/>
        </w:rPr>
        <w:drawing>
          <wp:inline distT="0" distB="0" distL="114300" distR="114300">
            <wp:extent cx="3884295" cy="2268220"/>
            <wp:effectExtent l="0" t="0" r="1905" b="17780"/>
            <wp:docPr id="2" name="图片 2" descr="群落柱形图_CommunityBarPie_20240306_17274977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群落柱形图_CommunityBarPie_20240306_172749771 (2)"/>
                    <pic:cNvPicPr>
                      <a:picLocks noChangeAspect="1"/>
                    </pic:cNvPicPr>
                  </pic:nvPicPr>
                  <pic:blipFill>
                    <a:blip r:embed="rId52"/>
                    <a:stretch>
                      <a:fillRect/>
                    </a:stretch>
                  </pic:blipFill>
                  <pic:spPr>
                    <a:xfrm>
                      <a:off x="0" y="0"/>
                      <a:ext cx="3884295" cy="2268220"/>
                    </a:xfrm>
                    <a:prstGeom prst="rect">
                      <a:avLst/>
                    </a:prstGeom>
                  </pic:spPr>
                </pic:pic>
              </a:graphicData>
            </a:graphic>
          </wp:inline>
        </w:drawing>
      </w:r>
    </w:p>
    <w:p w14:paraId="64FA4135">
      <w:pPr>
        <w:keepNext w:val="0"/>
        <w:keepLines w:val="0"/>
        <w:pageBreakBefore w:val="0"/>
        <w:kinsoku/>
        <w:wordWrap/>
        <w:overflowPunct/>
        <w:topLinePunct w:val="0"/>
        <w:autoSpaceDE/>
        <w:autoSpaceDN/>
        <w:bidi w:val="0"/>
        <w:adjustRightInd/>
        <w:snapToGrid/>
        <w:jc w:val="left"/>
        <w:textAlignment w:val="auto"/>
        <w:rPr>
          <w:rFonts w:hint="eastAsia" w:ascii="Times New Roman" w:hAnsi="Times New Roman" w:cs="Times New Roman"/>
          <w:color w:val="auto"/>
          <w:lang w:val="en-US"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4</w:t>
      </w:r>
      <w:r>
        <w:rPr>
          <w:rFonts w:hint="default" w:ascii="Times New Roman" w:hAnsi="Times New Roman" w:cs="Times New Roman" w:eastAsiaTheme="minorEastAsia"/>
          <w:b/>
          <w:bCs/>
          <w:color w:val="auto"/>
          <w:lang w:eastAsia="zh-CN"/>
        </w:rPr>
        <w:t>.</w:t>
      </w:r>
      <w:r>
        <w:rPr>
          <w:rFonts w:hint="default" w:ascii="Times New Roman" w:hAnsi="Times New Roman" w:cs="Times New Roman" w:eastAsiaTheme="minorEastAsia"/>
          <w:color w:val="auto"/>
          <w:lang w:eastAsia="zh-CN"/>
        </w:rPr>
        <w:t xml:space="preserve"> Microbial Community Composition in May</w:t>
      </w:r>
      <w:r>
        <w:rPr>
          <w:rFonts w:hint="eastAsia" w:ascii="Times New Roman" w:hAnsi="Times New Roman" w:cs="Times New Roman"/>
          <w:color w:val="auto"/>
          <w:lang w:val="en-US" w:eastAsia="zh-CN"/>
        </w:rPr>
        <w:t xml:space="preserve"> and August</w:t>
      </w:r>
      <w:r>
        <w:rPr>
          <w:rFonts w:hint="default" w:ascii="Times New Roman" w:hAnsi="Times New Roman" w:cs="Times New Roman" w:eastAsiaTheme="minorEastAsia"/>
          <w:color w:val="auto"/>
          <w:lang w:eastAsia="zh-CN"/>
        </w:rPr>
        <w:t xml:space="preserve"> at Different Sampling Sites</w:t>
      </w:r>
    </w:p>
    <w:p w14:paraId="670A8F96">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eastAsia="Segoe UI" w:cs="Times New Roman"/>
          <w:szCs w:val="21"/>
          <w:shd w:val="clear" w:color="auto" w:fill="FFFFFF"/>
        </w:rPr>
      </w:pPr>
    </w:p>
    <w:p w14:paraId="4E1E0DEB">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eastAsia="Segoe UI" w:cs="Times New Roman"/>
          <w:szCs w:val="21"/>
          <w:shd w:val="clear" w:color="auto" w:fill="FFFFFF"/>
          <w:lang w:val="en-US" w:eastAsia="zh-CN"/>
        </w:rPr>
      </w:pPr>
    </w:p>
    <w:p w14:paraId="4A80AFD8">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szCs w:val="21"/>
          <w:shd w:val="clear" w:color="auto" w:fill="FFFFFF"/>
          <w:lang w:val="en-US" w:eastAsia="zh-CN"/>
        </w:rPr>
      </w:pPr>
      <w:r>
        <w:rPr>
          <w:rFonts w:hint="eastAsia"/>
        </w:rPr>
        <w:drawing>
          <wp:inline distT="0" distB="0" distL="114300" distR="114300">
            <wp:extent cx="5140960" cy="2822575"/>
            <wp:effectExtent l="0" t="0" r="2540" b="15875"/>
            <wp:docPr id="12" name="图片 12" descr="Rplo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plot16"/>
                    <pic:cNvPicPr>
                      <a:picLocks noChangeAspect="1"/>
                    </pic:cNvPicPr>
                  </pic:nvPicPr>
                  <pic:blipFill>
                    <a:blip r:embed="rId53"/>
                    <a:stretch>
                      <a:fillRect/>
                    </a:stretch>
                  </pic:blipFill>
                  <pic:spPr>
                    <a:xfrm>
                      <a:off x="0" y="0"/>
                      <a:ext cx="5140960" cy="2822575"/>
                    </a:xfrm>
                    <a:prstGeom prst="rect">
                      <a:avLst/>
                    </a:prstGeom>
                  </pic:spPr>
                </pic:pic>
              </a:graphicData>
            </a:graphic>
          </wp:inline>
        </w:drawing>
      </w:r>
    </w:p>
    <w:p w14:paraId="320DA3AE">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b w:val="0"/>
          <w:bCs w:val="0"/>
          <w:color w:val="auto"/>
          <w:lang w:val="en-US"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5</w:t>
      </w:r>
      <w:r>
        <w:rPr>
          <w:rFonts w:hint="default" w:ascii="Times New Roman" w:hAnsi="Times New Roman" w:cs="Times New Roman" w:eastAsiaTheme="minorEastAsia"/>
          <w:b/>
          <w:bCs/>
          <w:color w:val="auto"/>
          <w:lang w:eastAsia="zh-CN"/>
        </w:rPr>
        <w:t>.</w:t>
      </w:r>
      <w:r>
        <w:rPr>
          <w:rFonts w:hint="eastAsia" w:ascii="Times New Roman" w:hAnsi="Times New Roman" w:cs="Times New Roman"/>
          <w:b/>
          <w:bCs/>
          <w:color w:val="auto"/>
          <w:lang w:val="en-US" w:eastAsia="zh-CN"/>
        </w:rPr>
        <w:t xml:space="preserve"> </w:t>
      </w:r>
      <w:r>
        <w:rPr>
          <w:rFonts w:hint="eastAsia" w:ascii="Times New Roman" w:hAnsi="Times New Roman" w:cs="Times New Roman"/>
          <w:b w:val="0"/>
          <w:bCs w:val="0"/>
          <w:color w:val="auto"/>
          <w:lang w:val="en-US" w:eastAsia="zh-CN"/>
        </w:rPr>
        <w:t>Alpha diversity indices (Chao1, Shannon, Simpson) of microbial communities in May and August</w:t>
      </w:r>
    </w:p>
    <w:p w14:paraId="290C0834">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sz w:val="20"/>
          <w:szCs w:val="20"/>
        </w:rPr>
      </w:pPr>
      <w:r>
        <w:rPr>
          <w:sz w:val="20"/>
          <w:szCs w:val="20"/>
        </w:rPr>
        <w:drawing>
          <wp:inline distT="0" distB="0" distL="114300" distR="114300">
            <wp:extent cx="5375910" cy="2401570"/>
            <wp:effectExtent l="0" t="0" r="15240" b="17780"/>
            <wp:docPr id="37" name="图片 37" descr="outpu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output (20)"/>
                    <pic:cNvPicPr>
                      <a:picLocks noChangeAspect="1"/>
                    </pic:cNvPicPr>
                  </pic:nvPicPr>
                  <pic:blipFill>
                    <a:blip r:embed="rId54"/>
                    <a:srcRect t="6154"/>
                    <a:stretch>
                      <a:fillRect/>
                    </a:stretch>
                  </pic:blipFill>
                  <pic:spPr>
                    <a:xfrm>
                      <a:off x="0" y="0"/>
                      <a:ext cx="5375910" cy="2401570"/>
                    </a:xfrm>
                    <a:prstGeom prst="rect">
                      <a:avLst/>
                    </a:prstGeom>
                  </pic:spPr>
                </pic:pic>
              </a:graphicData>
            </a:graphic>
          </wp:inline>
        </w:drawing>
      </w: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6</w:t>
      </w:r>
      <w:r>
        <w:rPr>
          <w:rFonts w:hint="default" w:ascii="Times New Roman" w:hAnsi="Times New Roman" w:cs="Times New Roman" w:eastAsiaTheme="minorEastAsia"/>
          <w:b/>
          <w:bCs/>
          <w:color w:val="auto"/>
          <w:lang w:eastAsia="zh-CN"/>
        </w:rPr>
        <w:t>.</w:t>
      </w:r>
      <w:r>
        <w:rPr>
          <w:rFonts w:hint="default" w:ascii="Times New Roman" w:hAnsi="Times New Roman" w:cs="Times New Roman"/>
        </w:rPr>
        <w:t>The relative abundance of the top 10 microbial phyla observed in May and August</w:t>
      </w:r>
    </w:p>
    <w:p w14:paraId="318B9286">
      <w:pPr>
        <w:keepNext w:val="0"/>
        <w:keepLines w:val="0"/>
        <w:pageBreakBefore w:val="0"/>
        <w:kinsoku/>
        <w:wordWrap/>
        <w:overflowPunct/>
        <w:topLinePunct w:val="0"/>
        <w:autoSpaceDE/>
        <w:autoSpaceDN/>
        <w:bidi w:val="0"/>
        <w:adjustRightInd/>
        <w:snapToGrid/>
        <w:jc w:val="both"/>
        <w:textAlignment w:val="auto"/>
        <w:rPr>
          <w:rFonts w:hint="eastAsia"/>
          <w:sz w:val="20"/>
          <w:szCs w:val="20"/>
          <w:lang w:val="en-US" w:eastAsia="zh-CN"/>
        </w:rPr>
      </w:pPr>
    </w:p>
    <w:p w14:paraId="5B0DB593">
      <w:pPr>
        <w:ind w:right="-334"/>
        <w:jc w:val="center"/>
      </w:pPr>
      <w:r>
        <w:drawing>
          <wp:inline distT="0" distB="0" distL="114300" distR="114300">
            <wp:extent cx="2377440" cy="2376170"/>
            <wp:effectExtent l="0" t="0" r="3810" b="5080"/>
            <wp:docPr id="35" name="图片 35" descr="5yueCCA on OTU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yueCCA on OTU level"/>
                    <pic:cNvPicPr>
                      <a:picLocks noChangeAspect="1"/>
                    </pic:cNvPicPr>
                  </pic:nvPicPr>
                  <pic:blipFill>
                    <a:blip r:embed="rId55"/>
                    <a:srcRect l="7987" t="6188" r="42136" b="3075"/>
                    <a:stretch>
                      <a:fillRect/>
                    </a:stretch>
                  </pic:blipFill>
                  <pic:spPr>
                    <a:xfrm>
                      <a:off x="0" y="0"/>
                      <a:ext cx="2377440" cy="2376170"/>
                    </a:xfrm>
                    <a:prstGeom prst="rect">
                      <a:avLst/>
                    </a:prstGeom>
                  </pic:spPr>
                </pic:pic>
              </a:graphicData>
            </a:graphic>
          </wp:inline>
        </w:drawing>
      </w:r>
      <w:r>
        <w:drawing>
          <wp:inline distT="0" distB="0" distL="114300" distR="114300">
            <wp:extent cx="2328545" cy="2376170"/>
            <wp:effectExtent l="0" t="0" r="14605" b="5080"/>
            <wp:docPr id="36" name="图片 36" descr="8yueCCA on OTU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yueCCA on OTU level"/>
                    <pic:cNvPicPr>
                      <a:picLocks noChangeAspect="1"/>
                    </pic:cNvPicPr>
                  </pic:nvPicPr>
                  <pic:blipFill>
                    <a:blip r:embed="rId56"/>
                    <a:srcRect l="8307" t="6908" r="42938" b="2549"/>
                    <a:stretch>
                      <a:fillRect/>
                    </a:stretch>
                  </pic:blipFill>
                  <pic:spPr>
                    <a:xfrm>
                      <a:off x="0" y="0"/>
                      <a:ext cx="2328545" cy="2376170"/>
                    </a:xfrm>
                    <a:prstGeom prst="rect">
                      <a:avLst/>
                    </a:prstGeom>
                  </pic:spPr>
                </pic:pic>
              </a:graphicData>
            </a:graphic>
          </wp:inline>
        </w:drawing>
      </w:r>
    </w:p>
    <w:p w14:paraId="1167E2E8">
      <w:pPr>
        <w:ind w:right="-334"/>
        <w:jc w:val="left"/>
        <w:rPr>
          <w:rFonts w:hint="default" w:ascii="Times New Roman" w:hAnsi="Times New Roman" w:cs="Times New Roman"/>
          <w:b w:val="0"/>
          <w:bCs w:val="0"/>
          <w:color w:val="auto"/>
          <w:lang w:val="en-US"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7</w:t>
      </w:r>
      <w:r>
        <w:rPr>
          <w:rFonts w:hint="default" w:ascii="Times New Roman" w:hAnsi="Times New Roman" w:cs="Times New Roman" w:eastAsiaTheme="minorEastAsia"/>
          <w:b/>
          <w:bCs/>
          <w:color w:val="auto"/>
          <w:lang w:eastAsia="zh-CN"/>
        </w:rPr>
        <w:t>.</w:t>
      </w:r>
      <w:r>
        <w:rPr>
          <w:sz w:val="20"/>
          <w:szCs w:val="20"/>
        </w:rPr>
        <w:t xml:space="preserve"> </w:t>
      </w:r>
      <w:r>
        <w:rPr>
          <w:rFonts w:hint="default" w:ascii="Times New Roman" w:hAnsi="Times New Roman" w:cs="Times New Roman"/>
          <w:sz w:val="20"/>
          <w:szCs w:val="20"/>
        </w:rPr>
        <w:t>Canonical Correspondence Analysis (CCA) on OTU Level for Environmental Factors in May and August.</w:t>
      </w:r>
    </w:p>
    <w:p w14:paraId="3A647617">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color w:val="auto"/>
          <w:lang w:val="en-US" w:eastAsia="zh-CN"/>
        </w:rPr>
      </w:pPr>
    </w:p>
    <w:p w14:paraId="0A874C8A">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drawing>
          <wp:inline distT="0" distB="0" distL="114300" distR="114300">
            <wp:extent cx="2555875" cy="1915795"/>
            <wp:effectExtent l="0" t="0" r="15875" b="8255"/>
            <wp:docPr id="26" name="图片 26" descr="5月venn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月venn图"/>
                    <pic:cNvPicPr>
                      <a:picLocks noChangeAspect="1"/>
                    </pic:cNvPicPr>
                  </pic:nvPicPr>
                  <pic:blipFill>
                    <a:blip r:embed="rId57"/>
                    <a:srcRect l="8585" r="8433" b="9043"/>
                    <a:stretch>
                      <a:fillRect/>
                    </a:stretch>
                  </pic:blipFill>
                  <pic:spPr>
                    <a:xfrm>
                      <a:off x="0" y="0"/>
                      <a:ext cx="2555875" cy="1915795"/>
                    </a:xfrm>
                    <a:prstGeom prst="rect">
                      <a:avLst/>
                    </a:prstGeom>
                  </pic:spPr>
                </pic:pic>
              </a:graphicData>
            </a:graphic>
          </wp:inline>
        </w:drawing>
      </w:r>
      <w:r>
        <w:rPr>
          <w:rFonts w:hint="eastAsia" w:ascii="Times New Roman" w:hAnsi="Times New Roman" w:cs="Times New Roman"/>
          <w:color w:val="auto"/>
          <w:lang w:val="en-US" w:eastAsia="zh-CN"/>
        </w:rPr>
        <w:drawing>
          <wp:inline distT="0" distB="0" distL="114300" distR="114300">
            <wp:extent cx="2520315" cy="2103120"/>
            <wp:effectExtent l="0" t="0" r="13335" b="11430"/>
            <wp:docPr id="5" name="图片 5" descr="venn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venn图"/>
                    <pic:cNvPicPr>
                      <a:picLocks noChangeAspect="1"/>
                    </pic:cNvPicPr>
                  </pic:nvPicPr>
                  <pic:blipFill>
                    <a:blip r:embed="rId58"/>
                    <a:srcRect l="9379" r="8101" b="7857"/>
                    <a:stretch>
                      <a:fillRect/>
                    </a:stretch>
                  </pic:blipFill>
                  <pic:spPr>
                    <a:xfrm>
                      <a:off x="0" y="0"/>
                      <a:ext cx="2520315" cy="2103120"/>
                    </a:xfrm>
                    <a:prstGeom prst="rect">
                      <a:avLst/>
                    </a:prstGeom>
                  </pic:spPr>
                </pic:pic>
              </a:graphicData>
            </a:graphic>
          </wp:inline>
        </w:drawing>
      </w:r>
    </w:p>
    <w:p w14:paraId="27FB7F34">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lang w:eastAsia="zh-CN"/>
        </w:rPr>
        <w:t>Figure S</w:t>
      </w:r>
      <w:r>
        <w:rPr>
          <w:rFonts w:hint="eastAsia" w:ascii="Times New Roman" w:hAnsi="Times New Roman" w:cs="Times New Roman"/>
          <w:b/>
          <w:bCs/>
          <w:color w:val="auto"/>
          <w:lang w:val="en-US" w:eastAsia="zh-CN"/>
        </w:rPr>
        <w:t>8</w:t>
      </w:r>
      <w:r>
        <w:rPr>
          <w:rFonts w:hint="default" w:ascii="Times New Roman" w:hAnsi="Times New Roman" w:eastAsia="宋体" w:cs="Times New Roman"/>
          <w:color w:val="auto"/>
          <w:kern w:val="0"/>
          <w:sz w:val="24"/>
          <w:szCs w:val="24"/>
          <w:lang w:val="en-US" w:eastAsia="zh-CN" w:bidi="ar"/>
        </w:rPr>
        <w:t xml:space="preserve">. </w:t>
      </w:r>
      <w:r>
        <w:rPr>
          <w:rFonts w:hint="default" w:ascii="Times New Roman" w:hAnsi="Times New Roman" w:cs="Times New Roman" w:eastAsiaTheme="minorEastAsia"/>
          <w:color w:val="auto"/>
          <w:lang w:val="en-US" w:eastAsia="zh-CN"/>
        </w:rPr>
        <w:t>Comparison of the numbers of species between</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BGY</w:t>
      </w:r>
      <w:r>
        <w:rPr>
          <w:rFonts w:hint="default" w:ascii="Times New Roman" w:hAnsi="Times New Roman" w:cs="Times New Roman"/>
          <w:color w:val="auto"/>
          <w:lang w:val="en-US" w:eastAsia="zh-CN"/>
        </w:rPr>
        <w:t xml:space="preserve"> group</w:t>
      </w:r>
      <w:r>
        <w:rPr>
          <w:rFonts w:hint="eastAsia" w:ascii="Times New Roman" w:hAnsi="Times New Roman" w:cs="Times New Roman"/>
          <w:color w:val="auto"/>
          <w:lang w:val="en-US" w:eastAsia="zh-CN"/>
        </w:rPr>
        <w:t>, BYD group, FH group</w:t>
      </w:r>
      <w:r>
        <w:rPr>
          <w:rFonts w:hint="default" w:ascii="Times New Roman" w:hAnsi="Times New Roman" w:cs="Times New Roman"/>
          <w:color w:val="auto"/>
          <w:lang w:val="en-US" w:eastAsia="zh-CN"/>
        </w:rPr>
        <w:t xml:space="preserve"> and </w:t>
      </w:r>
      <w:r>
        <w:rPr>
          <w:rFonts w:hint="eastAsia" w:ascii="Times New Roman" w:hAnsi="Times New Roman" w:cs="Times New Roman"/>
          <w:color w:val="auto"/>
          <w:lang w:val="en-US" w:eastAsia="zh-CN"/>
        </w:rPr>
        <w:t>XY group</w:t>
      </w:r>
      <w:r>
        <w:rPr>
          <w:rFonts w:hint="default" w:ascii="Times New Roman" w:hAnsi="Times New Roman" w:cs="Times New Roman"/>
          <w:color w:val="auto"/>
          <w:lang w:val="en-US" w:eastAsia="zh-CN"/>
        </w:rPr>
        <w:t>.</w:t>
      </w:r>
    </w:p>
    <w:p w14:paraId="436FC25D">
      <w:pPr>
        <w:keepNext w:val="0"/>
        <w:keepLines w:val="0"/>
        <w:pageBreakBefore w:val="0"/>
        <w:kinsoku/>
        <w:wordWrap/>
        <w:overflowPunct/>
        <w:topLinePunct w:val="0"/>
        <w:autoSpaceDE/>
        <w:autoSpaceDN/>
        <w:bidi w:val="0"/>
        <w:adjustRightInd/>
        <w:snapToGrid/>
        <w:jc w:val="both"/>
        <w:textAlignment w:val="auto"/>
        <w:rPr>
          <w:rFonts w:hint="eastAsia" w:ascii="Times New Roman" w:hAnsi="Times New Roman" w:cs="Times New Roman"/>
          <w:color w:val="auto"/>
          <w:lang w:val="en-US" w:eastAsia="zh-CN"/>
        </w:rPr>
      </w:pPr>
    </w:p>
    <w:p w14:paraId="64B8473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991485" cy="2323465"/>
            <wp:effectExtent l="0" t="0" r="18415" b="635"/>
            <wp:docPr id="6" name="图片 6" descr="Rplo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plot05"/>
                    <pic:cNvPicPr>
                      <a:picLocks noChangeAspect="1"/>
                    </pic:cNvPicPr>
                  </pic:nvPicPr>
                  <pic:blipFill>
                    <a:blip r:embed="rId59"/>
                    <a:stretch>
                      <a:fillRect/>
                    </a:stretch>
                  </pic:blipFill>
                  <pic:spPr>
                    <a:xfrm>
                      <a:off x="0" y="0"/>
                      <a:ext cx="2991485" cy="2323465"/>
                    </a:xfrm>
                    <a:prstGeom prst="rect">
                      <a:avLst/>
                    </a:prstGeom>
                  </pic:spPr>
                </pic:pic>
              </a:graphicData>
            </a:graphic>
          </wp:inline>
        </w:drawing>
      </w:r>
    </w:p>
    <w:p w14:paraId="69A3643B">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lang w:val="en-US" w:eastAsia="zh-CN"/>
        </w:rPr>
        <w:t>Figure S</w:t>
      </w:r>
      <w:r>
        <w:rPr>
          <w:rFonts w:hint="eastAsia" w:ascii="Times New Roman" w:hAnsi="Times New Roman" w:cs="Times New Roman"/>
          <w:b/>
          <w:bCs/>
          <w:color w:val="auto"/>
          <w:lang w:val="en-US" w:eastAsia="zh-CN"/>
        </w:rPr>
        <w:t>9</w:t>
      </w:r>
      <w:r>
        <w:rPr>
          <w:rFonts w:hint="default" w:ascii="Times New Roman" w:hAnsi="Times New Roman" w:cs="Times New Roman" w:eastAsiaTheme="minorEastAsia"/>
          <w:b/>
          <w:bCs/>
          <w:color w:val="auto"/>
          <w:lang w:val="en-US" w:eastAsia="zh-CN"/>
        </w:rPr>
        <w:t>.</w:t>
      </w:r>
      <w:r>
        <w:rPr>
          <w:rFonts w:hint="default" w:ascii="Times New Roman" w:hAnsi="Times New Roman" w:cs="Times New Roman" w:eastAsiaTheme="minorEastAsia"/>
          <w:color w:val="auto"/>
          <w:lang w:val="en-US" w:eastAsia="zh-CN"/>
        </w:rPr>
        <w:t xml:space="preserve"> </w:t>
      </w:r>
      <w:r>
        <w:rPr>
          <w:rFonts w:hint="default" w:ascii="Times New Roman" w:hAnsi="Times New Roman" w:cs="Times New Roman"/>
          <w:color w:val="auto"/>
          <w:lang w:val="en-US" w:eastAsia="zh-CN"/>
        </w:rPr>
        <w:t xml:space="preserve">The relative proportions of biomarkers in the </w:t>
      </w:r>
      <w:r>
        <w:rPr>
          <w:rFonts w:hint="eastAsia" w:ascii="Times New Roman" w:hAnsi="Times New Roman" w:cs="Times New Roman"/>
          <w:color w:val="auto"/>
          <w:lang w:val="en-US" w:eastAsia="zh-CN"/>
        </w:rPr>
        <w:t>BGY</w:t>
      </w:r>
      <w:r>
        <w:rPr>
          <w:rFonts w:hint="default" w:ascii="Times New Roman" w:hAnsi="Times New Roman" w:cs="Times New Roman"/>
          <w:color w:val="auto"/>
          <w:lang w:val="en-US" w:eastAsia="zh-CN"/>
        </w:rPr>
        <w:t xml:space="preserve"> group</w:t>
      </w:r>
      <w:r>
        <w:rPr>
          <w:rFonts w:hint="eastAsia" w:ascii="Times New Roman" w:hAnsi="Times New Roman" w:cs="Times New Roman"/>
          <w:color w:val="auto"/>
          <w:lang w:val="en-US" w:eastAsia="zh-CN"/>
        </w:rPr>
        <w:t>, the BYD group, the FH group</w:t>
      </w:r>
      <w:r>
        <w:rPr>
          <w:rFonts w:hint="default" w:ascii="Times New Roman" w:hAnsi="Times New Roman" w:cs="Times New Roman"/>
          <w:color w:val="auto"/>
          <w:lang w:val="en-US" w:eastAsia="zh-CN"/>
        </w:rPr>
        <w:t xml:space="preserve"> and the </w:t>
      </w:r>
      <w:r>
        <w:rPr>
          <w:rFonts w:hint="eastAsia" w:ascii="Times New Roman" w:hAnsi="Times New Roman" w:cs="Times New Roman"/>
          <w:color w:val="auto"/>
          <w:lang w:val="en-US" w:eastAsia="zh-CN"/>
        </w:rPr>
        <w:t>XY group</w:t>
      </w:r>
      <w:r>
        <w:rPr>
          <w:rFonts w:hint="default" w:ascii="Times New Roman" w:hAnsi="Times New Roman" w:cs="Times New Roman"/>
          <w:color w:val="auto"/>
          <w:lang w:val="en-US" w:eastAsia="zh-CN"/>
        </w:rPr>
        <w:t>.</w:t>
      </w:r>
    </w:p>
    <w:p w14:paraId="7D952E6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265805" cy="2277110"/>
            <wp:effectExtent l="0" t="0" r="0" b="0"/>
            <wp:docPr id="24" name="图片 24" descr="相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相关性"/>
                    <pic:cNvPicPr>
                      <a:picLocks noChangeAspect="1"/>
                    </pic:cNvPicPr>
                  </pic:nvPicPr>
                  <pic:blipFill>
                    <a:blip r:embed="rId60"/>
                    <a:srcRect t="15405" r="3035"/>
                    <a:stretch>
                      <a:fillRect/>
                    </a:stretch>
                  </pic:blipFill>
                  <pic:spPr>
                    <a:xfrm>
                      <a:off x="0" y="0"/>
                      <a:ext cx="3265805" cy="2277110"/>
                    </a:xfrm>
                    <a:prstGeom prst="rect">
                      <a:avLst/>
                    </a:prstGeom>
                  </pic:spPr>
                </pic:pic>
              </a:graphicData>
            </a:graphic>
          </wp:inline>
        </w:drawing>
      </w:r>
    </w:p>
    <w:p w14:paraId="4C920D9A">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lang w:val="en-US" w:eastAsia="zh-CN"/>
        </w:rPr>
        <w:t>Figure S</w:t>
      </w:r>
      <w:r>
        <w:rPr>
          <w:rFonts w:hint="eastAsia" w:ascii="Times New Roman" w:hAnsi="Times New Roman" w:cs="Times New Roman"/>
          <w:b/>
          <w:bCs/>
          <w:color w:val="auto"/>
          <w:lang w:val="en-US" w:eastAsia="zh-CN"/>
        </w:rPr>
        <w:t>10</w:t>
      </w:r>
      <w:r>
        <w:rPr>
          <w:rFonts w:hint="default" w:ascii="Times New Roman" w:hAnsi="Times New Roman" w:cs="Times New Roman" w:eastAsiaTheme="minorEastAsia"/>
          <w:b/>
          <w:bCs/>
          <w:color w:val="auto"/>
          <w:lang w:val="en-US" w:eastAsia="zh-CN"/>
        </w:rPr>
        <w:t>.</w:t>
      </w:r>
      <w:r>
        <w:rPr>
          <w:rFonts w:hint="default" w:ascii="Times New Roman" w:hAnsi="Times New Roman" w:cs="Times New Roman" w:eastAsiaTheme="minorEastAsia"/>
          <w:color w:val="auto"/>
          <w:lang w:val="en-US" w:eastAsia="zh-CN"/>
        </w:rPr>
        <w:t xml:space="preserve"> </w:t>
      </w:r>
      <w:r>
        <w:rPr>
          <w:rFonts w:hint="default" w:ascii="Times New Roman" w:hAnsi="Times New Roman" w:cs="Times New Roman"/>
          <w:color w:val="auto"/>
          <w:lang w:val="en-US" w:eastAsia="zh-CN"/>
        </w:rPr>
        <w:t xml:space="preserve">Pearson </w:t>
      </w:r>
      <w:r>
        <w:rPr>
          <w:rFonts w:hint="eastAsia" w:ascii="Times New Roman" w:hAnsi="Times New Roman" w:cs="Times New Roman"/>
          <w:color w:val="auto"/>
          <w:lang w:val="en-US" w:eastAsia="zh-CN"/>
        </w:rPr>
        <w:t>c</w:t>
      </w:r>
      <w:r>
        <w:rPr>
          <w:rFonts w:hint="default" w:ascii="Times New Roman" w:hAnsi="Times New Roman" w:cs="Times New Roman"/>
          <w:color w:val="auto"/>
          <w:lang w:val="en-US" w:eastAsia="zh-CN"/>
        </w:rPr>
        <w:t xml:space="preserve">orrelation </w:t>
      </w:r>
      <w:r>
        <w:rPr>
          <w:rFonts w:hint="eastAsia" w:ascii="Times New Roman" w:hAnsi="Times New Roman" w:cs="Times New Roman"/>
          <w:color w:val="auto"/>
          <w:lang w:val="en-US" w:eastAsia="zh-CN"/>
        </w:rPr>
        <w:t>m</w:t>
      </w:r>
      <w:r>
        <w:rPr>
          <w:rFonts w:hint="default" w:ascii="Times New Roman" w:hAnsi="Times New Roman" w:cs="Times New Roman"/>
          <w:color w:val="auto"/>
          <w:lang w:val="en-US" w:eastAsia="zh-CN"/>
        </w:rPr>
        <w:t xml:space="preserve">atrix </w:t>
      </w:r>
      <w:r>
        <w:rPr>
          <w:rFonts w:hint="eastAsia" w:ascii="Times New Roman" w:hAnsi="Times New Roman" w:cs="Times New Roman"/>
          <w:color w:val="auto"/>
          <w:lang w:val="en-US" w:eastAsia="zh-CN"/>
        </w:rPr>
        <w:t>s</w:t>
      </w:r>
      <w:r>
        <w:rPr>
          <w:rFonts w:hint="default" w:ascii="Times New Roman" w:hAnsi="Times New Roman" w:cs="Times New Roman"/>
          <w:color w:val="auto"/>
          <w:lang w:val="en-US" w:eastAsia="zh-CN"/>
        </w:rPr>
        <w:t xml:space="preserve">howing </w:t>
      </w:r>
      <w:r>
        <w:rPr>
          <w:rFonts w:hint="eastAsia" w:ascii="Times New Roman" w:hAnsi="Times New Roman" w:cs="Times New Roman"/>
          <w:color w:val="auto"/>
          <w:lang w:val="en-US" w:eastAsia="zh-CN"/>
        </w:rPr>
        <w:t>r</w:t>
      </w:r>
      <w:r>
        <w:rPr>
          <w:rFonts w:hint="default" w:ascii="Times New Roman" w:hAnsi="Times New Roman" w:cs="Times New Roman"/>
          <w:color w:val="auto"/>
          <w:lang w:val="en-US" w:eastAsia="zh-CN"/>
        </w:rPr>
        <w:t xml:space="preserve">elationships </w:t>
      </w:r>
      <w:r>
        <w:rPr>
          <w:rFonts w:hint="eastAsia" w:ascii="Times New Roman" w:hAnsi="Times New Roman" w:cs="Times New Roman"/>
          <w:color w:val="auto"/>
          <w:lang w:val="en-US" w:eastAsia="zh-CN"/>
        </w:rPr>
        <w:t>b</w:t>
      </w:r>
      <w:r>
        <w:rPr>
          <w:rFonts w:hint="default" w:ascii="Times New Roman" w:hAnsi="Times New Roman" w:cs="Times New Roman"/>
          <w:color w:val="auto"/>
          <w:lang w:val="en-US" w:eastAsia="zh-CN"/>
        </w:rPr>
        <w:t xml:space="preserve">etween River-Lake </w:t>
      </w:r>
      <w:r>
        <w:rPr>
          <w:rFonts w:hint="eastAsia" w:ascii="Times New Roman" w:hAnsi="Times New Roman" w:cs="Times New Roman"/>
          <w:color w:val="auto"/>
          <w:lang w:val="en-US" w:eastAsia="zh-CN"/>
        </w:rPr>
        <w:t>C</w:t>
      </w:r>
      <w:r>
        <w:rPr>
          <w:rFonts w:hint="default" w:ascii="Times New Roman" w:hAnsi="Times New Roman" w:cs="Times New Roman"/>
          <w:color w:val="auto"/>
          <w:lang w:val="en-US" w:eastAsia="zh-CN"/>
        </w:rPr>
        <w:t xml:space="preserve">onnectivity, </w:t>
      </w:r>
      <w:r>
        <w:rPr>
          <w:rFonts w:hint="eastAsia" w:ascii="Times New Roman" w:hAnsi="Times New Roman" w:cs="Times New Roman"/>
          <w:color w:val="auto"/>
          <w:lang w:val="en-US" w:eastAsia="zh-CN"/>
        </w:rPr>
        <w:t>n</w:t>
      </w:r>
      <w:r>
        <w:rPr>
          <w:rFonts w:hint="default" w:ascii="Times New Roman" w:hAnsi="Times New Roman" w:cs="Times New Roman"/>
          <w:color w:val="auto"/>
          <w:lang w:val="en-US" w:eastAsia="zh-CN"/>
        </w:rPr>
        <w:t xml:space="preserve">itrogen </w:t>
      </w:r>
      <w:r>
        <w:rPr>
          <w:rFonts w:hint="eastAsia" w:ascii="Times New Roman" w:hAnsi="Times New Roman" w:cs="Times New Roman"/>
          <w:color w:val="auto"/>
          <w:lang w:val="en-US" w:eastAsia="zh-CN"/>
        </w:rPr>
        <w:t>c</w:t>
      </w:r>
      <w:r>
        <w:rPr>
          <w:rFonts w:hint="default" w:ascii="Times New Roman" w:hAnsi="Times New Roman" w:cs="Times New Roman"/>
          <w:color w:val="auto"/>
          <w:lang w:val="en-US" w:eastAsia="zh-CN"/>
        </w:rPr>
        <w:t xml:space="preserve">oncentrations (TN, Nitrate, Ammonia), and </w:t>
      </w:r>
      <w:r>
        <w:rPr>
          <w:rFonts w:hint="eastAsia" w:ascii="Times New Roman" w:hAnsi="Times New Roman" w:cs="Times New Roman"/>
          <w:color w:val="auto"/>
          <w:lang w:val="en-US" w:eastAsia="zh-CN"/>
        </w:rPr>
        <w:t>m</w:t>
      </w:r>
      <w:r>
        <w:rPr>
          <w:rFonts w:hint="default" w:ascii="Times New Roman" w:hAnsi="Times New Roman" w:cs="Times New Roman"/>
          <w:color w:val="auto"/>
          <w:lang w:val="en-US" w:eastAsia="zh-CN"/>
        </w:rPr>
        <w:t xml:space="preserve">icrobial </w:t>
      </w:r>
      <w:r>
        <w:rPr>
          <w:rFonts w:hint="eastAsia" w:ascii="Times New Roman" w:hAnsi="Times New Roman" w:cs="Times New Roman"/>
          <w:color w:val="auto"/>
          <w:lang w:val="en-US" w:eastAsia="zh-CN"/>
        </w:rPr>
        <w:t>a</w:t>
      </w:r>
      <w:r>
        <w:rPr>
          <w:rFonts w:hint="default" w:ascii="Times New Roman" w:hAnsi="Times New Roman" w:cs="Times New Roman"/>
          <w:color w:val="auto"/>
          <w:lang w:val="en-US" w:eastAsia="zh-CN"/>
        </w:rPr>
        <w:t xml:space="preserve">lpha </w:t>
      </w:r>
      <w:r>
        <w:rPr>
          <w:rFonts w:hint="eastAsia" w:ascii="Times New Roman" w:hAnsi="Times New Roman" w:cs="Times New Roman"/>
          <w:color w:val="auto"/>
          <w:lang w:val="en-US" w:eastAsia="zh-CN"/>
        </w:rPr>
        <w:t>d</w:t>
      </w:r>
      <w:r>
        <w:rPr>
          <w:rFonts w:hint="default" w:ascii="Times New Roman" w:hAnsi="Times New Roman" w:cs="Times New Roman"/>
          <w:color w:val="auto"/>
          <w:lang w:val="en-US" w:eastAsia="zh-CN"/>
        </w:rPr>
        <w:t xml:space="preserve">iversity </w:t>
      </w:r>
      <w:r>
        <w:rPr>
          <w:rFonts w:hint="eastAsia" w:ascii="Times New Roman" w:hAnsi="Times New Roman" w:cs="Times New Roman"/>
          <w:color w:val="auto"/>
          <w:lang w:val="en-US" w:eastAsia="zh-CN"/>
        </w:rPr>
        <w:t>i</w:t>
      </w:r>
      <w:r>
        <w:rPr>
          <w:rFonts w:hint="default" w:ascii="Times New Roman" w:hAnsi="Times New Roman" w:cs="Times New Roman"/>
          <w:color w:val="auto"/>
          <w:lang w:val="en-US" w:eastAsia="zh-CN"/>
        </w:rPr>
        <w:t>ndices (Chao1, Shannon)</w:t>
      </w:r>
    </w:p>
    <w:p w14:paraId="5103D891">
      <w:pPr>
        <w:keepNext w:val="0"/>
        <w:keepLines w:val="0"/>
        <w:pageBreakBefore w:val="0"/>
        <w:kinsoku/>
        <w:wordWrap/>
        <w:overflowPunct/>
        <w:topLinePunct w:val="0"/>
        <w:autoSpaceDE/>
        <w:autoSpaceDN/>
        <w:bidi w:val="0"/>
        <w:adjustRightInd/>
        <w:snapToGrid/>
        <w:jc w:val="both"/>
        <w:textAlignment w:val="auto"/>
        <w:rPr>
          <w:rFonts w:hint="default" w:ascii="Times New Roman" w:hAnsi="Times New Roman" w:cs="Times New Roman"/>
          <w:color w:val="auto"/>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BBD51"/>
    <w:multiLevelType w:val="singleLevel"/>
    <w:tmpl w:val="A10BBD51"/>
    <w:lvl w:ilvl="0" w:tentative="0">
      <w:start w:val="5"/>
      <w:numFmt w:val="upperLetter"/>
      <w:suff w:val="nothing"/>
      <w:lvlText w:val="%1-"/>
      <w:lvlJc w:val="left"/>
    </w:lvl>
  </w:abstractNum>
  <w:abstractNum w:abstractNumId="1">
    <w:nsid w:val="2FBB4E6E"/>
    <w:multiLevelType w:val="multilevel"/>
    <w:tmpl w:val="2FBB4E6E"/>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iYmJiY2M4MDg0YzczYmM3NDBkYjY3MjA1MTFhZTYifQ=="/>
  </w:docVars>
  <w:rsids>
    <w:rsidRoot w:val="00000000"/>
    <w:rsid w:val="00500ADE"/>
    <w:rsid w:val="00EF5BA2"/>
    <w:rsid w:val="01B44E7D"/>
    <w:rsid w:val="02A71165"/>
    <w:rsid w:val="037E4FBC"/>
    <w:rsid w:val="052C7A1C"/>
    <w:rsid w:val="061547AF"/>
    <w:rsid w:val="078A23D9"/>
    <w:rsid w:val="09886B94"/>
    <w:rsid w:val="0AAF0151"/>
    <w:rsid w:val="0C1464BD"/>
    <w:rsid w:val="11DF756D"/>
    <w:rsid w:val="12E11965"/>
    <w:rsid w:val="130A23C8"/>
    <w:rsid w:val="13EB21F9"/>
    <w:rsid w:val="141101AC"/>
    <w:rsid w:val="168E1562"/>
    <w:rsid w:val="16B8213B"/>
    <w:rsid w:val="17F378CF"/>
    <w:rsid w:val="18B232E6"/>
    <w:rsid w:val="19CC487B"/>
    <w:rsid w:val="1B8C2514"/>
    <w:rsid w:val="1C901B90"/>
    <w:rsid w:val="1D9B486D"/>
    <w:rsid w:val="218E0668"/>
    <w:rsid w:val="228256BB"/>
    <w:rsid w:val="22E61AE2"/>
    <w:rsid w:val="24E51100"/>
    <w:rsid w:val="29E55C09"/>
    <w:rsid w:val="2BF65788"/>
    <w:rsid w:val="2D035800"/>
    <w:rsid w:val="2EC35DF5"/>
    <w:rsid w:val="30201025"/>
    <w:rsid w:val="31F93BC7"/>
    <w:rsid w:val="33DA46B1"/>
    <w:rsid w:val="35515853"/>
    <w:rsid w:val="357B204A"/>
    <w:rsid w:val="36062A6B"/>
    <w:rsid w:val="36551B40"/>
    <w:rsid w:val="385F3BEA"/>
    <w:rsid w:val="39B90520"/>
    <w:rsid w:val="3AAD5BAB"/>
    <w:rsid w:val="42DF6B1E"/>
    <w:rsid w:val="43150D6C"/>
    <w:rsid w:val="44283DC7"/>
    <w:rsid w:val="45E5269D"/>
    <w:rsid w:val="470C55C7"/>
    <w:rsid w:val="47A04ACD"/>
    <w:rsid w:val="4832149E"/>
    <w:rsid w:val="503C55AF"/>
    <w:rsid w:val="517B2107"/>
    <w:rsid w:val="51A11B6E"/>
    <w:rsid w:val="555F49B1"/>
    <w:rsid w:val="56505911"/>
    <w:rsid w:val="575F0C2E"/>
    <w:rsid w:val="58E00F94"/>
    <w:rsid w:val="591E1CF6"/>
    <w:rsid w:val="59EF5441"/>
    <w:rsid w:val="5B372BFB"/>
    <w:rsid w:val="5B5E287E"/>
    <w:rsid w:val="5B9765BF"/>
    <w:rsid w:val="5E9005D9"/>
    <w:rsid w:val="5FC5019D"/>
    <w:rsid w:val="60D379A2"/>
    <w:rsid w:val="60F74E5F"/>
    <w:rsid w:val="63EE6769"/>
    <w:rsid w:val="640146EE"/>
    <w:rsid w:val="67700EDC"/>
    <w:rsid w:val="67CB7B35"/>
    <w:rsid w:val="68752FB5"/>
    <w:rsid w:val="689F56C0"/>
    <w:rsid w:val="68DB550E"/>
    <w:rsid w:val="68EB3277"/>
    <w:rsid w:val="6CA65E33"/>
    <w:rsid w:val="6E0307C8"/>
    <w:rsid w:val="711D41EA"/>
    <w:rsid w:val="71487A51"/>
    <w:rsid w:val="74BE0606"/>
    <w:rsid w:val="75972EA9"/>
    <w:rsid w:val="75D068AD"/>
    <w:rsid w:val="77AB07A1"/>
    <w:rsid w:val="77DF669D"/>
    <w:rsid w:val="77E85551"/>
    <w:rsid w:val="77FE4D75"/>
    <w:rsid w:val="7AC83418"/>
    <w:rsid w:val="7CFD6CA4"/>
    <w:rsid w:val="7E311C94"/>
    <w:rsid w:val="7F9B1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0000FF"/>
      <w:u w:val="single"/>
    </w:rPr>
  </w:style>
  <w:style w:type="paragraph" w:styleId="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43.png"/><Relationship Id="rId6" Type="http://schemas.openxmlformats.org/officeDocument/2006/relationships/oleObject" Target="embeddings/oleObject2.bin"/><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image" Target="media/image1.wmf"/><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oleObject" Target="embeddings/oleObject1.bin"/><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2683</Words>
  <Characters>17135</Characters>
  <Lines>0</Lines>
  <Paragraphs>0</Paragraphs>
  <TotalTime>0</TotalTime>
  <ScaleCrop>false</ScaleCrop>
  <LinksUpToDate>false</LinksUpToDate>
  <CharactersWithSpaces>19350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2024-08-27T09:55:00Z</dcterms:created>
  <dc:creator>a</dc:creator>
  <cp:lastModifiedBy>Haoda Chen</cp:lastModifiedBy>
  <dcterms:modified xsi:type="dcterms:W3CDTF">2025-03-24T10:16:20Z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AB0C4240E4004182B46085A387370334_12</vt:lpwstr>
  </property>
  <property fmtid="{D5CDD505-2E9C-101B-9397-08002B2CF9AE}" pid="4" name="KSOTemplateDocerSaveRecord">
    <vt:lpwstr>eyJoZGlkIjoiNWU0OTE4YTZhNjJlNDM2MmRjYmYxMzQ1NDVmMmYxNTgiLCJ1c2VySWQiOiI0NDI5NTc2MjUifQ==</vt:lpwstr>
  </property>
</Properties>
</file>