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BA981" w14:textId="380C94B2" w:rsidR="00321C6D" w:rsidRPr="000B58DB" w:rsidRDefault="00321C6D" w:rsidP="00321C6D">
      <w:pPr>
        <w:keepNext/>
        <w:pBdr>
          <w:top w:val="nil"/>
          <w:left w:val="nil"/>
          <w:bottom w:val="nil"/>
          <w:right w:val="nil"/>
          <w:between w:val="nil"/>
        </w:pBdr>
        <w:spacing w:before="240" w:line="360" w:lineRule="auto"/>
        <w:rPr>
          <w:sz w:val="24"/>
          <w:szCs w:val="24"/>
        </w:rPr>
      </w:pPr>
      <w:r w:rsidRPr="000B58DB">
        <w:rPr>
          <w:sz w:val="24"/>
          <w:szCs w:val="24"/>
        </w:rPr>
        <w:t>Supplementary material</w:t>
      </w:r>
      <w:r>
        <w:rPr>
          <w:sz w:val="24"/>
          <w:szCs w:val="24"/>
        </w:rPr>
        <w:t>s</w:t>
      </w:r>
    </w:p>
    <w:p w14:paraId="30F293B4" w14:textId="77777777" w:rsidR="00321C6D" w:rsidRPr="000B58DB" w:rsidRDefault="00321C6D" w:rsidP="00321C6D">
      <w:pPr>
        <w:keepNext/>
        <w:pBdr>
          <w:top w:val="nil"/>
          <w:left w:val="nil"/>
          <w:bottom w:val="nil"/>
          <w:right w:val="nil"/>
          <w:between w:val="nil"/>
        </w:pBdr>
        <w:spacing w:before="240" w:line="360" w:lineRule="auto"/>
        <w:rPr>
          <w:sz w:val="24"/>
          <w:szCs w:val="24"/>
        </w:rPr>
      </w:pPr>
      <w:r w:rsidRPr="000B58DB">
        <w:rPr>
          <w:sz w:val="24"/>
          <w:szCs w:val="24"/>
        </w:rPr>
        <w:t xml:space="preserve">An important feature of the EEG data is its high dimensionality, related to the number of recording channels, sampling rate, repetitions of the stimuli presented to the participants, number of conditions or groups, and sample size of the participant's groups. In this study, the single dataset from one participant and one run contained the values of the voltage recorded from 30 scalp channels, which is typical in cognitive neuroscience. However, 64 or 128 channels are also commonly used </w:t>
      </w:r>
      <w:r w:rsidRPr="000B58DB">
        <w:rPr>
          <w:sz w:val="24"/>
          <w:szCs w:val="24"/>
        </w:rPr>
        <w:fldChar w:fldCharType="begin" w:fldLock="1"/>
      </w:r>
      <w:r w:rsidRPr="000B58DB">
        <w:rPr>
          <w:sz w:val="24"/>
          <w:szCs w:val="24"/>
        </w:rPr>
        <w:instrText>ADDIN CSL_CITATION {"citationItems":[{"id":"ITEM-1","itemData":{"ISBN":"9780262525855","edition":"2","editor":[{"dropping-particle":"","family":"Luck","given":"Steven J.","non-dropping-particle":"","parse-names":false,"suffix":""}],"id":"ITEM-1","issued":{"date-parts":[["2014"]]},"number-of-pages":"406","publisher":"The MIT Press","publisher-place":"Cambridge, USA","title":"An Introduction to the Event-Related Potential Technique","type":"book"},"uris":["http://www.mendeley.com/documents/?uuid=4d7bacf4-fbfa-4256-8fb8-9517e29659c3"]}],"mendeley":{"formattedCitation":"(Luck, 2014)","plainTextFormattedCitation":"(Luck, 2014)","previouslyFormattedCitation":"(Luck, 2014)"},"properties":{"noteIndex":0},"schema":"https://github.com/citation-style-language/schema/raw/master/csl-citation.json"}</w:instrText>
      </w:r>
      <w:r w:rsidRPr="000B58DB">
        <w:rPr>
          <w:sz w:val="24"/>
          <w:szCs w:val="24"/>
        </w:rPr>
        <w:fldChar w:fldCharType="separate"/>
      </w:r>
      <w:r w:rsidRPr="000B58DB">
        <w:rPr>
          <w:noProof/>
          <w:sz w:val="24"/>
          <w:szCs w:val="24"/>
        </w:rPr>
        <w:t>(Luck, 2014)</w:t>
      </w:r>
      <w:r w:rsidRPr="000B58DB">
        <w:rPr>
          <w:sz w:val="24"/>
          <w:szCs w:val="24"/>
        </w:rPr>
        <w:fldChar w:fldCharType="end"/>
      </w:r>
      <w:r w:rsidRPr="000B58DB">
        <w:rPr>
          <w:sz w:val="24"/>
          <w:szCs w:val="24"/>
        </w:rPr>
        <w:t xml:space="preserve">. The sampling rate was 256 Hz (which means data points being saved every 3.91 ms, i.e. 256 data points per second), which is also a standard value due to the Nyquist criterion, according to which the sampling frequency should be more than twice the maximal oscillation frequency of the measured signal. Higher cognitive processes (such as attention) are related to the neural oscillations of up to around 100 Hz (typically less), however much higher sampling frequencies are also used in some applications, such as somatosensory potentials or high-frequency oscillations (HFO), where fast, sensory processing may be up to 500 Hz </w:t>
      </w:r>
      <w:r w:rsidRPr="000B58DB">
        <w:rPr>
          <w:sz w:val="24"/>
          <w:szCs w:val="24"/>
        </w:rPr>
        <w:fldChar w:fldCharType="begin" w:fldLock="1"/>
      </w:r>
      <w:r w:rsidRPr="000B58DB">
        <w:rPr>
          <w:sz w:val="24"/>
          <w:szCs w:val="24"/>
        </w:rPr>
        <w:instrText>ADDIN CSL_CITATION {"citationItems":[{"id":"ITEM-1","itemData":{"DOI":"10.14581/jer.19001","ISSN":"2233-6249","abstract":"High frequency oscillations (HFOs) is a brain activity observed in electroencephalography (EEG) in frequency ranges between 80-500 Hz. HFOs can be classified into ripples (80-200 Hz) and fast ripples (200-500 Hz) by their distinctive characteristics. Recent studies reported that both ripples and fast fipples can be regarded as a new biomarker of epileptogenesis and ictogenesis. Previous studies verified that HFOs are clinically important both in patients with mesial temporal lobe epilepsy and neocortical epilepsy. Also, in epilepsy surgery, patients with higher resection ratio of brain regions with HFOs showed better outcome than a group with lower resection ratio. For clinical application of HFOs, it is important to delineate HFOs accurately and discriminate them from artifacts. There have been technical improvements in detecting HFOs by developing various detection algorithms. Still, there is a difficult issue on discriminating clinically important HFOs among detected HFOs, where both quantitative and subjective approaches are suggested. This paper is a review on published HFO studies focused on clinical findings and detection techniques of HFOs as well as tips for clinical applications.","author":[{"dropping-particle":"","family":"Park","given":"Chae Jung","non-dropping-particle":"","parse-names":false,"suffix":""},{"dropping-particle":"","family":"Hong","given":"Seung Bong","non-dropping-particle":"","parse-names":false,"suffix":""}],"container-title":"Journal of Epilepsy Research","id":"ITEM-1","issue":"1","issued":{"date-parts":[["2019"]]},"page":"1-13","title":"High Frequency Oscillations in Epilepsy: Detection Methods and Considerations in Clinical Application","type":"article-journal","volume":"9"},"uris":["http://www.mendeley.com/documents/?uuid=2ab5b31a-6af2-424a-be4f-76fad9c2ebcf"]}],"mendeley":{"formattedCitation":"(Park &amp; Hong, 2019)","plainTextFormattedCitation":"(Park &amp; Hong, 2019)","previouslyFormattedCitation":"(Park &amp; Hong, 2019)"},"properties":{"noteIndex":0},"schema":"https://github.com/citation-style-language/schema/raw/master/csl-citation.json"}</w:instrText>
      </w:r>
      <w:r w:rsidRPr="000B58DB">
        <w:rPr>
          <w:sz w:val="24"/>
          <w:szCs w:val="24"/>
        </w:rPr>
        <w:fldChar w:fldCharType="separate"/>
      </w:r>
      <w:r w:rsidRPr="000B58DB">
        <w:rPr>
          <w:noProof/>
          <w:sz w:val="24"/>
          <w:szCs w:val="24"/>
        </w:rPr>
        <w:t>(Park &amp; Hong, 2019)</w:t>
      </w:r>
      <w:r w:rsidRPr="000B58DB">
        <w:rPr>
          <w:sz w:val="24"/>
          <w:szCs w:val="24"/>
        </w:rPr>
        <w:fldChar w:fldCharType="end"/>
      </w:r>
      <w:r w:rsidRPr="000B58DB">
        <w:rPr>
          <w:sz w:val="24"/>
          <w:szCs w:val="24"/>
        </w:rPr>
        <w:t xml:space="preserve">. Another important factor is the epoch length, i.e. the time window of the ongoing EEG extracted from the signal, time-locked to the stimulus onset. This depends on the latency of the studied ERPs. Each epoch contains a baseline, which is a piece of the signal recorded a few hundred milliseconds before the onset of the stimulus, and then its mean value (typically around 100-300 ms) is subtracted from each data point post-stimulus in the process of baseline correction </w:t>
      </w:r>
      <w:r w:rsidRPr="000B58DB">
        <w:rPr>
          <w:sz w:val="24"/>
          <w:szCs w:val="24"/>
        </w:rPr>
        <w:fldChar w:fldCharType="begin" w:fldLock="1"/>
      </w:r>
      <w:r w:rsidRPr="000B58DB">
        <w:rPr>
          <w:sz w:val="24"/>
          <w:szCs w:val="24"/>
        </w:rPr>
        <w:instrText>ADDIN CSL_CITATION {"citationItems":[{"id":"ITEM-1","itemData":{"ISBN":"9780262525855","edition":"2","editor":[{"dropping-particle":"","family":"Luck","given":"Steven J.","non-dropping-particle":"","parse-names":false,"suffix":""}],"id":"ITEM-1","issued":{"date-parts":[["2014"]]},"number-of-pages":"406","publisher":"The MIT Press","publisher-place":"Cambridge, USA","title":"An Introduction to the Event-Related Potential Technique","type":"book"},"uris":["http://www.mendeley.com/documents/?uuid=4d7bacf4-fbfa-4256-8fb8-9517e29659c3"]},{"id":"ITEM-2","itemData":{"DOI":"10.1016/j.clinph.2007.04.019","abstract":"The empirical and theoretical development of the P300 event-related brain potential (ERP) is reviewed by considering factors that contribute to its amplitude, latency, and general characteristics. The neuropsychological origins of the P3a and P3b subcomponents are detailed, and how target/standard discrimination difficulty modulates scalp topography is discussed. The neural loci of P3a and P3b generation are outlined, and a cognitive model is proffered: P3a originates from stimulus-driven frontal attention mechanisms during task processing, whereas P3b originates from temporal-parietal activity associated with attention and appears related to subsequent memory processing. Neurotransmitter actions associating P3a to frontal/dopaminergic and P3b to parietal/norepinephrine pathways are highlighted. Neuroinhibition is suggested as an overarching theoretical mechanism for P300, which is elicited when stimulus detection engages memory operations.","author":[{"dropping-particle":"","family":"Polich","given":"John","non-dropping-particle":"","parse-names":false,"suffix":""}],"container-title":"Clinical Neurophysiology","id":"ITEM-2","issue":"10","issued":{"date-parts":[["2007"]]},"page":"2128-2148","title":"Updating P300: An Integrative Theory of P3a and P3b","type":"article-journal","volume":"118"},"uris":["http://www.mendeley.com/documents/?uuid=8d077e02-bff5-499f-8d31-ddb3a87dfff8"]}],"mendeley":{"formattedCitation":"(Luck, 2014; Polich, 2007)","plainTextFormattedCitation":"(Luck, 2014; Polich, 2007)","previouslyFormattedCitation":"(Luck, 2014; Polich, 2007)"},"properties":{"noteIndex":0},"schema":"https://github.com/citation-style-language/schema/raw/master/csl-citation.json"}</w:instrText>
      </w:r>
      <w:r w:rsidRPr="000B58DB">
        <w:rPr>
          <w:sz w:val="24"/>
          <w:szCs w:val="24"/>
        </w:rPr>
        <w:fldChar w:fldCharType="separate"/>
      </w:r>
      <w:r w:rsidRPr="000B58DB">
        <w:rPr>
          <w:noProof/>
          <w:sz w:val="24"/>
          <w:szCs w:val="24"/>
        </w:rPr>
        <w:t>(Luck, 2014; Polich, 2007)</w:t>
      </w:r>
      <w:r w:rsidRPr="000B58DB">
        <w:rPr>
          <w:sz w:val="24"/>
          <w:szCs w:val="24"/>
        </w:rPr>
        <w:fldChar w:fldCharType="end"/>
      </w:r>
      <w:r w:rsidRPr="000B58DB">
        <w:rPr>
          <w:sz w:val="24"/>
          <w:szCs w:val="24"/>
        </w:rPr>
        <w:t xml:space="preserve">. Here, the epoch was from -200 to 800 ms, which, having a 256 Hz sampling rate, gives 256 data points per epoch. Attention-related ERPs are typically elicited in an oddball paradigm, where the participant is presented with a series of stimuli from two categories: standard (around 80% of all the trials) and targets (20% of all trials), and is instructed to focus their attention on the targets </w:t>
      </w:r>
      <w:r w:rsidRPr="000B58DB">
        <w:rPr>
          <w:sz w:val="24"/>
          <w:szCs w:val="24"/>
        </w:rPr>
        <w:fldChar w:fldCharType="begin" w:fldLock="1"/>
      </w:r>
      <w:r w:rsidRPr="000B58DB">
        <w:rPr>
          <w:sz w:val="24"/>
          <w:szCs w:val="24"/>
        </w:rPr>
        <w:instrText>ADDIN CSL_CITATION {"citationItems":[{"id":"ITEM-1","itemData":{"DOI":"10.1016/j.clinph.2007.04.019","abstract":"The empirical and theoretical development of the P300 event-related brain potential (ERP) is reviewed by considering factors that contribute to its amplitude, latency, and general characteristics. The neuropsychological origins of the P3a and P3b subcomponents are detailed, and how target/standard discrimination difficulty modulates scalp topography is discussed. The neural loci of P3a and P3b generation are outlined, and a cognitive model is proffered: P3a originates from stimulus-driven frontal attention mechanisms during task processing, whereas P3b originates from temporal-parietal activity associated with attention and appears related to subsequent memory processing. Neurotransmitter actions associating P3a to frontal/dopaminergic and P3b to parietal/norepinephrine pathways are highlighted. Neuroinhibition is suggested as an overarching theoretical mechanism for P300, which is elicited when stimulus detection engages memory operations.","author":[{"dropping-particle":"","family":"Polich","given":"John","non-dropping-particle":"","parse-names":false,"suffix":""}],"container-title":"Clinical Neurophysiology","id":"ITEM-1","issue":"10","issued":{"date-parts":[["2007"]]},"page":"2128-2148","title":"Updating P300: An Integrative Theory of P3a and P3b","type":"article-journal","volume":"118"},"uris":["http://www.mendeley.com/documents/?uuid=8d077e02-bff5-499f-8d31-ddb3a87dfff8"]}],"mendeley":{"formattedCitation":"(Polich, 2007)","plainTextFormattedCitation":"(Polich, 2007)","previouslyFormattedCitation":"(Polich, 2007)"},"properties":{"noteIndex":0},"schema":"https://github.com/citation-style-language/schema/raw/master/csl-citation.json"}</w:instrText>
      </w:r>
      <w:r w:rsidRPr="000B58DB">
        <w:rPr>
          <w:sz w:val="24"/>
          <w:szCs w:val="24"/>
        </w:rPr>
        <w:fldChar w:fldCharType="separate"/>
      </w:r>
      <w:r w:rsidRPr="000B58DB">
        <w:rPr>
          <w:noProof/>
          <w:sz w:val="24"/>
          <w:szCs w:val="24"/>
        </w:rPr>
        <w:t>(Polich, 2007)</w:t>
      </w:r>
      <w:r w:rsidRPr="000B58DB">
        <w:rPr>
          <w:sz w:val="24"/>
          <w:szCs w:val="24"/>
        </w:rPr>
        <w:fldChar w:fldCharType="end"/>
      </w:r>
      <w:r w:rsidRPr="000B58DB">
        <w:rPr>
          <w:sz w:val="24"/>
          <w:szCs w:val="24"/>
        </w:rPr>
        <w:t>. In this study, only targets were analyzed and their number before the data pre-processing was 60. Taking all these factors into account, the dataset size in this study is 30 channels x 256 data points x 60 trials x 3 runs x 47 participants.</w:t>
      </w:r>
    </w:p>
    <w:p w14:paraId="7C286144" w14:textId="77777777" w:rsidR="006A3B01" w:rsidRDefault="006A3B01"/>
    <w:sectPr w:rsidR="006A3B01" w:rsidSect="00321C6D">
      <w:footnotePr>
        <w:numRestart w:val="eachSect"/>
      </w:footnotePr>
      <w:pgSz w:w="12240" w:h="15840"/>
      <w:pgMar w:top="1418" w:right="1418" w:bottom="1418" w:left="1418" w:header="431" w:footer="431"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hyphenationZone w:val="425"/>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C6D"/>
    <w:rsid w:val="00321C6D"/>
    <w:rsid w:val="00326754"/>
    <w:rsid w:val="0037262C"/>
    <w:rsid w:val="00380558"/>
    <w:rsid w:val="00452E48"/>
    <w:rsid w:val="006A3B01"/>
    <w:rsid w:val="00732C30"/>
    <w:rsid w:val="00881A0E"/>
    <w:rsid w:val="008F28D1"/>
    <w:rsid w:val="00F629A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8EDD0D"/>
  <w15:chartTrackingRefBased/>
  <w15:docId w15:val="{CB40384E-B9DC-43B7-AEA5-93472077C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C6D"/>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321C6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21C6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21C6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21C6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321C6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321C6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321C6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321C6D"/>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321C6D"/>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1C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1C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1C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1C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1C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1C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1C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1C6D"/>
    <w:rPr>
      <w:rFonts w:eastAsiaTheme="majorEastAsia" w:cstheme="majorBidi"/>
      <w:color w:val="272727" w:themeColor="text1" w:themeTint="D8"/>
    </w:rPr>
  </w:style>
  <w:style w:type="paragraph" w:styleId="Title">
    <w:name w:val="Title"/>
    <w:basedOn w:val="Normal"/>
    <w:next w:val="Normal"/>
    <w:link w:val="TitleChar"/>
    <w:uiPriority w:val="10"/>
    <w:qFormat/>
    <w:rsid w:val="00321C6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21C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1C6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21C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1C6D"/>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321C6D"/>
    <w:rPr>
      <w:i/>
      <w:iCs/>
      <w:color w:val="404040" w:themeColor="text1" w:themeTint="BF"/>
    </w:rPr>
  </w:style>
  <w:style w:type="paragraph" w:styleId="ListParagraph">
    <w:name w:val="List Paragraph"/>
    <w:basedOn w:val="Normal"/>
    <w:uiPriority w:val="34"/>
    <w:qFormat/>
    <w:rsid w:val="00321C6D"/>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321C6D"/>
    <w:rPr>
      <w:i/>
      <w:iCs/>
      <w:color w:val="0F4761" w:themeColor="accent1" w:themeShade="BF"/>
    </w:rPr>
  </w:style>
  <w:style w:type="paragraph" w:styleId="IntenseQuote">
    <w:name w:val="Intense Quote"/>
    <w:basedOn w:val="Normal"/>
    <w:next w:val="Normal"/>
    <w:link w:val="IntenseQuoteChar"/>
    <w:uiPriority w:val="30"/>
    <w:qFormat/>
    <w:rsid w:val="00321C6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321C6D"/>
    <w:rPr>
      <w:i/>
      <w:iCs/>
      <w:color w:val="0F4761" w:themeColor="accent1" w:themeShade="BF"/>
    </w:rPr>
  </w:style>
  <w:style w:type="character" w:styleId="IntenseReference">
    <w:name w:val="Intense Reference"/>
    <w:basedOn w:val="DefaultParagraphFont"/>
    <w:uiPriority w:val="32"/>
    <w:qFormat/>
    <w:rsid w:val="00321C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9076</Characters>
  <Application>Microsoft Office Word</Application>
  <DocSecurity>0</DocSecurity>
  <Lines>141</Lines>
  <Paragraphs>23</Paragraphs>
  <ScaleCrop>false</ScaleCrop>
  <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Maciejewska</dc:creator>
  <cp:keywords/>
  <dc:description/>
  <cp:lastModifiedBy>Karina Maciejewska</cp:lastModifiedBy>
  <cp:revision>1</cp:revision>
  <dcterms:created xsi:type="dcterms:W3CDTF">2024-12-03T20:49:00Z</dcterms:created>
  <dcterms:modified xsi:type="dcterms:W3CDTF">2024-12-03T20:50:00Z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c8dac796-75d4-4961-a2a3-cac0154f06ca</vt:lpwstr>
  </property>
</Properties>
</file>