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6D3376DB" w14:textId="77777777" w:rsidR="00491696" w:rsidRPr="00536400" w:rsidRDefault="00491696" w:rsidP="00491696">
      <w:pPr>
        <w:spacing w:before="0"/>
        <w:rPr>
          <w:rFonts w:cs="Times New Roman"/>
          <w:bCs/>
          <w:iCs/>
          <w:szCs w:val="24"/>
        </w:rPr>
      </w:pPr>
      <w:r w:rsidRPr="00536400">
        <w:rPr>
          <w:rFonts w:cs="Times New Roman"/>
          <w:bCs/>
          <w:iCs/>
          <w:szCs w:val="24"/>
        </w:rPr>
        <w:t>Nathan C. Healey</w:t>
      </w:r>
      <w:r w:rsidRPr="00536400">
        <w:rPr>
          <w:rFonts w:cs="Times New Roman"/>
          <w:bCs/>
          <w:iCs/>
          <w:szCs w:val="24"/>
          <w:vertAlign w:val="superscript"/>
        </w:rPr>
        <w:t>1*</w:t>
      </w:r>
      <w:r w:rsidRPr="00536400">
        <w:rPr>
          <w:rFonts w:cs="Times New Roman"/>
          <w:bCs/>
          <w:iCs/>
          <w:szCs w:val="24"/>
        </w:rPr>
        <w:t>, Christopher P. Barber</w:t>
      </w:r>
      <w:r w:rsidRPr="00536400">
        <w:rPr>
          <w:rFonts w:cs="Times New Roman"/>
          <w:bCs/>
          <w:iCs/>
          <w:szCs w:val="24"/>
          <w:vertAlign w:val="superscript"/>
        </w:rPr>
        <w:t>2</w:t>
      </w:r>
      <w:r w:rsidRPr="00536400">
        <w:rPr>
          <w:rFonts w:cs="Times New Roman"/>
          <w:bCs/>
          <w:iCs/>
          <w:szCs w:val="24"/>
        </w:rPr>
        <w:t xml:space="preserve">, </w:t>
      </w:r>
      <w:proofErr w:type="spellStart"/>
      <w:r w:rsidRPr="00536400">
        <w:rPr>
          <w:rFonts w:cs="Times New Roman"/>
          <w:bCs/>
          <w:iCs/>
          <w:szCs w:val="24"/>
        </w:rPr>
        <w:t>Kelcy</w:t>
      </w:r>
      <w:proofErr w:type="spellEnd"/>
      <w:r w:rsidRPr="00536400">
        <w:rPr>
          <w:rFonts w:cs="Times New Roman"/>
          <w:bCs/>
          <w:iCs/>
          <w:szCs w:val="24"/>
        </w:rPr>
        <w:t xml:space="preserve"> Smith</w:t>
      </w:r>
      <w:r w:rsidRPr="00536400">
        <w:rPr>
          <w:rFonts w:cs="Times New Roman"/>
          <w:bCs/>
          <w:iCs/>
          <w:szCs w:val="24"/>
          <w:vertAlign w:val="superscript"/>
        </w:rPr>
        <w:t>1</w:t>
      </w:r>
      <w:r w:rsidRPr="00536400">
        <w:rPr>
          <w:rFonts w:cs="Times New Roman"/>
          <w:bCs/>
          <w:iCs/>
          <w:szCs w:val="24"/>
        </w:rPr>
        <w:t>, Rohan Mital</w:t>
      </w:r>
      <w:r w:rsidRPr="00536400">
        <w:rPr>
          <w:rFonts w:cs="Times New Roman"/>
          <w:bCs/>
          <w:iCs/>
          <w:szCs w:val="24"/>
          <w:vertAlign w:val="superscript"/>
        </w:rPr>
        <w:t>1</w:t>
      </w:r>
      <w:r w:rsidRPr="00536400">
        <w:rPr>
          <w:rFonts w:cs="Times New Roman"/>
          <w:bCs/>
          <w:iCs/>
          <w:szCs w:val="24"/>
        </w:rPr>
        <w:t xml:space="preserve">, </w:t>
      </w:r>
      <w:proofErr w:type="spellStart"/>
      <w:r w:rsidRPr="00536400">
        <w:rPr>
          <w:rFonts w:cs="Times New Roman"/>
          <w:bCs/>
          <w:iCs/>
          <w:szCs w:val="24"/>
        </w:rPr>
        <w:t>Jesslyn</w:t>
      </w:r>
      <w:proofErr w:type="spellEnd"/>
      <w:r w:rsidRPr="00536400">
        <w:rPr>
          <w:rFonts w:cs="Times New Roman"/>
          <w:bCs/>
          <w:iCs/>
          <w:szCs w:val="24"/>
        </w:rPr>
        <w:t xml:space="preserve"> F. Brown</w:t>
      </w:r>
      <w:r w:rsidRPr="00536400">
        <w:rPr>
          <w:rFonts w:cs="Times New Roman"/>
          <w:bCs/>
          <w:iCs/>
          <w:szCs w:val="24"/>
          <w:vertAlign w:val="superscript"/>
        </w:rPr>
        <w:t>2</w:t>
      </w:r>
      <w:r w:rsidRPr="00536400">
        <w:rPr>
          <w:rFonts w:cs="Times New Roman"/>
          <w:bCs/>
          <w:iCs/>
          <w:szCs w:val="24"/>
        </w:rPr>
        <w:t>, Charles Robison</w:t>
      </w:r>
      <w:r w:rsidRPr="00536400">
        <w:rPr>
          <w:rFonts w:cs="Times New Roman"/>
          <w:bCs/>
          <w:iCs/>
          <w:szCs w:val="24"/>
          <w:vertAlign w:val="superscript"/>
        </w:rPr>
        <w:t>1</w:t>
      </w:r>
    </w:p>
    <w:p w14:paraId="6A63A2DF" w14:textId="77777777" w:rsidR="00491696" w:rsidRPr="00536400" w:rsidRDefault="00491696" w:rsidP="00491696">
      <w:pPr>
        <w:spacing w:before="0"/>
        <w:rPr>
          <w:rFonts w:cs="Times New Roman"/>
          <w:bCs/>
          <w:iCs/>
          <w:szCs w:val="24"/>
        </w:rPr>
      </w:pPr>
      <w:r w:rsidRPr="00536400">
        <w:rPr>
          <w:rFonts w:cs="Times New Roman"/>
          <w:bCs/>
          <w:iCs/>
          <w:szCs w:val="24"/>
        </w:rPr>
        <w:t xml:space="preserve">1 KBR, Inc. contractor to the U.S. Geological Survey, Earth Resources Observation and Science (EROS) Center, Sioux Falls, South Dakota, USA </w:t>
      </w:r>
    </w:p>
    <w:p w14:paraId="0B6C33D6" w14:textId="77777777" w:rsidR="00491696" w:rsidRPr="00536400" w:rsidRDefault="00491696" w:rsidP="00491696">
      <w:pPr>
        <w:spacing w:before="0"/>
        <w:rPr>
          <w:rFonts w:cs="Times New Roman"/>
          <w:bCs/>
          <w:iCs/>
          <w:szCs w:val="24"/>
        </w:rPr>
      </w:pPr>
      <w:r w:rsidRPr="00536400">
        <w:rPr>
          <w:rFonts w:cs="Times New Roman"/>
          <w:bCs/>
          <w:iCs/>
          <w:szCs w:val="24"/>
        </w:rPr>
        <w:t xml:space="preserve">2 U.S. Geological Survey, Earth Resources Observation and Science (EROS) Center, Sioux Falls, South Dakota, USA </w:t>
      </w:r>
    </w:p>
    <w:p w14:paraId="510D3EA8" w14:textId="77777777" w:rsidR="00491696" w:rsidRPr="00536400" w:rsidRDefault="00491696" w:rsidP="00491696">
      <w:pPr>
        <w:spacing w:before="0" w:after="0"/>
        <w:rPr>
          <w:rFonts w:cs="Times New Roman"/>
          <w:bCs/>
          <w:iCs/>
          <w:szCs w:val="24"/>
        </w:rPr>
      </w:pPr>
      <w:r w:rsidRPr="00536400">
        <w:rPr>
          <w:rFonts w:cs="Times New Roman"/>
          <w:bCs/>
          <w:iCs/>
          <w:szCs w:val="24"/>
        </w:rPr>
        <w:t xml:space="preserve">* Correspondence: </w:t>
      </w:r>
    </w:p>
    <w:p w14:paraId="0429896D" w14:textId="77777777" w:rsidR="00491696" w:rsidRPr="00904A24" w:rsidRDefault="00491696" w:rsidP="00491696">
      <w:pPr>
        <w:spacing w:before="0"/>
        <w:rPr>
          <w:rFonts w:cs="Times New Roman"/>
          <w:i/>
          <w:szCs w:val="24"/>
        </w:rPr>
      </w:pPr>
      <w:r w:rsidRPr="00536400">
        <w:rPr>
          <w:rFonts w:cs="Times New Roman"/>
          <w:bCs/>
          <w:iCs/>
          <w:szCs w:val="24"/>
        </w:rPr>
        <w:t>nhealey@contractor.usgs.gov</w:t>
      </w:r>
      <w:r>
        <w:rPr>
          <w:rFonts w:cs="Times New Roman"/>
          <w:b/>
          <w:i/>
          <w:szCs w:val="24"/>
        </w:rPr>
        <w:tab/>
      </w:r>
      <w:r>
        <w:rPr>
          <w:rFonts w:cs="Times New Roman"/>
          <w:b/>
          <w:i/>
          <w:szCs w:val="24"/>
        </w:rPr>
        <w:tab/>
      </w:r>
    </w:p>
    <w:p w14:paraId="4889DEA2" w14:textId="77777777" w:rsidR="00491696" w:rsidRPr="00904A24" w:rsidRDefault="00491696" w:rsidP="00491696">
      <w:pPr>
        <w:numPr>
          <w:ilvl w:val="0"/>
          <w:numId w:val="21"/>
        </w:numPr>
        <w:rPr>
          <w:rFonts w:cs="Times New Roman"/>
          <w:b/>
          <w:szCs w:val="24"/>
        </w:rPr>
      </w:pPr>
      <w:r w:rsidRPr="00904A24">
        <w:rPr>
          <w:rFonts w:cs="Times New Roman"/>
          <w:b/>
          <w:szCs w:val="24"/>
        </w:rPr>
        <w:t>Supplementary Data</w:t>
      </w:r>
    </w:p>
    <w:p w14:paraId="6C2EC3FE" w14:textId="77777777" w:rsidR="00491696" w:rsidRPr="00904A24" w:rsidRDefault="00491696" w:rsidP="00491696">
      <w:pPr>
        <w:rPr>
          <w:rFonts w:cs="Times New Roman"/>
          <w:b/>
          <w:bCs/>
          <w:szCs w:val="24"/>
        </w:rPr>
      </w:pPr>
      <w:r w:rsidRPr="00904A24">
        <w:rPr>
          <w:rFonts w:cs="Times New Roman"/>
          <w:b/>
          <w:bCs/>
          <w:szCs w:val="24"/>
        </w:rPr>
        <w:t>Land cover class definitions (</w:t>
      </w:r>
      <w:r w:rsidRPr="00617DF8">
        <w:rPr>
          <w:rFonts w:cs="Times New Roman"/>
          <w:b/>
          <w:bCs/>
          <w:szCs w:val="24"/>
        </w:rPr>
        <w:t>USGS, 2020</w:t>
      </w:r>
      <w:r w:rsidRPr="00904A24">
        <w:rPr>
          <w:rFonts w:cs="Times New Roman"/>
          <w:b/>
          <w:bCs/>
          <w:szCs w:val="24"/>
        </w:rPr>
        <w:t>)</w:t>
      </w:r>
    </w:p>
    <w:p w14:paraId="5921CAA1" w14:textId="77777777" w:rsidR="00491696" w:rsidRPr="00904A24" w:rsidRDefault="00491696" w:rsidP="00491696">
      <w:pPr>
        <w:rPr>
          <w:rFonts w:cs="Times New Roman"/>
          <w:szCs w:val="24"/>
        </w:rPr>
      </w:pPr>
      <w:r w:rsidRPr="00904A24">
        <w:rPr>
          <w:rFonts w:cs="Times New Roman"/>
          <w:szCs w:val="24"/>
        </w:rPr>
        <w:t xml:space="preserve">Developed – Areas of intensive use with much of the land covered with structures (e.g., high density residential, commercial, industrial, or transportation), or less intensive uses where the land cover matrix includes vegetation, bare ground, and structures (e.g., low density residential, recreational facilities, cemeteries, </w:t>
      </w:r>
      <w:r>
        <w:rPr>
          <w:rFonts w:cs="Times New Roman"/>
          <w:szCs w:val="24"/>
        </w:rPr>
        <w:t xml:space="preserve">or </w:t>
      </w:r>
      <w:r w:rsidRPr="00904A24">
        <w:rPr>
          <w:rFonts w:cs="Times New Roman"/>
          <w:szCs w:val="24"/>
        </w:rPr>
        <w:t>transportation/utility corridors), including any land functionally related to the developed or built-up activity.</w:t>
      </w:r>
    </w:p>
    <w:p w14:paraId="006756F0" w14:textId="77777777" w:rsidR="00491696" w:rsidRPr="00904A24" w:rsidRDefault="00491696" w:rsidP="00491696">
      <w:pPr>
        <w:rPr>
          <w:rFonts w:cs="Times New Roman"/>
          <w:szCs w:val="24"/>
        </w:rPr>
      </w:pPr>
      <w:r w:rsidRPr="00904A24">
        <w:rPr>
          <w:rFonts w:cs="Times New Roman"/>
          <w:szCs w:val="24"/>
        </w:rPr>
        <w:t>Cropland – Land in either a vegetated or unvegetated state used in production of food, fiber, and fuels. This includes cultivated and uncultivated croplands, hay lands, orchards, vineyards, and confined livestock operations. Forest plantations are considered as forests or woodlands (Tree Cover class) regardless of the use of the wood products.</w:t>
      </w:r>
    </w:p>
    <w:p w14:paraId="177EDD80" w14:textId="77777777" w:rsidR="00491696" w:rsidRPr="00904A24" w:rsidRDefault="00491696" w:rsidP="00491696">
      <w:pPr>
        <w:rPr>
          <w:rFonts w:cs="Times New Roman"/>
          <w:szCs w:val="24"/>
        </w:rPr>
      </w:pPr>
      <w:r w:rsidRPr="00904A24">
        <w:rPr>
          <w:rFonts w:cs="Times New Roman"/>
          <w:szCs w:val="24"/>
        </w:rPr>
        <w:t>Grass/Shrub – Land predominantly covered with shrubs and perennial or annual natural and domesticated grasses (e.g., pasture), forbs, or other forms of herbaceous vegetation. The grass and shrub cover must comprise at least 10% of the area</w:t>
      </w:r>
      <w:r>
        <w:rPr>
          <w:rFonts w:cs="Times New Roman"/>
          <w:szCs w:val="24"/>
        </w:rPr>
        <w:t>,</w:t>
      </w:r>
      <w:r w:rsidRPr="00904A24">
        <w:rPr>
          <w:rFonts w:cs="Times New Roman"/>
          <w:szCs w:val="24"/>
        </w:rPr>
        <w:t xml:space="preserve"> and tree cover is less than 10% of the area. </w:t>
      </w:r>
    </w:p>
    <w:p w14:paraId="790446B3" w14:textId="77777777" w:rsidR="00491696" w:rsidRPr="00904A24" w:rsidRDefault="00491696" w:rsidP="00491696">
      <w:pPr>
        <w:rPr>
          <w:rFonts w:cs="Times New Roman"/>
          <w:szCs w:val="24"/>
        </w:rPr>
      </w:pPr>
      <w:r w:rsidRPr="00904A24">
        <w:rPr>
          <w:rFonts w:cs="Times New Roman"/>
          <w:szCs w:val="24"/>
        </w:rPr>
        <w:t>Tree Cover – Tree-covered land where the tree cover density is greater than 10%. Cleared or harvested trees (i.e., clearcuts) will be mapped according to current cover (e.g., Barren, Grass/Shrub).</w:t>
      </w:r>
    </w:p>
    <w:p w14:paraId="34192903" w14:textId="77777777" w:rsidR="00491696" w:rsidRPr="00904A24" w:rsidRDefault="00491696" w:rsidP="00491696">
      <w:pPr>
        <w:rPr>
          <w:rFonts w:cs="Times New Roman"/>
          <w:szCs w:val="24"/>
        </w:rPr>
      </w:pPr>
      <w:r w:rsidRPr="00904A24">
        <w:rPr>
          <w:rFonts w:cs="Times New Roman"/>
          <w:szCs w:val="24"/>
        </w:rPr>
        <w:t>Water – Areas covered with water, such as streams, canals, lakes, reservoirs, bays, or oceans.</w:t>
      </w:r>
    </w:p>
    <w:p w14:paraId="44471801" w14:textId="77777777" w:rsidR="00491696" w:rsidRPr="00904A24" w:rsidRDefault="00491696" w:rsidP="00491696">
      <w:pPr>
        <w:rPr>
          <w:rFonts w:cs="Times New Roman"/>
          <w:szCs w:val="24"/>
        </w:rPr>
      </w:pPr>
      <w:r w:rsidRPr="00904A24">
        <w:rPr>
          <w:rFonts w:cs="Times New Roman"/>
          <w:szCs w:val="24"/>
        </w:rPr>
        <w:t>Wetland – Lands where water saturation is the determining factor in soil characteristics, vegetation types, and animal communities. Wetlands are comprised of mosaics of water, bare soil, and herbaceous or wooded vegetated cover.</w:t>
      </w:r>
    </w:p>
    <w:p w14:paraId="7670B5E0" w14:textId="77777777" w:rsidR="00491696" w:rsidRPr="00904A24" w:rsidRDefault="00491696" w:rsidP="00491696">
      <w:pPr>
        <w:rPr>
          <w:rFonts w:cs="Times New Roman"/>
          <w:szCs w:val="24"/>
        </w:rPr>
      </w:pPr>
      <w:r w:rsidRPr="00904A24">
        <w:rPr>
          <w:rFonts w:cs="Times New Roman"/>
          <w:szCs w:val="24"/>
        </w:rPr>
        <w:t>Ice/Snow – Land where accumulated snow and ice does not completely melt during the summer period (i.e., perennial ice/snow).</w:t>
      </w:r>
    </w:p>
    <w:p w14:paraId="5CFE5892" w14:textId="77777777" w:rsidR="00491696" w:rsidRPr="00904A24" w:rsidRDefault="00491696" w:rsidP="00491696">
      <w:pPr>
        <w:rPr>
          <w:rFonts w:cs="Times New Roman"/>
          <w:szCs w:val="24"/>
          <w:lang w:val="en-GB"/>
        </w:rPr>
      </w:pPr>
      <w:r w:rsidRPr="00904A24">
        <w:rPr>
          <w:rFonts w:cs="Times New Roman"/>
          <w:szCs w:val="24"/>
        </w:rPr>
        <w:t>Barren – Land comprised of natural occurrences of soils, sand, or rocks where less than 10% of the area is vegetated</w:t>
      </w:r>
      <w:r w:rsidRPr="00904A24">
        <w:rPr>
          <w:rFonts w:cs="Times New Roman"/>
          <w:szCs w:val="24"/>
          <w:lang w:val="en-GB"/>
        </w:rPr>
        <w:t xml:space="preserve">. </w:t>
      </w:r>
    </w:p>
    <w:p w14:paraId="2498BF2B" w14:textId="77777777" w:rsidR="00491696" w:rsidRDefault="00491696" w:rsidP="00491696">
      <w:pPr>
        <w:numPr>
          <w:ilvl w:val="0"/>
          <w:numId w:val="21"/>
        </w:numPr>
        <w:rPr>
          <w:rFonts w:cs="Times New Roman"/>
          <w:b/>
          <w:szCs w:val="24"/>
        </w:rPr>
      </w:pPr>
      <w:r w:rsidRPr="00904A24">
        <w:rPr>
          <w:rFonts w:cs="Times New Roman"/>
          <w:b/>
          <w:szCs w:val="24"/>
        </w:rPr>
        <w:lastRenderedPageBreak/>
        <w:t>Supplementary Figures</w:t>
      </w:r>
    </w:p>
    <w:p w14:paraId="12EA9E34" w14:textId="77777777" w:rsidR="00491696" w:rsidRPr="002A5732" w:rsidRDefault="00491696" w:rsidP="00491696">
      <w:pPr>
        <w:rPr>
          <w:rFonts w:cs="Times New Roman"/>
          <w:bCs/>
          <w:szCs w:val="24"/>
        </w:rPr>
      </w:pPr>
      <w:r>
        <w:rPr>
          <w:rFonts w:cs="Times New Roman"/>
          <w:bCs/>
          <w:szCs w:val="24"/>
        </w:rPr>
        <w:t>P</w:t>
      </w:r>
      <w:r w:rsidRPr="002A5732">
        <w:rPr>
          <w:rFonts w:cs="Times New Roman"/>
          <w:bCs/>
          <w:szCs w:val="24"/>
        </w:rPr>
        <w:t xml:space="preserve">re-packaged and pre-processed Landsat data </w:t>
      </w:r>
      <w:r>
        <w:rPr>
          <w:rFonts w:cs="Times New Roman"/>
          <w:bCs/>
          <w:szCs w:val="24"/>
        </w:rPr>
        <w:t>from the USGS called the</w:t>
      </w:r>
      <w:r w:rsidRPr="002A5732">
        <w:rPr>
          <w:rFonts w:cs="Times New Roman"/>
          <w:bCs/>
          <w:szCs w:val="24"/>
        </w:rPr>
        <w:t xml:space="preserve"> U.S. Landsat ARD (referred to as “ARD”) </w:t>
      </w:r>
      <w:r>
        <w:rPr>
          <w:rFonts w:cs="Times New Roman"/>
          <w:bCs/>
          <w:szCs w:val="24"/>
        </w:rPr>
        <w:t>which provide data for the following supplementary figures include data from</w:t>
      </w:r>
      <w:r w:rsidRPr="002A5732">
        <w:rPr>
          <w:rFonts w:cs="Times New Roman"/>
          <w:bCs/>
          <w:szCs w:val="24"/>
        </w:rPr>
        <w:t xml:space="preserve"> the Landsat archive </w:t>
      </w:r>
      <w:r>
        <w:rPr>
          <w:rFonts w:cs="Times New Roman"/>
          <w:bCs/>
          <w:szCs w:val="24"/>
        </w:rPr>
        <w:t>which covers the years</w:t>
      </w:r>
      <w:r w:rsidRPr="002A5732">
        <w:rPr>
          <w:rFonts w:cs="Times New Roman"/>
          <w:bCs/>
          <w:szCs w:val="24"/>
        </w:rPr>
        <w:t xml:space="preserve"> 198</w:t>
      </w:r>
      <w:r>
        <w:rPr>
          <w:rFonts w:cs="Times New Roman"/>
          <w:bCs/>
          <w:szCs w:val="24"/>
        </w:rPr>
        <w:t>2</w:t>
      </w:r>
      <w:r w:rsidRPr="002A5732">
        <w:rPr>
          <w:rFonts w:cs="Times New Roman"/>
          <w:bCs/>
          <w:szCs w:val="24"/>
        </w:rPr>
        <w:t>-present (Dwyer et al., 2018).</w:t>
      </w:r>
      <w:r>
        <w:rPr>
          <w:rFonts w:cs="Times New Roman"/>
          <w:bCs/>
          <w:szCs w:val="24"/>
        </w:rPr>
        <w:t xml:space="preserve"> R</w:t>
      </w:r>
      <w:r w:rsidRPr="002A5732">
        <w:rPr>
          <w:rFonts w:cs="Times New Roman"/>
          <w:bCs/>
          <w:szCs w:val="24"/>
        </w:rPr>
        <w:t>eprojected (U</w:t>
      </w:r>
      <w:r>
        <w:rPr>
          <w:rFonts w:cs="Times New Roman"/>
          <w:bCs/>
          <w:szCs w:val="24"/>
        </w:rPr>
        <w:t xml:space="preserve">niversal </w:t>
      </w:r>
      <w:r w:rsidRPr="002A5732">
        <w:rPr>
          <w:rFonts w:cs="Times New Roman"/>
          <w:bCs/>
          <w:szCs w:val="24"/>
        </w:rPr>
        <w:t>T</w:t>
      </w:r>
      <w:r>
        <w:rPr>
          <w:rFonts w:cs="Times New Roman"/>
          <w:bCs/>
          <w:szCs w:val="24"/>
        </w:rPr>
        <w:t xml:space="preserve">ransverse </w:t>
      </w:r>
      <w:r w:rsidRPr="002A5732">
        <w:rPr>
          <w:rFonts w:cs="Times New Roman"/>
          <w:bCs/>
          <w:szCs w:val="24"/>
        </w:rPr>
        <w:t>M</w:t>
      </w:r>
      <w:r>
        <w:rPr>
          <w:rFonts w:cs="Times New Roman"/>
          <w:bCs/>
          <w:szCs w:val="24"/>
        </w:rPr>
        <w:t>ercator (UTM)</w:t>
      </w:r>
      <w:r w:rsidRPr="002A5732">
        <w:rPr>
          <w:rFonts w:cs="Times New Roman"/>
          <w:bCs/>
          <w:szCs w:val="24"/>
        </w:rPr>
        <w:t xml:space="preserve"> into the ARD Albers Equal Area Conic) scene-based </w:t>
      </w:r>
      <w:proofErr w:type="gramStart"/>
      <w:r w:rsidRPr="002A5732">
        <w:rPr>
          <w:rFonts w:cs="Times New Roman"/>
          <w:bCs/>
          <w:szCs w:val="24"/>
        </w:rPr>
        <w:t>Level-2</w:t>
      </w:r>
      <w:proofErr w:type="gramEnd"/>
      <w:r w:rsidRPr="002A5732">
        <w:rPr>
          <w:rFonts w:cs="Times New Roman"/>
          <w:bCs/>
          <w:szCs w:val="24"/>
        </w:rPr>
        <w:t xml:space="preserve"> Landsat data </w:t>
      </w:r>
      <w:r>
        <w:rPr>
          <w:rFonts w:cs="Times New Roman"/>
          <w:bCs/>
          <w:szCs w:val="24"/>
        </w:rPr>
        <w:t>that uses</w:t>
      </w:r>
      <w:r w:rsidRPr="002A5732">
        <w:rPr>
          <w:rFonts w:cs="Times New Roman"/>
          <w:bCs/>
          <w:szCs w:val="24"/>
        </w:rPr>
        <w:t xml:space="preserve"> the exact same source scenes that made up the ARD data (referred to as “REP”)</w:t>
      </w:r>
      <w:r>
        <w:rPr>
          <w:rFonts w:cs="Times New Roman"/>
          <w:bCs/>
          <w:szCs w:val="24"/>
        </w:rPr>
        <w:t xml:space="preserve"> are also displayed</w:t>
      </w:r>
      <w:r w:rsidRPr="002A5732">
        <w:rPr>
          <w:rFonts w:cs="Times New Roman"/>
          <w:bCs/>
          <w:szCs w:val="24"/>
        </w:rPr>
        <w:t>.</w:t>
      </w:r>
    </w:p>
    <w:p w14:paraId="4DC3F29A" w14:textId="77777777" w:rsidR="00491696" w:rsidRPr="00904A24" w:rsidRDefault="00491696" w:rsidP="00491696">
      <w:pPr>
        <w:rPr>
          <w:rFonts w:cs="Times New Roman"/>
          <w:szCs w:val="24"/>
        </w:rPr>
      </w:pPr>
      <w:r w:rsidRPr="00904A24">
        <w:rPr>
          <w:rFonts w:cs="Times New Roman"/>
          <w:b/>
          <w:noProof/>
          <w:szCs w:val="24"/>
        </w:rPr>
        <w:drawing>
          <wp:inline distT="0" distB="0" distL="0" distR="0" wp14:anchorId="4F99E22E" wp14:editId="5D86EBCE">
            <wp:extent cx="6202680" cy="3025140"/>
            <wp:effectExtent l="0" t="0" r="7620" b="3810"/>
            <wp:docPr id="211882410"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680" cy="3025140"/>
                    </a:xfrm>
                    <a:prstGeom prst="rect">
                      <a:avLst/>
                    </a:prstGeom>
                    <a:noFill/>
                    <a:ln>
                      <a:noFill/>
                    </a:ln>
                  </pic:spPr>
                </pic:pic>
              </a:graphicData>
            </a:graphic>
          </wp:inline>
        </w:drawing>
      </w:r>
      <w:r w:rsidRPr="00904A24">
        <w:rPr>
          <w:rFonts w:cs="Times New Roman"/>
          <w:b/>
          <w:szCs w:val="24"/>
        </w:rPr>
        <w:t xml:space="preserve">Supplementary Figure </w:t>
      </w:r>
      <w:r w:rsidRPr="00904A24">
        <w:rPr>
          <w:rFonts w:cs="Times New Roman"/>
          <w:b/>
          <w:bCs/>
          <w:szCs w:val="24"/>
        </w:rPr>
        <w:t>1</w:t>
      </w:r>
      <w:r w:rsidRPr="00904A24">
        <w:rPr>
          <w:rFonts w:cs="Times New Roman"/>
          <w:szCs w:val="24"/>
        </w:rPr>
        <w:t>. Annual Atlanta tile Tree Cover composition comparison (A) and annual composition (B) for the ARD-based data (ARD) and scene-based (i.e.</w:t>
      </w:r>
      <w:r>
        <w:rPr>
          <w:rFonts w:cs="Times New Roman"/>
          <w:szCs w:val="24"/>
        </w:rPr>
        <w:t>,</w:t>
      </w:r>
      <w:r w:rsidRPr="00904A24">
        <w:rPr>
          <w:rFonts w:cs="Times New Roman"/>
          <w:szCs w:val="24"/>
        </w:rPr>
        <w:t xml:space="preserve"> reprojected) data (REP) </w:t>
      </w:r>
      <w:r>
        <w:rPr>
          <w:rFonts w:cs="Times New Roman"/>
          <w:szCs w:val="24"/>
        </w:rPr>
        <w:t>during</w:t>
      </w:r>
      <w:r w:rsidRPr="00904A24">
        <w:rPr>
          <w:rFonts w:cs="Times New Roman"/>
          <w:szCs w:val="24"/>
        </w:rPr>
        <w:t xml:space="preserve"> 1985</w:t>
      </w:r>
      <w:r>
        <w:rPr>
          <w:rFonts w:cs="Times New Roman"/>
          <w:szCs w:val="24"/>
        </w:rPr>
        <w:t>-</w:t>
      </w:r>
      <w:r w:rsidRPr="00904A24">
        <w:rPr>
          <w:rFonts w:cs="Times New Roman"/>
          <w:szCs w:val="24"/>
        </w:rPr>
        <w:t>2023.</w:t>
      </w:r>
    </w:p>
    <w:p w14:paraId="713EE33F" w14:textId="77777777" w:rsidR="00491696" w:rsidRPr="00904A24" w:rsidRDefault="00491696" w:rsidP="00491696">
      <w:pPr>
        <w:rPr>
          <w:rFonts w:cs="Times New Roman"/>
          <w:szCs w:val="24"/>
        </w:rPr>
      </w:pPr>
      <w:r w:rsidRPr="00904A24">
        <w:rPr>
          <w:rFonts w:cs="Times New Roman"/>
          <w:b/>
          <w:noProof/>
          <w:szCs w:val="24"/>
        </w:rPr>
        <w:lastRenderedPageBreak/>
        <w:drawing>
          <wp:inline distT="0" distB="0" distL="0" distR="0" wp14:anchorId="1C1129A9" wp14:editId="5977FA7B">
            <wp:extent cx="6202680" cy="3025140"/>
            <wp:effectExtent l="0" t="0" r="7620" b="3810"/>
            <wp:docPr id="1070153516"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680" cy="3025140"/>
                    </a:xfrm>
                    <a:prstGeom prst="rect">
                      <a:avLst/>
                    </a:prstGeom>
                    <a:noFill/>
                    <a:ln>
                      <a:noFill/>
                    </a:ln>
                  </pic:spPr>
                </pic:pic>
              </a:graphicData>
            </a:graphic>
          </wp:inline>
        </w:drawing>
      </w:r>
      <w:r w:rsidRPr="00904A24">
        <w:rPr>
          <w:rFonts w:cs="Times New Roman"/>
          <w:b/>
          <w:szCs w:val="24"/>
        </w:rPr>
        <w:t xml:space="preserve">Supplementary Figure </w:t>
      </w:r>
      <w:r w:rsidRPr="00904A24">
        <w:rPr>
          <w:rFonts w:cs="Times New Roman"/>
          <w:b/>
          <w:bCs/>
          <w:szCs w:val="24"/>
        </w:rPr>
        <w:t>2</w:t>
      </w:r>
      <w:r w:rsidRPr="00904A24">
        <w:rPr>
          <w:rFonts w:cs="Times New Roman"/>
          <w:szCs w:val="24"/>
        </w:rPr>
        <w:t>. Annual Atlanta tile Developed composition comparison (A) and annual composition (B) for the ARD-based data (ARD) and scene-based (i.e.</w:t>
      </w:r>
      <w:r>
        <w:rPr>
          <w:rFonts w:cs="Times New Roman"/>
          <w:szCs w:val="24"/>
        </w:rPr>
        <w:t>,</w:t>
      </w:r>
      <w:r w:rsidRPr="00904A24">
        <w:rPr>
          <w:rFonts w:cs="Times New Roman"/>
          <w:szCs w:val="24"/>
        </w:rPr>
        <w:t xml:space="preserve"> reprojected) data (REP) </w:t>
      </w:r>
      <w:r>
        <w:rPr>
          <w:rFonts w:cs="Times New Roman"/>
          <w:szCs w:val="24"/>
        </w:rPr>
        <w:t>during</w:t>
      </w:r>
      <w:r w:rsidRPr="00904A24">
        <w:rPr>
          <w:rFonts w:cs="Times New Roman"/>
          <w:szCs w:val="24"/>
        </w:rPr>
        <w:t xml:space="preserve"> 1985</w:t>
      </w:r>
      <w:r>
        <w:rPr>
          <w:rFonts w:cs="Times New Roman"/>
          <w:szCs w:val="24"/>
        </w:rPr>
        <w:t>-</w:t>
      </w:r>
      <w:r w:rsidRPr="00904A24">
        <w:rPr>
          <w:rFonts w:cs="Times New Roman"/>
          <w:szCs w:val="24"/>
        </w:rPr>
        <w:t>2023.</w:t>
      </w:r>
    </w:p>
    <w:p w14:paraId="14A0D7E8" w14:textId="77777777" w:rsidR="00491696" w:rsidRPr="00904A24" w:rsidRDefault="00491696" w:rsidP="00491696">
      <w:pPr>
        <w:rPr>
          <w:rFonts w:cs="Times New Roman"/>
          <w:szCs w:val="24"/>
        </w:rPr>
      </w:pPr>
      <w:r w:rsidRPr="00904A24">
        <w:rPr>
          <w:rFonts w:cs="Times New Roman"/>
          <w:b/>
          <w:noProof/>
          <w:szCs w:val="24"/>
        </w:rPr>
        <w:drawing>
          <wp:inline distT="0" distB="0" distL="0" distR="0" wp14:anchorId="6AD12276" wp14:editId="74240AA4">
            <wp:extent cx="6202680" cy="3025140"/>
            <wp:effectExtent l="0" t="0" r="7620" b="3810"/>
            <wp:docPr id="2142122497"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680" cy="3025140"/>
                    </a:xfrm>
                    <a:prstGeom prst="rect">
                      <a:avLst/>
                    </a:prstGeom>
                    <a:noFill/>
                    <a:ln>
                      <a:noFill/>
                    </a:ln>
                  </pic:spPr>
                </pic:pic>
              </a:graphicData>
            </a:graphic>
          </wp:inline>
        </w:drawing>
      </w:r>
      <w:r w:rsidRPr="00904A24">
        <w:rPr>
          <w:rFonts w:cs="Times New Roman"/>
          <w:b/>
          <w:szCs w:val="24"/>
        </w:rPr>
        <w:t xml:space="preserve">Supplementary Figure </w:t>
      </w:r>
      <w:r w:rsidRPr="00904A24">
        <w:rPr>
          <w:rFonts w:cs="Times New Roman"/>
          <w:b/>
          <w:bCs/>
          <w:szCs w:val="24"/>
        </w:rPr>
        <w:t>3</w:t>
      </w:r>
      <w:r w:rsidRPr="00904A24">
        <w:rPr>
          <w:rFonts w:cs="Times New Roman"/>
          <w:szCs w:val="24"/>
        </w:rPr>
        <w:t>. Annual Atlanta tile Cropland composition comparison (A) and annual composition (B) for the ARD-based data (ARD) and scene-based (i.e.</w:t>
      </w:r>
      <w:r>
        <w:rPr>
          <w:rFonts w:cs="Times New Roman"/>
          <w:szCs w:val="24"/>
        </w:rPr>
        <w:t>,</w:t>
      </w:r>
      <w:r w:rsidRPr="00904A24">
        <w:rPr>
          <w:rFonts w:cs="Times New Roman"/>
          <w:szCs w:val="24"/>
        </w:rPr>
        <w:t xml:space="preserve"> reprojected) data (REP) </w:t>
      </w:r>
      <w:r>
        <w:rPr>
          <w:rFonts w:cs="Times New Roman"/>
          <w:szCs w:val="24"/>
        </w:rPr>
        <w:t>during</w:t>
      </w:r>
      <w:r w:rsidRPr="00904A24">
        <w:rPr>
          <w:rFonts w:cs="Times New Roman"/>
          <w:szCs w:val="24"/>
        </w:rPr>
        <w:t xml:space="preserve"> 1985</w:t>
      </w:r>
      <w:r>
        <w:rPr>
          <w:rFonts w:cs="Times New Roman"/>
          <w:szCs w:val="24"/>
        </w:rPr>
        <w:t>-</w:t>
      </w:r>
      <w:r w:rsidRPr="00904A24">
        <w:rPr>
          <w:rFonts w:cs="Times New Roman"/>
          <w:szCs w:val="24"/>
        </w:rPr>
        <w:t>2023.</w:t>
      </w:r>
    </w:p>
    <w:p w14:paraId="7987A809" w14:textId="77777777" w:rsidR="00491696" w:rsidRPr="00904A24" w:rsidRDefault="00491696" w:rsidP="00491696">
      <w:pPr>
        <w:rPr>
          <w:rFonts w:cs="Times New Roman"/>
          <w:szCs w:val="24"/>
        </w:rPr>
      </w:pPr>
      <w:r w:rsidRPr="00904A24">
        <w:rPr>
          <w:rFonts w:cs="Times New Roman"/>
          <w:b/>
          <w:noProof/>
          <w:szCs w:val="24"/>
        </w:rPr>
        <w:lastRenderedPageBreak/>
        <w:drawing>
          <wp:inline distT="0" distB="0" distL="0" distR="0" wp14:anchorId="25B9267F" wp14:editId="4B06A5C9">
            <wp:extent cx="6202680" cy="3025140"/>
            <wp:effectExtent l="0" t="0" r="7620" b="3810"/>
            <wp:docPr id="413713375"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680" cy="3025140"/>
                    </a:xfrm>
                    <a:prstGeom prst="rect">
                      <a:avLst/>
                    </a:prstGeom>
                    <a:noFill/>
                    <a:ln>
                      <a:noFill/>
                    </a:ln>
                  </pic:spPr>
                </pic:pic>
              </a:graphicData>
            </a:graphic>
          </wp:inline>
        </w:drawing>
      </w:r>
      <w:r w:rsidRPr="00904A24">
        <w:rPr>
          <w:rFonts w:cs="Times New Roman"/>
          <w:b/>
          <w:szCs w:val="24"/>
        </w:rPr>
        <w:t xml:space="preserve">Supplementary Figure </w:t>
      </w:r>
      <w:r w:rsidRPr="00904A24">
        <w:rPr>
          <w:rFonts w:cs="Times New Roman"/>
          <w:b/>
          <w:bCs/>
          <w:szCs w:val="24"/>
        </w:rPr>
        <w:t>4</w:t>
      </w:r>
      <w:r w:rsidRPr="00904A24">
        <w:rPr>
          <w:rFonts w:cs="Times New Roman"/>
          <w:szCs w:val="24"/>
        </w:rPr>
        <w:t>. Annual Atlanta tile Grass/Shrub composition comparison (A) and annual composition (B) for the ARD-based data (ARD) and scene-based (i.e.</w:t>
      </w:r>
      <w:r>
        <w:rPr>
          <w:rFonts w:cs="Times New Roman"/>
          <w:szCs w:val="24"/>
        </w:rPr>
        <w:t>,</w:t>
      </w:r>
      <w:r w:rsidRPr="00904A24">
        <w:rPr>
          <w:rFonts w:cs="Times New Roman"/>
          <w:szCs w:val="24"/>
        </w:rPr>
        <w:t xml:space="preserve"> reprojected) data (REP) </w:t>
      </w:r>
      <w:r>
        <w:rPr>
          <w:rFonts w:cs="Times New Roman"/>
          <w:szCs w:val="24"/>
        </w:rPr>
        <w:t>during</w:t>
      </w:r>
      <w:r w:rsidRPr="00904A24">
        <w:rPr>
          <w:rFonts w:cs="Times New Roman"/>
          <w:szCs w:val="24"/>
        </w:rPr>
        <w:t xml:space="preserve"> 1985</w:t>
      </w:r>
      <w:r>
        <w:rPr>
          <w:rFonts w:cs="Times New Roman"/>
          <w:szCs w:val="24"/>
        </w:rPr>
        <w:t>-</w:t>
      </w:r>
      <w:r w:rsidRPr="00904A24">
        <w:rPr>
          <w:rFonts w:cs="Times New Roman"/>
          <w:szCs w:val="24"/>
        </w:rPr>
        <w:t>2023.</w:t>
      </w:r>
    </w:p>
    <w:p w14:paraId="6446496B" w14:textId="77777777" w:rsidR="00491696" w:rsidRPr="00904A24" w:rsidRDefault="00491696" w:rsidP="00491696">
      <w:pPr>
        <w:rPr>
          <w:rFonts w:cs="Times New Roman"/>
          <w:szCs w:val="24"/>
        </w:rPr>
      </w:pPr>
      <w:r w:rsidRPr="00904A24">
        <w:rPr>
          <w:rFonts w:cs="Times New Roman"/>
          <w:b/>
          <w:noProof/>
          <w:szCs w:val="24"/>
        </w:rPr>
        <w:drawing>
          <wp:inline distT="0" distB="0" distL="0" distR="0" wp14:anchorId="5912ED14" wp14:editId="461E0908">
            <wp:extent cx="6202680" cy="3025140"/>
            <wp:effectExtent l="0" t="0" r="7620" b="3810"/>
            <wp:docPr id="1828452749"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2680" cy="3025140"/>
                    </a:xfrm>
                    <a:prstGeom prst="rect">
                      <a:avLst/>
                    </a:prstGeom>
                    <a:noFill/>
                    <a:ln>
                      <a:noFill/>
                    </a:ln>
                  </pic:spPr>
                </pic:pic>
              </a:graphicData>
            </a:graphic>
          </wp:inline>
        </w:drawing>
      </w:r>
      <w:r w:rsidRPr="00904A24">
        <w:rPr>
          <w:rFonts w:cs="Times New Roman"/>
          <w:b/>
          <w:szCs w:val="24"/>
        </w:rPr>
        <w:t xml:space="preserve">Supplementary Figure </w:t>
      </w:r>
      <w:r w:rsidRPr="00904A24">
        <w:rPr>
          <w:rFonts w:cs="Times New Roman"/>
          <w:b/>
          <w:bCs/>
          <w:szCs w:val="24"/>
        </w:rPr>
        <w:t>5</w:t>
      </w:r>
      <w:r w:rsidRPr="00904A24">
        <w:rPr>
          <w:rFonts w:cs="Times New Roman"/>
          <w:szCs w:val="24"/>
        </w:rPr>
        <w:t xml:space="preserve">. Annual Atlanta tile Water composition comparison (A) and annual composition (B) for the ARD-based data (ARD) and scene-based (i.e. reprojected) data (REP) </w:t>
      </w:r>
      <w:r>
        <w:rPr>
          <w:rFonts w:cs="Times New Roman"/>
          <w:szCs w:val="24"/>
        </w:rPr>
        <w:t>during</w:t>
      </w:r>
      <w:r w:rsidRPr="00904A24">
        <w:rPr>
          <w:rFonts w:cs="Times New Roman"/>
          <w:szCs w:val="24"/>
        </w:rPr>
        <w:t xml:space="preserve"> 1985</w:t>
      </w:r>
      <w:r>
        <w:rPr>
          <w:rFonts w:cs="Times New Roman"/>
          <w:szCs w:val="24"/>
        </w:rPr>
        <w:t>-</w:t>
      </w:r>
      <w:r w:rsidRPr="00904A24">
        <w:rPr>
          <w:rFonts w:cs="Times New Roman"/>
          <w:szCs w:val="24"/>
        </w:rPr>
        <w:t>2023. Drought periods are highlighted with vertical shading.</w:t>
      </w:r>
    </w:p>
    <w:p w14:paraId="777B7A4A" w14:textId="77777777" w:rsidR="00491696" w:rsidRPr="00904A24" w:rsidRDefault="00491696" w:rsidP="00491696">
      <w:pPr>
        <w:rPr>
          <w:rFonts w:cs="Times New Roman"/>
          <w:szCs w:val="24"/>
        </w:rPr>
      </w:pPr>
      <w:r w:rsidRPr="00904A24">
        <w:rPr>
          <w:rFonts w:cs="Times New Roman"/>
          <w:b/>
          <w:noProof/>
          <w:szCs w:val="24"/>
        </w:rPr>
        <w:lastRenderedPageBreak/>
        <w:drawing>
          <wp:inline distT="0" distB="0" distL="0" distR="0" wp14:anchorId="094D5FE9" wp14:editId="7865259D">
            <wp:extent cx="6202680" cy="3025140"/>
            <wp:effectExtent l="0" t="0" r="7620" b="3810"/>
            <wp:docPr id="1233215924"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2680" cy="3025140"/>
                    </a:xfrm>
                    <a:prstGeom prst="rect">
                      <a:avLst/>
                    </a:prstGeom>
                    <a:noFill/>
                    <a:ln>
                      <a:noFill/>
                    </a:ln>
                  </pic:spPr>
                </pic:pic>
              </a:graphicData>
            </a:graphic>
          </wp:inline>
        </w:drawing>
      </w:r>
      <w:r w:rsidRPr="00904A24">
        <w:rPr>
          <w:rFonts w:cs="Times New Roman"/>
          <w:b/>
          <w:szCs w:val="24"/>
        </w:rPr>
        <w:t xml:space="preserve">Supplementary Figure </w:t>
      </w:r>
      <w:r w:rsidRPr="00904A24">
        <w:rPr>
          <w:rFonts w:cs="Times New Roman"/>
          <w:b/>
          <w:bCs/>
          <w:szCs w:val="24"/>
        </w:rPr>
        <w:t>6</w:t>
      </w:r>
      <w:r w:rsidRPr="00904A24">
        <w:rPr>
          <w:rFonts w:cs="Times New Roman"/>
          <w:szCs w:val="24"/>
        </w:rPr>
        <w:t xml:space="preserve">. Annual Atlanta tile Wetland composition comparison (A) and annual composition (B) for the ARD-based data (ARD) and scene-based (i.e. reprojected) data (REP) </w:t>
      </w:r>
      <w:r>
        <w:rPr>
          <w:rFonts w:cs="Times New Roman"/>
          <w:szCs w:val="24"/>
        </w:rPr>
        <w:t>during</w:t>
      </w:r>
      <w:r w:rsidRPr="00904A24">
        <w:rPr>
          <w:rFonts w:cs="Times New Roman"/>
          <w:szCs w:val="24"/>
        </w:rPr>
        <w:t xml:space="preserve"> 1985</w:t>
      </w:r>
      <w:r>
        <w:rPr>
          <w:rFonts w:cs="Times New Roman"/>
          <w:szCs w:val="24"/>
        </w:rPr>
        <w:t>-</w:t>
      </w:r>
      <w:r w:rsidRPr="00904A24">
        <w:rPr>
          <w:rFonts w:cs="Times New Roman"/>
          <w:szCs w:val="24"/>
        </w:rPr>
        <w:t>2023.</w:t>
      </w:r>
    </w:p>
    <w:p w14:paraId="570F62B7" w14:textId="77777777" w:rsidR="00491696" w:rsidRPr="00904A24" w:rsidRDefault="00491696" w:rsidP="00491696">
      <w:pPr>
        <w:rPr>
          <w:rFonts w:cs="Times New Roman"/>
          <w:szCs w:val="24"/>
          <w:u w:val="single"/>
        </w:rPr>
      </w:pPr>
      <w:r w:rsidRPr="00904A24">
        <w:rPr>
          <w:rFonts w:cs="Times New Roman"/>
          <w:b/>
          <w:noProof/>
          <w:szCs w:val="24"/>
        </w:rPr>
        <w:drawing>
          <wp:inline distT="0" distB="0" distL="0" distR="0" wp14:anchorId="5B60EC2C" wp14:editId="305142CE">
            <wp:extent cx="6202680" cy="3025140"/>
            <wp:effectExtent l="0" t="0" r="7620" b="3810"/>
            <wp:docPr id="1209804922"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2680" cy="3025140"/>
                    </a:xfrm>
                    <a:prstGeom prst="rect">
                      <a:avLst/>
                    </a:prstGeom>
                    <a:noFill/>
                    <a:ln>
                      <a:noFill/>
                    </a:ln>
                  </pic:spPr>
                </pic:pic>
              </a:graphicData>
            </a:graphic>
          </wp:inline>
        </w:drawing>
      </w:r>
      <w:r w:rsidRPr="00904A24">
        <w:rPr>
          <w:rFonts w:cs="Times New Roman"/>
          <w:b/>
          <w:szCs w:val="24"/>
        </w:rPr>
        <w:t xml:space="preserve">Supplementary Figure </w:t>
      </w:r>
      <w:r w:rsidRPr="00904A24">
        <w:rPr>
          <w:rFonts w:cs="Times New Roman"/>
          <w:b/>
          <w:bCs/>
          <w:szCs w:val="24"/>
        </w:rPr>
        <w:t>7</w:t>
      </w:r>
      <w:r w:rsidRPr="00904A24">
        <w:rPr>
          <w:rFonts w:cs="Times New Roman"/>
          <w:szCs w:val="24"/>
        </w:rPr>
        <w:t xml:space="preserve">. Annual Atlanta tile Barren composition comparison (A) and annual composition (B) for the ARD-based data (ARD) and scene-based (i.e. reprojected) data (REP) </w:t>
      </w:r>
      <w:r>
        <w:rPr>
          <w:rFonts w:cs="Times New Roman"/>
          <w:szCs w:val="24"/>
        </w:rPr>
        <w:t>during</w:t>
      </w:r>
      <w:r w:rsidRPr="00904A24">
        <w:rPr>
          <w:rFonts w:cs="Times New Roman"/>
          <w:szCs w:val="24"/>
        </w:rPr>
        <w:t xml:space="preserve"> 1985</w:t>
      </w:r>
      <w:r>
        <w:rPr>
          <w:rFonts w:cs="Times New Roman"/>
          <w:szCs w:val="24"/>
        </w:rPr>
        <w:t>-</w:t>
      </w:r>
      <w:r w:rsidRPr="00904A24">
        <w:rPr>
          <w:rFonts w:cs="Times New Roman"/>
          <w:szCs w:val="24"/>
        </w:rPr>
        <w:t>2023.</w:t>
      </w:r>
    </w:p>
    <w:p w14:paraId="044AEDD0" w14:textId="77777777" w:rsidR="00491696" w:rsidRPr="00DF0345" w:rsidRDefault="00491696" w:rsidP="00491696">
      <w:pPr>
        <w:rPr>
          <w:rFonts w:cs="Times New Roman"/>
          <w:b/>
          <w:bCs/>
          <w:szCs w:val="24"/>
        </w:rPr>
      </w:pPr>
      <w:r w:rsidRPr="00DF0345">
        <w:rPr>
          <w:rFonts w:cs="Times New Roman"/>
          <w:b/>
          <w:bCs/>
          <w:szCs w:val="24"/>
        </w:rPr>
        <w:t>References</w:t>
      </w:r>
    </w:p>
    <w:p w14:paraId="4991E42F" w14:textId="77777777" w:rsidR="00491696" w:rsidRDefault="00491696" w:rsidP="00491696">
      <w:pPr>
        <w:spacing w:before="0" w:after="0"/>
        <w:ind w:left="360" w:hanging="360"/>
      </w:pPr>
      <w:r w:rsidRPr="002A5732">
        <w:t xml:space="preserve">Dwyer, J.L., Roy, D.P., Sauer, B., </w:t>
      </w:r>
      <w:proofErr w:type="spellStart"/>
      <w:r w:rsidRPr="002A5732">
        <w:t>Jenkerson</w:t>
      </w:r>
      <w:proofErr w:type="spellEnd"/>
      <w:r w:rsidRPr="002A5732">
        <w:t xml:space="preserve">, C.B., Zhang, H., and </w:t>
      </w:r>
      <w:proofErr w:type="spellStart"/>
      <w:r w:rsidRPr="002A5732">
        <w:t>Lymburner</w:t>
      </w:r>
      <w:proofErr w:type="spellEnd"/>
      <w:r w:rsidRPr="002A5732">
        <w:t xml:space="preserve">, L. (2018). Analysis ready data—Enabling analysis of the Landsat archive: Rem. Sens., 10, 9, 1363. </w:t>
      </w:r>
      <w:proofErr w:type="spellStart"/>
      <w:r w:rsidRPr="002A5732">
        <w:t>doi</w:t>
      </w:r>
      <w:proofErr w:type="spellEnd"/>
      <w:r w:rsidRPr="002A5732">
        <w:t xml:space="preserve">: </w:t>
      </w:r>
      <w:hyperlink r:id="rId19" w:history="1">
        <w:r w:rsidRPr="006121F3">
          <w:rPr>
            <w:rStyle w:val="Hyperlink"/>
          </w:rPr>
          <w:t>https://doi.org/10.3390/rs10091363</w:t>
        </w:r>
      </w:hyperlink>
      <w:r w:rsidRPr="002A5732">
        <w:t xml:space="preserve"> </w:t>
      </w:r>
    </w:p>
    <w:p w14:paraId="7CEBAB93" w14:textId="77777777" w:rsidR="00491696" w:rsidRPr="00536400" w:rsidRDefault="00491696" w:rsidP="00491696">
      <w:pPr>
        <w:spacing w:before="0"/>
        <w:ind w:left="360" w:hanging="360"/>
      </w:pPr>
      <w:r w:rsidRPr="00536400">
        <w:lastRenderedPageBreak/>
        <w:t xml:space="preserve">U.S. Geological Survey (USGS) (2020). Land Change Monitoring, Assessment, and Projection (LCMAP) Data Format Control Book (DFCB): U.S. Geological Survey, LSDS 1424. Accessed online: </w:t>
      </w:r>
      <w:hyperlink r:id="rId20" w:history="1">
        <w:r w:rsidRPr="00536400">
          <w:rPr>
            <w:rStyle w:val="Hyperlink"/>
          </w:rPr>
          <w:t>https://www.usgs.gov/media/files/lcmap-dfcb</w:t>
        </w:r>
      </w:hyperlink>
      <w:r w:rsidRPr="00536400">
        <w:t xml:space="preserve">  </w:t>
      </w:r>
    </w:p>
    <w:p w14:paraId="782211B2" w14:textId="77777777" w:rsidR="00491696" w:rsidRPr="001E534E" w:rsidRDefault="00491696" w:rsidP="00491696">
      <w:pPr>
        <w:rPr>
          <w:rFonts w:cs="Times New Roman"/>
          <w:b/>
          <w:bCs/>
          <w:szCs w:val="24"/>
        </w:rPr>
      </w:pPr>
      <w:r w:rsidRPr="001E534E">
        <w:rPr>
          <w:rFonts w:cs="Times New Roman"/>
          <w:b/>
          <w:bCs/>
          <w:szCs w:val="24"/>
        </w:rPr>
        <w:t>Data Availability for Supplementa</w:t>
      </w:r>
      <w:r>
        <w:rPr>
          <w:rFonts w:cs="Times New Roman"/>
          <w:b/>
          <w:bCs/>
          <w:szCs w:val="24"/>
        </w:rPr>
        <w:t>ry</w:t>
      </w:r>
      <w:r w:rsidRPr="001E534E">
        <w:rPr>
          <w:rFonts w:cs="Times New Roman"/>
          <w:b/>
          <w:bCs/>
          <w:szCs w:val="24"/>
        </w:rPr>
        <w:t xml:space="preserve"> Figures</w:t>
      </w:r>
    </w:p>
    <w:p w14:paraId="4E0DDE10" w14:textId="77777777" w:rsidR="00491696" w:rsidRDefault="00491696" w:rsidP="00491696">
      <w:pPr>
        <w:rPr>
          <w:rFonts w:cs="Times New Roman"/>
          <w:szCs w:val="24"/>
        </w:rPr>
      </w:pPr>
      <w:r w:rsidRPr="00364CF3">
        <w:rPr>
          <w:rFonts w:cs="Times New Roman"/>
          <w:szCs w:val="24"/>
        </w:rPr>
        <w:t>Details and sources of Collection 2 Landsat data archive (</w:t>
      </w:r>
      <w:proofErr w:type="gramStart"/>
      <w:r w:rsidRPr="00364CF3">
        <w:rPr>
          <w:rFonts w:cs="Times New Roman"/>
          <w:szCs w:val="24"/>
        </w:rPr>
        <w:t>Level-1</w:t>
      </w:r>
      <w:proofErr w:type="gramEnd"/>
      <w:r w:rsidRPr="00364CF3">
        <w:rPr>
          <w:rFonts w:cs="Times New Roman"/>
          <w:szCs w:val="24"/>
        </w:rPr>
        <w:t xml:space="preserve">, Level-2, and Level-3 data products) can be found at https://www.usgs.gov/landsat-missions/landsat-data-access. A variety of sources provide access to the Landsat data archives including the USGS </w:t>
      </w:r>
      <w:proofErr w:type="spellStart"/>
      <w:r w:rsidRPr="00364CF3">
        <w:rPr>
          <w:rFonts w:cs="Times New Roman"/>
          <w:szCs w:val="24"/>
        </w:rPr>
        <w:t>EarthExplorer</w:t>
      </w:r>
      <w:proofErr w:type="spellEnd"/>
      <w:r w:rsidRPr="00364CF3">
        <w:rPr>
          <w:rFonts w:cs="Times New Roman"/>
          <w:szCs w:val="24"/>
        </w:rPr>
        <w:t xml:space="preserve"> (https://earthexplorer.usgs.gov), commercial cloud access (https://www.usgs.gov/landsat-missions/landsat-commercial-cloud-data-access), </w:t>
      </w:r>
      <w:proofErr w:type="spellStart"/>
      <w:r w:rsidRPr="00364CF3">
        <w:rPr>
          <w:rFonts w:cs="Times New Roman"/>
          <w:szCs w:val="24"/>
        </w:rPr>
        <w:t>GloVis</w:t>
      </w:r>
      <w:proofErr w:type="spellEnd"/>
      <w:r w:rsidRPr="00364CF3">
        <w:rPr>
          <w:rFonts w:cs="Times New Roman"/>
          <w:szCs w:val="24"/>
        </w:rPr>
        <w:t xml:space="preserve"> (https://glovis.usgs.gov), Landsat Look (https://landsatlook.usgs.gov), the USGS Earth Observation and Science (EROS) Center Science Processing Architecture (ESPA) On-Demand interface (https://espa.cr.usgs.gov), and NASA </w:t>
      </w:r>
      <w:proofErr w:type="spellStart"/>
      <w:r w:rsidRPr="00364CF3">
        <w:rPr>
          <w:rFonts w:cs="Times New Roman"/>
          <w:szCs w:val="24"/>
        </w:rPr>
        <w:t>AppEEARS</w:t>
      </w:r>
      <w:proofErr w:type="spellEnd"/>
      <w:r w:rsidRPr="00364CF3">
        <w:rPr>
          <w:rFonts w:cs="Times New Roman"/>
          <w:szCs w:val="24"/>
        </w:rPr>
        <w:t xml:space="preserve"> portal (https://appeears.earthdatacloud.nasa.gov). The Albers scenes that go into ARD tiling are published via Amazon Web Services (AWS) S3, and the USGS Landsat data can be accessed using the USGS </w:t>
      </w:r>
      <w:proofErr w:type="spellStart"/>
      <w:r w:rsidRPr="00364CF3">
        <w:rPr>
          <w:rFonts w:cs="Times New Roman"/>
          <w:szCs w:val="24"/>
        </w:rPr>
        <w:t>SpatioTemporal</w:t>
      </w:r>
      <w:proofErr w:type="spellEnd"/>
      <w:r w:rsidRPr="00364CF3">
        <w:rPr>
          <w:rFonts w:cs="Times New Roman"/>
          <w:szCs w:val="24"/>
        </w:rPr>
        <w:t xml:space="preserve"> Asset Catalog (STAC) at</w:t>
      </w:r>
      <w:r>
        <w:rPr>
          <w:rFonts w:cs="Times New Roman"/>
          <w:szCs w:val="24"/>
        </w:rPr>
        <w:t xml:space="preserve"> </w:t>
      </w:r>
      <w:hyperlink r:id="rId21" w:history="1">
        <w:r w:rsidRPr="00AE6541">
          <w:rPr>
            <w:rStyle w:val="Hyperlink"/>
            <w:rFonts w:cs="Times New Roman"/>
            <w:szCs w:val="24"/>
          </w:rPr>
          <w:t>https://www.usgs.gov/landsat-missions/spatiotemporal-asset-catalog-stac</w:t>
        </w:r>
      </w:hyperlink>
      <w:r>
        <w:rPr>
          <w:rFonts w:cs="Times New Roman"/>
          <w:szCs w:val="24"/>
        </w:rPr>
        <w:t>.</w:t>
      </w:r>
    </w:p>
    <w:p w14:paraId="050CE428" w14:textId="77777777" w:rsidR="00491696" w:rsidRPr="008805D6" w:rsidRDefault="00491696" w:rsidP="00491696">
      <w:pPr>
        <w:rPr>
          <w:rFonts w:cs="Times New Roman"/>
          <w:b/>
          <w:bCs/>
          <w:szCs w:val="24"/>
        </w:rPr>
      </w:pPr>
      <w:proofErr w:type="spellStart"/>
      <w:r w:rsidRPr="008805D6">
        <w:rPr>
          <w:rFonts w:cs="Times New Roman"/>
          <w:b/>
          <w:bCs/>
          <w:szCs w:val="24"/>
        </w:rPr>
        <w:t>Nonendorsement</w:t>
      </w:r>
      <w:proofErr w:type="spellEnd"/>
      <w:r w:rsidRPr="008805D6">
        <w:rPr>
          <w:rFonts w:cs="Times New Roman"/>
          <w:b/>
          <w:bCs/>
          <w:szCs w:val="24"/>
        </w:rPr>
        <w:t xml:space="preserve"> of commercial products and services</w:t>
      </w:r>
    </w:p>
    <w:p w14:paraId="5A998BED" w14:textId="77777777" w:rsidR="00491696" w:rsidRPr="0088513A" w:rsidRDefault="00491696" w:rsidP="00491696">
      <w:pPr>
        <w:rPr>
          <w:rFonts w:cs="Times New Roman"/>
          <w:szCs w:val="24"/>
        </w:rPr>
      </w:pPr>
      <w:r w:rsidRPr="00617DF8">
        <w:rPr>
          <w:szCs w:val="24"/>
          <w:shd w:val="clear" w:color="auto" w:fill="FFFFFF"/>
        </w:rPr>
        <w:t>Any use of trade, firm, or product names is for descriptive purposes only and does not imply endorsement by the U.S. Government.</w:t>
      </w:r>
    </w:p>
    <w:p w14:paraId="58F1AED1" w14:textId="0B29DFE0" w:rsidR="00DE23E8" w:rsidRPr="00BD67A3" w:rsidRDefault="00994A3D" w:rsidP="00BD67A3">
      <w:pPr>
        <w:keepNext/>
        <w:jc w:val="center"/>
        <w:rPr>
          <w:rFonts w:cs="Times New Roman"/>
          <w:szCs w:val="24"/>
        </w:rPr>
      </w:pPr>
      <w:r w:rsidRPr="001549D3">
        <w:rPr>
          <w:b/>
          <w:noProof/>
          <w:lang w:val="en-GB" w:eastAsia="en-GB"/>
        </w:rPr>
        <w:drawing>
          <wp:inline distT="0" distB="0" distL="0" distR="0" wp14:anchorId="4ACC5B9F" wp14:editId="1CE3B87B">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sectPr w:rsidR="00DE23E8" w:rsidRPr="00BD67A3" w:rsidSect="0093429D">
      <w:headerReference w:type="even"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D8FC" w14:textId="77777777" w:rsidR="003D2D47" w:rsidRDefault="003D2D47" w:rsidP="00117666">
      <w:pPr>
        <w:spacing w:after="0"/>
      </w:pPr>
      <w:r>
        <w:separator/>
      </w:r>
    </w:p>
  </w:endnote>
  <w:endnote w:type="continuationSeparator" w:id="0">
    <w:p w14:paraId="68A94BCB" w14:textId="77777777" w:rsidR="003D2D47" w:rsidRDefault="003D2D4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BD67A3"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BD67A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BD67A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BD67A3"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BD67A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BD67A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35AC" w14:textId="77777777" w:rsidR="003D2D47" w:rsidRDefault="003D2D47" w:rsidP="00117666">
      <w:pPr>
        <w:spacing w:after="0"/>
      </w:pPr>
      <w:r>
        <w:separator/>
      </w:r>
    </w:p>
  </w:footnote>
  <w:footnote w:type="continuationSeparator" w:id="0">
    <w:p w14:paraId="6A0AA9D1" w14:textId="77777777" w:rsidR="003D2D47" w:rsidRDefault="003D2D4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BD67A3"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BD67A3"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2002923295">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16cid:durableId="1300527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A5CBE"/>
    <w:rsid w:val="003D0C46"/>
    <w:rsid w:val="003D2D47"/>
    <w:rsid w:val="003D2F2D"/>
    <w:rsid w:val="00401590"/>
    <w:rsid w:val="00447801"/>
    <w:rsid w:val="00452E9C"/>
    <w:rsid w:val="004735C8"/>
    <w:rsid w:val="00491696"/>
    <w:rsid w:val="004961FF"/>
    <w:rsid w:val="00517A89"/>
    <w:rsid w:val="005250F2"/>
    <w:rsid w:val="00534CB8"/>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AE1485"/>
    <w:rsid w:val="00B1671E"/>
    <w:rsid w:val="00B25EB8"/>
    <w:rsid w:val="00B354E1"/>
    <w:rsid w:val="00B37F4D"/>
    <w:rsid w:val="00BD67A3"/>
    <w:rsid w:val="00C52A7B"/>
    <w:rsid w:val="00C56BAF"/>
    <w:rsid w:val="00C679AA"/>
    <w:rsid w:val="00C75972"/>
    <w:rsid w:val="00CC0A3A"/>
    <w:rsid w:val="00CD066B"/>
    <w:rsid w:val="00CE4FEE"/>
    <w:rsid w:val="00D35F66"/>
    <w:rsid w:val="00DB59C3"/>
    <w:rsid w:val="00DC259A"/>
    <w:rsid w:val="00DE23E8"/>
    <w:rsid w:val="00DF4B41"/>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usgs.gov/landsat-missions/spatiotemporal-asset-catalog-stac"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usgs.gov/media/files/lcmap-dfcb"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oi.org/10.3390/rs1009136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6</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Healey, Nathan (Contractor)</cp:lastModifiedBy>
  <cp:revision>2</cp:revision>
  <cp:lastPrinted>2013-10-03T12:51:00Z</cp:lastPrinted>
  <dcterms:created xsi:type="dcterms:W3CDTF">2025-05-06T17:13:00Z</dcterms:created>
  <dcterms:modified xsi:type="dcterms:W3CDTF">2025-05-06T17:13:00Z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