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31E122" w14:textId="77777777" w:rsidR="00F3539C" w:rsidRPr="00F3539C" w:rsidRDefault="00F3539C" w:rsidP="00F3539C">
      <w:pPr>
        <w:spacing w:before="0" w:after="160" w:line="259" w:lineRule="auto"/>
        <w:rPr>
          <w:rFonts w:ascii="Aptos" w:eastAsia="Aptos" w:hAnsi="Aptos" w:cs="Times New Roman"/>
          <w:noProof/>
          <w:kern w:val="2"/>
          <w:sz w:val="22"/>
          <w14:ligatures w14:val="standardContextual"/>
        </w:rPr>
      </w:pPr>
      <w:r w:rsidRPr="00F3539C">
        <w:rPr>
          <w:rFonts w:eastAsia="Aptos" w:cs="Times New Roman"/>
          <w:b/>
          <w:bCs/>
          <w:noProof/>
          <w:kern w:val="2"/>
          <w:sz w:val="22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52ADBF87" wp14:editId="4E089DF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991884" cy="3168000"/>
            <wp:effectExtent l="0" t="0" r="0" b="0"/>
            <wp:wrapSquare wrapText="bothSides"/>
            <wp:docPr id="1490178390" name="Picture 11" descr="A red dots and line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78390" name="Picture 11" descr="A red dots and lines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884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6A021" w14:textId="77777777" w:rsidR="00F3539C" w:rsidRPr="00F3539C" w:rsidRDefault="00F3539C" w:rsidP="00F3539C">
      <w:pPr>
        <w:spacing w:before="0" w:after="160" w:line="259" w:lineRule="auto"/>
        <w:jc w:val="both"/>
        <w:rPr>
          <w:rFonts w:ascii="Aptos" w:eastAsia="Aptos" w:hAnsi="Aptos" w:cs="Times New Roman"/>
          <w:noProof/>
          <w:kern w:val="2"/>
          <w:szCs w:val="24"/>
          <w14:ligatures w14:val="standardContextual"/>
        </w:rPr>
      </w:pPr>
      <w:r w:rsidRPr="00F3539C">
        <w:rPr>
          <w:rFonts w:eastAsia="Aptos" w:cs="Times New Roman"/>
          <w:b/>
          <w:bCs/>
          <w:noProof/>
          <w:kern w:val="2"/>
          <w:szCs w:val="24"/>
          <w:lang w:val="hr-HR"/>
          <w14:ligatures w14:val="standardContextual"/>
        </w:rPr>
        <w:t>Figure 1.</w:t>
      </w:r>
      <w:r w:rsidRPr="00F3539C">
        <w:rPr>
          <w:rFonts w:eastAsia="Aptos" w:cs="Times New Roman"/>
          <w:noProof/>
          <w:kern w:val="2"/>
          <w:szCs w:val="24"/>
          <w:lang w:val="hr-HR"/>
          <w14:ligatures w14:val="standardContextual"/>
        </w:rPr>
        <w:t xml:space="preserve"> Frequency of effect alleles across populations for significant SNPs identified in the single-SNP LMM analysis (GEMMA and GMMAT), as well as the multi-SNP BSLMM analysis, all of which surpassed the genome-wide significance threshold (1 × 10⁻³) for the Vegetation Period Duration (VPD) trait. The analysis also includes SNPs meeting the same threshold in the multivariate GWAS. The corresponding SNPs are detailed in Table 3 and Table 5 of the manuscript. </w:t>
      </w:r>
    </w:p>
    <w:p w14:paraId="3289F678" w14:textId="77777777" w:rsidR="00F3539C" w:rsidRPr="00F3539C" w:rsidRDefault="00F3539C" w:rsidP="00F3539C">
      <w:pPr>
        <w:spacing w:before="0" w:after="160" w:line="259" w:lineRule="auto"/>
        <w:rPr>
          <w:rFonts w:eastAsia="Aptos" w:cs="Times New Roman"/>
          <w:noProof/>
          <w:kern w:val="2"/>
          <w:sz w:val="22"/>
          <w:lang w:val="hr-HR"/>
          <w14:ligatures w14:val="standardContextual"/>
        </w:rPr>
      </w:pPr>
    </w:p>
    <w:p w14:paraId="71C12352" w14:textId="77777777" w:rsidR="00F3539C" w:rsidRPr="00F3539C" w:rsidRDefault="00F3539C" w:rsidP="00F3539C">
      <w:pPr>
        <w:spacing w:before="0" w:after="160" w:line="259" w:lineRule="auto"/>
        <w:jc w:val="both"/>
        <w:rPr>
          <w:rFonts w:eastAsia="Aptos" w:cs="Times New Roman"/>
          <w:noProof/>
          <w:kern w:val="2"/>
          <w:sz w:val="22"/>
          <w:lang w:val="hr-HR"/>
          <w14:ligatures w14:val="standardContextual"/>
        </w:rPr>
      </w:pPr>
      <w:r w:rsidRPr="00F3539C">
        <w:rPr>
          <w:rFonts w:eastAsia="Aptos" w:cs="Times New Roman"/>
          <w:noProof/>
          <w:kern w:val="2"/>
          <w:szCs w:val="24"/>
          <w:lang w:val="hr-HR"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128474A9" wp14:editId="3C2AB90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784000" cy="4392000"/>
            <wp:effectExtent l="0" t="0" r="0" b="0"/>
            <wp:wrapSquare wrapText="bothSides"/>
            <wp:docPr id="611252209" name="Picture 12" descr="A blue circles and line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52209" name="Picture 12" descr="A blue circles and lines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0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539C">
        <w:rPr>
          <w:rFonts w:eastAsia="Aptos" w:cs="Times New Roman"/>
          <w:b/>
          <w:bCs/>
          <w:noProof/>
          <w:kern w:val="2"/>
          <w:szCs w:val="24"/>
          <w:lang w:val="hr-HR"/>
          <w14:ligatures w14:val="standardContextual"/>
        </w:rPr>
        <w:t>Figure 2.</w:t>
      </w:r>
      <w:r w:rsidRPr="00F3539C">
        <w:rPr>
          <w:rFonts w:eastAsia="Aptos" w:cs="Times New Roman"/>
          <w:noProof/>
          <w:kern w:val="2"/>
          <w:szCs w:val="24"/>
          <w:lang w:val="hr-HR"/>
          <w14:ligatures w14:val="standardContextual"/>
        </w:rPr>
        <w:t xml:space="preserve"> Frequency of effect alleles across populations for significant SNPs identified in the single-SNP LMM analysis (GEMMA and GMMAT), as well as the multi-SNP BSLMM analysis, all of which surpassed the genome-wide significance threshold (1 × 10⁻³) for the Beginning of Flowering (BOF) trait. The analysis also includes SNPs meeting the same threshold in the multivariate GWAS. The corresponding SNPs are detailed in Table 3 and Table 5 of the manuscript</w:t>
      </w:r>
      <w:r w:rsidRPr="00F3539C">
        <w:rPr>
          <w:rFonts w:eastAsia="Aptos" w:cs="Times New Roman"/>
          <w:noProof/>
          <w:kern w:val="2"/>
          <w:sz w:val="22"/>
          <w:lang w:val="hr-HR"/>
          <w14:ligatures w14:val="standardContextual"/>
        </w:rPr>
        <w:t>.</w:t>
      </w:r>
    </w:p>
    <w:p w14:paraId="1974F6CE" w14:textId="77777777" w:rsidR="00F3539C" w:rsidRPr="00F3539C" w:rsidRDefault="00F3539C" w:rsidP="00F3539C">
      <w:pPr>
        <w:spacing w:before="0" w:after="160" w:line="259" w:lineRule="auto"/>
        <w:jc w:val="both"/>
        <w:rPr>
          <w:rFonts w:eastAsia="Aptos" w:cs="Times New Roman"/>
          <w:noProof/>
          <w:kern w:val="2"/>
          <w:szCs w:val="24"/>
          <w:lang w:val="hr-HR"/>
          <w14:ligatures w14:val="standardContextual"/>
        </w:rPr>
      </w:pPr>
      <w:r w:rsidRPr="00F3539C">
        <w:rPr>
          <w:rFonts w:eastAsia="Aptos" w:cs="Times New Roman"/>
          <w:noProof/>
          <w:kern w:val="2"/>
          <w:szCs w:val="24"/>
          <w14:ligatures w14:val="standardContextual"/>
        </w:rPr>
        <w:lastRenderedPageBreak/>
        <w:drawing>
          <wp:anchor distT="0" distB="0" distL="114300" distR="114300" simplePos="0" relativeHeight="251662336" behindDoc="0" locked="0" layoutInCell="1" allowOverlap="1" wp14:anchorId="00179590" wp14:editId="3D0D23F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986476" cy="4356000"/>
            <wp:effectExtent l="0" t="0" r="0" b="0"/>
            <wp:wrapSquare wrapText="bothSides"/>
            <wp:docPr id="626366381" name="Picture 2" descr="A green dots and dot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66381" name="Picture 2" descr="A green dots and dots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6476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539C">
        <w:rPr>
          <w:rFonts w:eastAsia="Aptos" w:cs="Times New Roman"/>
          <w:b/>
          <w:bCs/>
          <w:noProof/>
          <w:kern w:val="2"/>
          <w:szCs w:val="24"/>
          <w:lang w:val="hr-HR"/>
          <w14:ligatures w14:val="standardContextual"/>
        </w:rPr>
        <w:t>Figure 3.</w:t>
      </w:r>
      <w:r w:rsidRPr="00F3539C">
        <w:rPr>
          <w:rFonts w:eastAsia="Aptos" w:cs="Times New Roman"/>
          <w:noProof/>
          <w:kern w:val="2"/>
          <w:szCs w:val="24"/>
          <w:lang w:val="hr-HR"/>
          <w14:ligatures w14:val="standardContextual"/>
        </w:rPr>
        <w:t xml:space="preserve"> Frequency of effect alleles across populations for significant SNPs identified in the single-SNP LMM analysis (GEMMA and GMMAT), as well as the multi-SNP BSLMM analysis, all of which surpassed the genome-wide significance threshold (1 × 10⁻³) for the Beginning of Sprouting (BOS) trait. The analysis also includes SNPs meeting the same threshold in the multivariate GWAS. The corresponding SNPs are detailed in Table 3 and Table 5 of the manuscript. </w:t>
      </w:r>
    </w:p>
    <w:p w14:paraId="372CF39C" w14:textId="77777777" w:rsidR="00F3539C" w:rsidRPr="00F3539C" w:rsidRDefault="00F3539C" w:rsidP="00F3539C">
      <w:pPr>
        <w:spacing w:before="0" w:after="160" w:line="259" w:lineRule="auto"/>
        <w:rPr>
          <w:rFonts w:eastAsia="Aptos" w:cs="Times New Roman"/>
          <w:noProof/>
          <w:kern w:val="2"/>
          <w:sz w:val="22"/>
          <w:lang w:val="hr-HR"/>
          <w14:ligatures w14:val="standardContextual"/>
        </w:rPr>
      </w:pPr>
      <w:r w:rsidRPr="00F3539C">
        <w:rPr>
          <w:rFonts w:ascii="Aptos" w:eastAsia="Aptos" w:hAnsi="Aptos" w:cs="Times New Roman"/>
          <w:noProof/>
          <w:kern w:val="2"/>
          <w:sz w:val="22"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32B0EA70" wp14:editId="65B071DD">
            <wp:simplePos x="0" y="0"/>
            <wp:positionH relativeFrom="margin">
              <wp:align>center</wp:align>
            </wp:positionH>
            <wp:positionV relativeFrom="paragraph">
              <wp:posOffset>-153</wp:posOffset>
            </wp:positionV>
            <wp:extent cx="6192162" cy="4644000"/>
            <wp:effectExtent l="0" t="0" r="0" b="0"/>
            <wp:wrapSquare wrapText="bothSides"/>
            <wp:docPr id="1554363926" name="Picture 1" descr="A chart of dot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363926" name="Picture 1" descr="A chart of dots an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162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A790B" w14:textId="77777777" w:rsidR="00F3539C" w:rsidRPr="00F3539C" w:rsidRDefault="00F3539C" w:rsidP="00F3539C">
      <w:pPr>
        <w:spacing w:before="0" w:after="160" w:line="259" w:lineRule="auto"/>
        <w:rPr>
          <w:rFonts w:eastAsia="Aptos" w:cs="Times New Roman"/>
          <w:b/>
          <w:bCs/>
          <w:noProof/>
          <w:kern w:val="2"/>
          <w:sz w:val="22"/>
          <w14:ligatures w14:val="standardContextual"/>
        </w:rPr>
      </w:pPr>
    </w:p>
    <w:p w14:paraId="25527EE1" w14:textId="77777777" w:rsidR="00F3539C" w:rsidRPr="00F3539C" w:rsidRDefault="00F3539C" w:rsidP="00F3539C">
      <w:pPr>
        <w:spacing w:before="0" w:after="160" w:line="259" w:lineRule="auto"/>
        <w:rPr>
          <w:rFonts w:eastAsia="Aptos" w:cs="Times New Roman"/>
          <w:b/>
          <w:bCs/>
          <w:noProof/>
          <w:kern w:val="2"/>
          <w:sz w:val="22"/>
          <w14:ligatures w14:val="standardContextual"/>
        </w:rPr>
      </w:pPr>
    </w:p>
    <w:p w14:paraId="68DA3615" w14:textId="77777777" w:rsidR="00F3539C" w:rsidRPr="00F3539C" w:rsidRDefault="00F3539C" w:rsidP="00F3539C">
      <w:pPr>
        <w:spacing w:before="0" w:after="160" w:line="259" w:lineRule="auto"/>
        <w:rPr>
          <w:rFonts w:eastAsia="Aptos" w:cs="Times New Roman"/>
          <w:b/>
          <w:bCs/>
          <w:noProof/>
          <w:kern w:val="2"/>
          <w:sz w:val="22"/>
          <w14:ligatures w14:val="standardContextual"/>
        </w:rPr>
      </w:pPr>
    </w:p>
    <w:p w14:paraId="1659B440" w14:textId="77777777" w:rsidR="00F3539C" w:rsidRPr="00F3539C" w:rsidRDefault="00F3539C" w:rsidP="00F3539C">
      <w:pPr>
        <w:spacing w:before="0" w:after="160" w:line="259" w:lineRule="auto"/>
        <w:rPr>
          <w:rFonts w:eastAsia="Aptos" w:cs="Times New Roman"/>
          <w:b/>
          <w:bCs/>
          <w:noProof/>
          <w:kern w:val="2"/>
          <w:sz w:val="22"/>
          <w14:ligatures w14:val="standardContextual"/>
        </w:rPr>
      </w:pPr>
    </w:p>
    <w:p w14:paraId="0A64AEF4" w14:textId="77777777" w:rsidR="00F3539C" w:rsidRPr="00F3539C" w:rsidRDefault="00F3539C" w:rsidP="00F3539C">
      <w:pPr>
        <w:spacing w:before="0" w:after="160" w:line="259" w:lineRule="auto"/>
        <w:rPr>
          <w:rFonts w:eastAsia="Aptos" w:cs="Times New Roman"/>
          <w:b/>
          <w:bCs/>
          <w:noProof/>
          <w:kern w:val="2"/>
          <w:sz w:val="22"/>
          <w14:ligatures w14:val="standardContextual"/>
        </w:rPr>
      </w:pPr>
    </w:p>
    <w:p w14:paraId="539886DA" w14:textId="77777777" w:rsidR="00F3539C" w:rsidRPr="00F3539C" w:rsidRDefault="00F3539C" w:rsidP="00F3539C">
      <w:pPr>
        <w:spacing w:before="0" w:after="160" w:line="259" w:lineRule="auto"/>
        <w:rPr>
          <w:rFonts w:eastAsia="Aptos" w:cs="Times New Roman"/>
          <w:b/>
          <w:bCs/>
          <w:noProof/>
          <w:kern w:val="2"/>
          <w:sz w:val="22"/>
          <w14:ligatures w14:val="standardContextual"/>
        </w:rPr>
      </w:pPr>
    </w:p>
    <w:p w14:paraId="1D7A4C96" w14:textId="77777777" w:rsidR="00F3539C" w:rsidRPr="00F3539C" w:rsidRDefault="00F3539C" w:rsidP="00F3539C">
      <w:pPr>
        <w:spacing w:before="0" w:after="160" w:line="259" w:lineRule="auto"/>
        <w:rPr>
          <w:rFonts w:eastAsia="Aptos" w:cs="Times New Roman"/>
          <w:b/>
          <w:bCs/>
          <w:noProof/>
          <w:kern w:val="2"/>
          <w:sz w:val="22"/>
          <w14:ligatures w14:val="standardContextual"/>
        </w:rPr>
      </w:pPr>
    </w:p>
    <w:p w14:paraId="77D8E5D7" w14:textId="77777777" w:rsidR="00F3539C" w:rsidRPr="00F3539C" w:rsidRDefault="00F3539C" w:rsidP="00F3539C">
      <w:pPr>
        <w:spacing w:before="0" w:after="160" w:line="259" w:lineRule="auto"/>
        <w:rPr>
          <w:rFonts w:eastAsia="Aptos" w:cs="Times New Roman"/>
          <w:b/>
          <w:bCs/>
          <w:noProof/>
          <w:kern w:val="2"/>
          <w:sz w:val="22"/>
          <w14:ligatures w14:val="standardContextual"/>
        </w:rPr>
      </w:pPr>
    </w:p>
    <w:p w14:paraId="56F650A8" w14:textId="77777777" w:rsidR="00F3539C" w:rsidRPr="00F3539C" w:rsidRDefault="00F3539C" w:rsidP="00F3539C">
      <w:pPr>
        <w:spacing w:before="0" w:after="160" w:line="259" w:lineRule="auto"/>
        <w:rPr>
          <w:rFonts w:eastAsia="Aptos" w:cs="Times New Roman"/>
          <w:b/>
          <w:bCs/>
          <w:noProof/>
          <w:kern w:val="2"/>
          <w:sz w:val="22"/>
          <w14:ligatures w14:val="standardContextual"/>
        </w:rPr>
      </w:pPr>
    </w:p>
    <w:p w14:paraId="42811812" w14:textId="77777777" w:rsidR="00F3539C" w:rsidRPr="00F3539C" w:rsidRDefault="00F3539C" w:rsidP="00F3539C">
      <w:pPr>
        <w:spacing w:before="0" w:after="160" w:line="259" w:lineRule="auto"/>
        <w:rPr>
          <w:rFonts w:eastAsia="Aptos" w:cs="Times New Roman"/>
          <w:b/>
          <w:bCs/>
          <w:noProof/>
          <w:kern w:val="2"/>
          <w:sz w:val="22"/>
          <w14:ligatures w14:val="standardContextual"/>
        </w:rPr>
      </w:pPr>
    </w:p>
    <w:p w14:paraId="6D85389D" w14:textId="77777777" w:rsidR="00F3539C" w:rsidRPr="00F3539C" w:rsidRDefault="00F3539C" w:rsidP="00F3539C">
      <w:pPr>
        <w:spacing w:before="0" w:after="160" w:line="259" w:lineRule="auto"/>
        <w:rPr>
          <w:rFonts w:eastAsia="Aptos" w:cs="Times New Roman"/>
          <w:b/>
          <w:bCs/>
          <w:noProof/>
          <w:kern w:val="2"/>
          <w:sz w:val="22"/>
          <w14:ligatures w14:val="standardContextual"/>
        </w:rPr>
      </w:pPr>
    </w:p>
    <w:p w14:paraId="2AD9C337" w14:textId="77777777" w:rsidR="00F3539C" w:rsidRPr="00F3539C" w:rsidRDefault="00F3539C" w:rsidP="00F3539C">
      <w:pPr>
        <w:spacing w:before="0" w:after="160" w:line="259" w:lineRule="auto"/>
        <w:rPr>
          <w:rFonts w:eastAsia="Aptos" w:cs="Times New Roman"/>
          <w:b/>
          <w:bCs/>
          <w:noProof/>
          <w:kern w:val="2"/>
          <w:sz w:val="22"/>
          <w14:ligatures w14:val="standardContextual"/>
        </w:rPr>
      </w:pPr>
    </w:p>
    <w:p w14:paraId="7F22E945" w14:textId="77777777" w:rsidR="00F3539C" w:rsidRPr="00F3539C" w:rsidRDefault="00F3539C" w:rsidP="00F3539C">
      <w:pPr>
        <w:spacing w:before="0" w:after="160" w:line="259" w:lineRule="auto"/>
        <w:rPr>
          <w:rFonts w:eastAsia="Aptos" w:cs="Times New Roman"/>
          <w:b/>
          <w:bCs/>
          <w:noProof/>
          <w:kern w:val="2"/>
          <w:sz w:val="22"/>
          <w14:ligatures w14:val="standardContextual"/>
        </w:rPr>
      </w:pPr>
    </w:p>
    <w:p w14:paraId="795C0987" w14:textId="77777777" w:rsidR="00F3539C" w:rsidRPr="00F3539C" w:rsidRDefault="00F3539C" w:rsidP="00F3539C">
      <w:pPr>
        <w:spacing w:before="0" w:after="160" w:line="259" w:lineRule="auto"/>
        <w:rPr>
          <w:rFonts w:eastAsia="Aptos" w:cs="Times New Roman"/>
          <w:b/>
          <w:bCs/>
          <w:noProof/>
          <w:kern w:val="2"/>
          <w:sz w:val="22"/>
          <w14:ligatures w14:val="standardContextual"/>
        </w:rPr>
      </w:pPr>
    </w:p>
    <w:p w14:paraId="5AE67DD9" w14:textId="77777777" w:rsidR="00F3539C" w:rsidRPr="00F3539C" w:rsidRDefault="00F3539C" w:rsidP="00F3539C">
      <w:pPr>
        <w:spacing w:before="0" w:after="160" w:line="259" w:lineRule="auto"/>
        <w:rPr>
          <w:rFonts w:eastAsia="Aptos" w:cs="Times New Roman"/>
          <w:b/>
          <w:bCs/>
          <w:noProof/>
          <w:kern w:val="2"/>
          <w:sz w:val="22"/>
          <w14:ligatures w14:val="standardContextual"/>
        </w:rPr>
      </w:pPr>
    </w:p>
    <w:p w14:paraId="5776C6C5" w14:textId="77777777" w:rsidR="00F3539C" w:rsidRPr="00F3539C" w:rsidRDefault="00F3539C" w:rsidP="00F3539C">
      <w:pPr>
        <w:spacing w:before="0" w:after="160" w:line="259" w:lineRule="auto"/>
        <w:rPr>
          <w:rFonts w:eastAsia="Aptos" w:cs="Times New Roman"/>
          <w:b/>
          <w:bCs/>
          <w:noProof/>
          <w:kern w:val="2"/>
          <w:sz w:val="22"/>
          <w14:ligatures w14:val="standardContextual"/>
        </w:rPr>
      </w:pPr>
    </w:p>
    <w:p w14:paraId="02B464B6" w14:textId="77777777" w:rsidR="00F3539C" w:rsidRPr="00F3539C" w:rsidRDefault="00F3539C" w:rsidP="00F3539C">
      <w:pPr>
        <w:spacing w:before="0" w:after="160" w:line="259" w:lineRule="auto"/>
        <w:rPr>
          <w:rFonts w:eastAsia="Aptos" w:cs="Times New Roman"/>
          <w:b/>
          <w:bCs/>
          <w:noProof/>
          <w:kern w:val="2"/>
          <w:sz w:val="22"/>
          <w14:ligatures w14:val="standardContextual"/>
        </w:rPr>
      </w:pPr>
    </w:p>
    <w:p w14:paraId="5D88583B" w14:textId="77777777" w:rsidR="00F3539C" w:rsidRPr="00F3539C" w:rsidRDefault="00F3539C" w:rsidP="00F3539C">
      <w:pPr>
        <w:spacing w:before="0" w:after="160" w:line="259" w:lineRule="auto"/>
        <w:jc w:val="both"/>
        <w:rPr>
          <w:rFonts w:ascii="Aptos" w:eastAsia="Aptos" w:hAnsi="Aptos" w:cs="Times New Roman"/>
          <w:noProof/>
          <w:kern w:val="2"/>
          <w:szCs w:val="24"/>
          <w14:ligatures w14:val="standardContextual"/>
        </w:rPr>
      </w:pPr>
      <w:r w:rsidRPr="00F3539C">
        <w:rPr>
          <w:rFonts w:eastAsia="Aptos" w:cs="Times New Roman"/>
          <w:b/>
          <w:bCs/>
          <w:noProof/>
          <w:kern w:val="2"/>
          <w:szCs w:val="24"/>
          <w14:ligatures w14:val="standardContextual"/>
        </w:rPr>
        <w:t>Figure 4.</w:t>
      </w:r>
      <w:r w:rsidRPr="00F3539C">
        <w:rPr>
          <w:rFonts w:eastAsia="Aptos" w:cs="Times New Roman"/>
          <w:noProof/>
          <w:kern w:val="2"/>
          <w:szCs w:val="24"/>
          <w14:ligatures w14:val="standardContextual"/>
        </w:rPr>
        <w:t xml:space="preserve"> Frequency of effect alleles across populations for significant SNPs identified in the single-SNP LMM analysis (GEMMA and GMMAT), as well as the multi-SNP BSLMM analysis, all of which surpassed the genome-wide significance threshold (1 × 10⁻³) for the Flowering Period Duration (FPD) trait. The analysis also includes SNPs meeting the same threshold in the multivariate GWAS. The corresponding SNPs are detailed in Table 3 of the manuscript. </w:t>
      </w:r>
    </w:p>
    <w:p w14:paraId="58F1AED1" w14:textId="77777777" w:rsidR="00DE23E8" w:rsidRPr="00F3539C" w:rsidRDefault="00DE23E8" w:rsidP="00F3539C"/>
    <w:sectPr w:rsidR="00DE23E8" w:rsidRPr="00F3539C" w:rsidSect="00F3539C">
      <w:headerReference w:type="even" r:id="rId16"/>
      <w:footerReference w:type="even" r:id="rId17"/>
      <w:footerReference w:type="default" r:id="rId18"/>
      <w:headerReference w:type="first" r:id="rId19"/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DA40DD" w14:textId="77777777" w:rsidR="00FC72FC" w:rsidRDefault="00FC72FC" w:rsidP="00117666">
      <w:pPr>
        <w:spacing w:after="0"/>
      </w:pPr>
      <w:r>
        <w:separator/>
      </w:r>
    </w:p>
  </w:endnote>
  <w:endnote w:type="continuationSeparator" w:id="0">
    <w:p w14:paraId="7A6AC9BA" w14:textId="77777777" w:rsidR="00FC72FC" w:rsidRDefault="00FC72F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000000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000000" w:rsidRPr="00F3539C" w:rsidRDefault="00C52A7B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F3539C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F3539C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F3539C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2B4A57" w:rsidRPr="00F3539C">
                            <w:rPr>
                              <w:noProof/>
                              <w:color w:val="000000"/>
                              <w:szCs w:val="40"/>
                            </w:rPr>
                            <w:t>2</w:t>
                          </w:r>
                          <w:r w:rsidRPr="00F3539C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00000" w:rsidRPr="00F3539C" w:rsidRDefault="00C52A7B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F3539C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F3539C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F3539C"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2B4A57" w:rsidRPr="00F3539C">
                      <w:rPr>
                        <w:noProof/>
                        <w:color w:val="000000"/>
                        <w:szCs w:val="40"/>
                      </w:rPr>
                      <w:t>2</w:t>
                    </w:r>
                    <w:r w:rsidRPr="00F3539C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000000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000000" w:rsidRPr="00F3539C" w:rsidRDefault="00C52A7B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F3539C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F3539C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F3539C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994A3D" w:rsidRPr="00F3539C">
                            <w:rPr>
                              <w:noProof/>
                              <w:color w:val="000000"/>
                              <w:szCs w:val="40"/>
                            </w:rPr>
                            <w:t>3</w:t>
                          </w:r>
                          <w:r w:rsidRPr="00F3539C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00000" w:rsidRPr="00F3539C" w:rsidRDefault="00C52A7B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F3539C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F3539C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F3539C"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994A3D" w:rsidRPr="00F3539C">
                      <w:rPr>
                        <w:noProof/>
                        <w:color w:val="000000"/>
                        <w:szCs w:val="40"/>
                      </w:rPr>
                      <w:t>3</w:t>
                    </w:r>
                    <w:r w:rsidRPr="00F3539C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8735E6" w14:textId="77777777" w:rsidR="00FC72FC" w:rsidRDefault="00FC72FC" w:rsidP="00117666">
      <w:pPr>
        <w:spacing w:after="0"/>
      </w:pPr>
      <w:r>
        <w:separator/>
      </w:r>
    </w:p>
  </w:footnote>
  <w:footnote w:type="continuationSeparator" w:id="0">
    <w:p w14:paraId="4326A632" w14:textId="77777777" w:rsidR="00FC72FC" w:rsidRDefault="00FC72F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00000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000000" w:rsidRDefault="0093429D" w:rsidP="0093429D">
    <w:r w:rsidRPr="00F3539C">
      <w:rPr>
        <w:b/>
        <w:noProof/>
        <w:color w:val="A6A6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091B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735C8"/>
    <w:rsid w:val="004961FF"/>
    <w:rsid w:val="004E1AB4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3539C"/>
    <w:rsid w:val="00F46900"/>
    <w:rsid w:val="00F61D89"/>
    <w:rsid w:val="00FC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4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Sara Laura Šarančić</cp:lastModifiedBy>
  <cp:revision>2</cp:revision>
  <cp:lastPrinted>2013-10-03T12:51:00Z</cp:lastPrinted>
  <dcterms:created xsi:type="dcterms:W3CDTF">2025-02-04T11:45:00Z</dcterms:created>
  <dcterms:modified xsi:type="dcterms:W3CDTF">2025-02-04T11:45:00Z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