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Supplementary file 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collected clinical characteristics comprised both categorical and continuous variables. In the following, there is the list of clinical and histological characteristics their abbreviations and corresponding values: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259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lrncb7ktr3bp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Clinical Characteristics: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Age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age at time of RRSO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BMI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body mass index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Age of menarche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age at menarche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BRCA 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BRCA 1 status (Values: Yes/No)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BRCA 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BRCA 2 status (Values: Yes/No)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CA125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preoperative serum CA125 levels (UI/ml)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MatoRRSO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menopause at time of RRSO (Values: Yes/No)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Pregnancy nftd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number of pregnancies normal full-term delivery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Estroprogestin use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use of estroprogestins (Values: Yes/No)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History of endometriosis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history of endometriosis (Values: Yes/No)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PAPS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history of previous abdominal/pelvic surgery (Values: Yes/No)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OC FDR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ovarian cancer status in first-degree relatives (Values: Yes/No)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OC Nfdr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number of ovarian cancer first-degree relatives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OC SDR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ovarian cancer status in second-degree relatives (Values: Yes/No)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OC Nsdr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number of ovarian cancer second-degree relatives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Previous BC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history of previous breast cancer (Values: Yes/No)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BC FDR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breast cancer status in first-degree relatives (Values: Yes/No)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BC Nfdr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number of breast cancer first-degree relatives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BC SDR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breast cancer status in second-degree relatives (Values: Yes/No)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BC Nsdr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number of breast cancer second-degree relatives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="259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uvlqlvu98dp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Breast cancer histological Features: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24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progesterone receptor status (Values: None, Negative, Positive)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estrogen receptor status (Values: None, Negative, Positive)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HER2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human epidermal growth factor receptor 2 status (Values: None, Negative, Positive, Uncertain)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Grade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tumor grading (Values: None, G1, G2, G3)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IDC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invasive ductal carcinoma (Values: Yes/No)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ISDC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in situ ductal carcinoma (Values: Yes/No)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ILC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invasive lobular carcinoma (Values: Yes/No)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IPC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invasive papillary carcinoma (Values: Yes/No)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NSIC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not specific invasive carcinoma (Values: Yes/No)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ADLI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atypical ductal and lobular hyperplasia (Values: Yes/No)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40" w:before="0" w:beforeAutospacing="0" w:line="25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tubular carcinoma (Values: Yes/No)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