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D8F2" w14:textId="08E65B23" w:rsidR="00186CC5" w:rsidRPr="00F6134A" w:rsidRDefault="00E94D71">
      <w:pPr>
        <w:rPr>
          <w:rFonts w:ascii="Aptos" w:hAnsi="Aptos" w:cs="Times New Roman"/>
          <w:b/>
          <w:bCs/>
          <w:sz w:val="24"/>
          <w:szCs w:val="24"/>
        </w:rPr>
      </w:pPr>
      <w:r w:rsidRPr="00F6134A">
        <w:rPr>
          <w:rFonts w:ascii="Aptos" w:hAnsi="Aptos" w:cs="Times New Roman"/>
          <w:b/>
          <w:bCs/>
          <w:sz w:val="24"/>
          <w:szCs w:val="24"/>
        </w:rPr>
        <w:t xml:space="preserve">Table 1. </w:t>
      </w:r>
      <w:bookmarkStart w:id="0" w:name="_Hlk183524759"/>
      <w:r w:rsidRPr="00F6134A">
        <w:rPr>
          <w:rFonts w:ascii="Aptos" w:hAnsi="Aptos" w:cs="Times New Roman"/>
          <w:b/>
          <w:bCs/>
          <w:sz w:val="24"/>
          <w:szCs w:val="24"/>
        </w:rPr>
        <w:t>A Checklist For Justice In Global Health Education Initiatives</w:t>
      </w:r>
      <w:bookmarkEnd w:id="0"/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2"/>
        <w:gridCol w:w="1953"/>
        <w:gridCol w:w="4831"/>
      </w:tblGrid>
      <w:tr w:rsidR="00F6134A" w:rsidRPr="00F6134A" w14:paraId="065265B3" w14:textId="77777777" w:rsidTr="00216E8C">
        <w:trPr>
          <w:trHeight w:val="728"/>
        </w:trPr>
        <w:tc>
          <w:tcPr>
            <w:tcW w:w="1398" w:type="pct"/>
            <w:shd w:val="clear" w:color="auto" w:fill="1F3864" w:themeFill="accent1" w:themeFillShade="80"/>
            <w:vAlign w:val="center"/>
          </w:tcPr>
          <w:p w14:paraId="1AF4478A" w14:textId="4C2FDC93" w:rsidR="00E94D71" w:rsidRPr="00F6134A" w:rsidRDefault="00F6134A" w:rsidP="00216E8C">
            <w:pPr>
              <w:jc w:val="center"/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>ASPECT</w:t>
            </w:r>
          </w:p>
        </w:tc>
        <w:tc>
          <w:tcPr>
            <w:tcW w:w="722" w:type="pct"/>
            <w:shd w:val="clear" w:color="auto" w:fill="1F3864" w:themeFill="accent1" w:themeFillShade="80"/>
            <w:vAlign w:val="center"/>
          </w:tcPr>
          <w:p w14:paraId="28693F91" w14:textId="6F559320" w:rsidR="00E94D71" w:rsidRPr="00F6134A" w:rsidRDefault="00F6134A" w:rsidP="00216E8C">
            <w:pPr>
              <w:jc w:val="center"/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>COMPONENT</w:t>
            </w:r>
          </w:p>
        </w:tc>
        <w:tc>
          <w:tcPr>
            <w:tcW w:w="2880" w:type="pct"/>
            <w:shd w:val="clear" w:color="auto" w:fill="1F3864" w:themeFill="accent1" w:themeFillShade="80"/>
            <w:vAlign w:val="center"/>
          </w:tcPr>
          <w:p w14:paraId="68B86D9F" w14:textId="5549B121" w:rsidR="00E94D71" w:rsidRPr="00F6134A" w:rsidRDefault="00F6134A" w:rsidP="00216E8C">
            <w:pPr>
              <w:jc w:val="center"/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>INDICATOR</w:t>
            </w:r>
          </w:p>
        </w:tc>
      </w:tr>
      <w:tr w:rsidR="00F6134A" w:rsidRPr="00F6134A" w14:paraId="7E27D724" w14:textId="77777777" w:rsidTr="00216E8C">
        <w:trPr>
          <w:trHeight w:val="2193"/>
        </w:trPr>
        <w:tc>
          <w:tcPr>
            <w:tcW w:w="1398" w:type="pct"/>
            <w:vMerge w:val="restart"/>
            <w:shd w:val="clear" w:color="auto" w:fill="8EAADB" w:themeFill="accent1" w:themeFillTint="99"/>
            <w:vAlign w:val="center"/>
          </w:tcPr>
          <w:p w14:paraId="22143DF3" w14:textId="044B17CD" w:rsidR="00E94D71" w:rsidRPr="00F6134A" w:rsidRDefault="00F6134A" w:rsidP="00216E8C">
            <w:pPr>
              <w:jc w:val="center"/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 xml:space="preserve">SOCIOECONOMIC </w:t>
            </w: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br/>
              <w:t>EQUITY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7D995669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Comprehensive Financial Support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7E94F0C1" w14:textId="4005F4FA" w:rsidR="00E94D71" w:rsidRPr="00F6134A" w:rsidRDefault="00E94D71" w:rsidP="00216E8C">
            <w:pPr>
              <w:pStyle w:val="ListParagraph"/>
              <w:numPr>
                <w:ilvl w:val="0"/>
                <w:numId w:val="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Scholarships cover all essential costs: travel, accommodation, visa fees, and health insurance;</w:t>
            </w:r>
          </w:p>
          <w:p w14:paraId="32E50AA2" w14:textId="77777777" w:rsidR="00E94D71" w:rsidRPr="00F6134A" w:rsidRDefault="00E94D71" w:rsidP="00216E8C">
            <w:pPr>
              <w:pStyle w:val="ListParagraph"/>
              <w:numPr>
                <w:ilvl w:val="0"/>
                <w:numId w:val="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Daily allowance (</w:t>
            </w:r>
            <w:r w:rsidRPr="00F6134A">
              <w:rPr>
                <w:rFonts w:ascii="Aptos" w:hAnsi="Aptos" w:cs="Times New Roman"/>
                <w:i/>
                <w:iCs/>
                <w:noProof w:val="0"/>
                <w:sz w:val="24"/>
                <w:szCs w:val="24"/>
                <w:lang w:val="en-GB"/>
              </w:rPr>
              <w:t>per diem</w:t>
            </w: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) provided to cover meals, local transport, and incidental expenses;</w:t>
            </w:r>
          </w:p>
          <w:p w14:paraId="17D5BFB2" w14:textId="3091BA18" w:rsidR="00F6134A" w:rsidRPr="00F6134A" w:rsidRDefault="00E94D71" w:rsidP="00216E8C">
            <w:pPr>
              <w:pStyle w:val="ListParagraph"/>
              <w:numPr>
                <w:ilvl w:val="0"/>
                <w:numId w:val="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Transparent financial aid application process with clear criteria and accessible deadlines;</w:t>
            </w:r>
          </w:p>
        </w:tc>
      </w:tr>
      <w:tr w:rsidR="00F6134A" w:rsidRPr="00F6134A" w14:paraId="602AE8BB" w14:textId="77777777" w:rsidTr="00216E8C">
        <w:trPr>
          <w:trHeight w:val="2644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59758B38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0D6AC906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Logistical Support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54AEB150" w14:textId="5035B51D" w:rsidR="00E94D71" w:rsidRPr="00F6134A" w:rsidRDefault="00E94D71" w:rsidP="00216E8C">
            <w:pPr>
              <w:pStyle w:val="ListParagraph"/>
              <w:numPr>
                <w:ilvl w:val="0"/>
                <w:numId w:val="2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Application assistance provided, including guidance on completing forms and submitting documentation;</w:t>
            </w:r>
          </w:p>
          <w:p w14:paraId="4CD52480" w14:textId="77777777" w:rsidR="00E94D71" w:rsidRPr="00F6134A" w:rsidRDefault="00E94D71" w:rsidP="00216E8C">
            <w:pPr>
              <w:pStyle w:val="ListParagraph"/>
              <w:numPr>
                <w:ilvl w:val="0"/>
                <w:numId w:val="2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Visa application support with requirements and coverage of associated costs;</w:t>
            </w:r>
          </w:p>
          <w:p w14:paraId="27E6258F" w14:textId="77777777" w:rsidR="00E94D71" w:rsidRPr="00F6134A" w:rsidRDefault="00E94D71" w:rsidP="00216E8C">
            <w:pPr>
              <w:pStyle w:val="ListParagraph"/>
              <w:numPr>
                <w:ilvl w:val="0"/>
                <w:numId w:val="2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Assistance with travel and accommodation arrangements, including local recommendations and resources;</w:t>
            </w:r>
          </w:p>
          <w:p w14:paraId="433B975F" w14:textId="586EE027" w:rsidR="00F6134A" w:rsidRPr="00F6134A" w:rsidRDefault="00E94D71" w:rsidP="00216E8C">
            <w:pPr>
              <w:pStyle w:val="ListParagraph"/>
              <w:numPr>
                <w:ilvl w:val="0"/>
                <w:numId w:val="2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Welcome package with guidelines, cultural orientation, and local area recommendations;</w:t>
            </w:r>
          </w:p>
        </w:tc>
      </w:tr>
      <w:tr w:rsidR="00F6134A" w:rsidRPr="00F6134A" w14:paraId="4D976F15" w14:textId="77777777" w:rsidTr="00216E8C">
        <w:trPr>
          <w:trHeight w:val="1527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692F4A3D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563FED1C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Childcare support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6D783B0A" w14:textId="29EB978A" w:rsidR="00E94D71" w:rsidRPr="00F6134A" w:rsidRDefault="00E94D71" w:rsidP="00216E8C">
            <w:pPr>
              <w:pStyle w:val="ListParagraph"/>
              <w:numPr>
                <w:ilvl w:val="0"/>
                <w:numId w:val="3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Financial assistance or access to childcare facilities for participants with dependents;</w:t>
            </w:r>
          </w:p>
          <w:p w14:paraId="387DCFBE" w14:textId="66422744" w:rsidR="00F6134A" w:rsidRPr="00F6134A" w:rsidRDefault="00E94D71" w:rsidP="00216E8C">
            <w:pPr>
              <w:pStyle w:val="ListParagraph"/>
              <w:numPr>
                <w:ilvl w:val="0"/>
                <w:numId w:val="3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Childcare support information included in event materials and provided as part of financial aid options;</w:t>
            </w:r>
          </w:p>
        </w:tc>
      </w:tr>
      <w:tr w:rsidR="00F6134A" w:rsidRPr="00F6134A" w14:paraId="18B7BB0C" w14:textId="77777777" w:rsidTr="00216E8C">
        <w:trPr>
          <w:trHeight w:val="702"/>
        </w:trPr>
        <w:tc>
          <w:tcPr>
            <w:tcW w:w="1398" w:type="pct"/>
            <w:vMerge w:val="restart"/>
            <w:shd w:val="clear" w:color="auto" w:fill="8EAADB" w:themeFill="accent1" w:themeFillTint="99"/>
            <w:vAlign w:val="center"/>
          </w:tcPr>
          <w:p w14:paraId="458D6846" w14:textId="63A3CBA1" w:rsidR="00E94D71" w:rsidRPr="00F6134A" w:rsidRDefault="00F6134A" w:rsidP="00216E8C">
            <w:pPr>
              <w:jc w:val="center"/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>GENDER EQUITY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5CE611A1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Gender balance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013F4348" w14:textId="6FE7B2C2" w:rsidR="00E94D71" w:rsidRPr="00F6134A" w:rsidRDefault="00E94D71" w:rsidP="00216E8C">
            <w:pPr>
              <w:pStyle w:val="ListParagraph"/>
              <w:numPr>
                <w:ilvl w:val="0"/>
                <w:numId w:val="4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Balanced representation of male and female participants, lecturers, and speakers;</w:t>
            </w:r>
          </w:p>
          <w:p w14:paraId="7304C2F2" w14:textId="77777777" w:rsidR="00E94D71" w:rsidRPr="00F6134A" w:rsidRDefault="00E94D71" w:rsidP="00216E8C">
            <w:pPr>
              <w:pStyle w:val="ListParagraph"/>
              <w:numPr>
                <w:ilvl w:val="0"/>
                <w:numId w:val="4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Targeted recruitment strategies to promote female participation and leadership roles;</w:t>
            </w:r>
          </w:p>
        </w:tc>
      </w:tr>
      <w:tr w:rsidR="00F6134A" w:rsidRPr="00F6134A" w14:paraId="4ABA5849" w14:textId="77777777" w:rsidTr="00216E8C">
        <w:trPr>
          <w:trHeight w:val="702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5B8F8769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2C4AAEFF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Gender-Sensitive Curriculum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48283D09" w14:textId="60D18378" w:rsidR="00F6134A" w:rsidRPr="00F6134A" w:rsidRDefault="00E94D71" w:rsidP="00216E8C">
            <w:pPr>
              <w:pStyle w:val="ListParagraph"/>
              <w:numPr>
                <w:ilvl w:val="0"/>
                <w:numId w:val="5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Event curriculum incorporates gender-specific issues, including women’s health and diverse gender perspectives;</w:t>
            </w:r>
          </w:p>
        </w:tc>
      </w:tr>
      <w:tr w:rsidR="00F6134A" w:rsidRPr="00F6134A" w14:paraId="323076B3" w14:textId="77777777" w:rsidTr="00216E8C">
        <w:trPr>
          <w:trHeight w:val="702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69D9D670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6504726F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Leadership Development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76A6EDCE" w14:textId="07CF6FD0" w:rsidR="00E94D71" w:rsidRPr="00F6134A" w:rsidRDefault="00E94D71" w:rsidP="00216E8C">
            <w:pPr>
              <w:pStyle w:val="ListParagraph"/>
              <w:numPr>
                <w:ilvl w:val="0"/>
                <w:numId w:val="5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Mentorship and leadership training opportunities tailored to the needs of both female and male participants;</w:t>
            </w:r>
          </w:p>
          <w:p w14:paraId="7CFDDDBC" w14:textId="524C9840" w:rsidR="00F6134A" w:rsidRPr="00F6134A" w:rsidRDefault="00E94D71" w:rsidP="00216E8C">
            <w:pPr>
              <w:pStyle w:val="ListParagraph"/>
              <w:numPr>
                <w:ilvl w:val="0"/>
                <w:numId w:val="5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Leadership sessions structured to support inclusive professional development;</w:t>
            </w:r>
          </w:p>
        </w:tc>
      </w:tr>
      <w:tr w:rsidR="00F6134A" w:rsidRPr="00F6134A" w14:paraId="5487C260" w14:textId="77777777" w:rsidTr="00216E8C">
        <w:trPr>
          <w:trHeight w:val="702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08467F2E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1389CC80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Zero-Violence Policy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2876F43D" w14:textId="77777777" w:rsidR="00E94D71" w:rsidRPr="00F6134A" w:rsidRDefault="00E94D71" w:rsidP="00216E8C">
            <w:pPr>
              <w:pStyle w:val="ListParagraph"/>
              <w:numPr>
                <w:ilvl w:val="0"/>
                <w:numId w:val="5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Enforcement of a zero-tolerance policy against discrimination, harassment, and hate speech;</w:t>
            </w:r>
          </w:p>
          <w:p w14:paraId="7684824D" w14:textId="798E85BC" w:rsidR="00F6134A" w:rsidRPr="00F6134A" w:rsidRDefault="00E94D71" w:rsidP="00216E8C">
            <w:pPr>
              <w:pStyle w:val="ListParagraph"/>
              <w:numPr>
                <w:ilvl w:val="0"/>
                <w:numId w:val="5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Clear guidelines on Zero-Violence Policy communicated to all participants and personnel;</w:t>
            </w:r>
          </w:p>
        </w:tc>
      </w:tr>
      <w:tr w:rsidR="00F6134A" w:rsidRPr="00F6134A" w14:paraId="304B0436" w14:textId="77777777" w:rsidTr="00216E8C">
        <w:trPr>
          <w:trHeight w:val="410"/>
        </w:trPr>
        <w:tc>
          <w:tcPr>
            <w:tcW w:w="1398" w:type="pct"/>
            <w:vMerge w:val="restart"/>
            <w:shd w:val="clear" w:color="auto" w:fill="8EAADB" w:themeFill="accent1" w:themeFillTint="99"/>
            <w:vAlign w:val="center"/>
          </w:tcPr>
          <w:p w14:paraId="7738C732" w14:textId="092B15ED" w:rsidR="00E94D71" w:rsidRPr="00F6134A" w:rsidRDefault="00F6134A" w:rsidP="00216E8C">
            <w:pPr>
              <w:jc w:val="center"/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</w:pPr>
            <w:r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 xml:space="preserve">INCLUSIVENESS </w:t>
            </w:r>
            <w:r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br/>
            </w:r>
            <w:r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US"/>
              </w:rPr>
              <w:t xml:space="preserve">&amp; </w:t>
            </w: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>DISABILITY JUSTICE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583EBFB3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Accessibility of Facilities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7A4D1DA6" w14:textId="77777777" w:rsidR="00E94D71" w:rsidRPr="00F6134A" w:rsidRDefault="00E94D71" w:rsidP="00216E8C">
            <w:pPr>
              <w:pStyle w:val="ListParagraph"/>
              <w:numPr>
                <w:ilvl w:val="0"/>
                <w:numId w:val="5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Full physical accessibility for classrooms, event venues, and teaching spaces;</w:t>
            </w:r>
          </w:p>
          <w:p w14:paraId="7B777185" w14:textId="191608B6" w:rsidR="00F6134A" w:rsidRPr="00F6134A" w:rsidRDefault="00E94D71" w:rsidP="00216E8C">
            <w:pPr>
              <w:pStyle w:val="ListParagraph"/>
              <w:numPr>
                <w:ilvl w:val="0"/>
                <w:numId w:val="5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Hybrid participation options for those unable to attend in person due to health conditions;</w:t>
            </w:r>
          </w:p>
        </w:tc>
      </w:tr>
      <w:tr w:rsidR="00F6134A" w:rsidRPr="00F6134A" w14:paraId="31D9A3A7" w14:textId="77777777" w:rsidTr="00216E8C">
        <w:trPr>
          <w:trHeight w:val="410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48ED6010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558B147C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Accessible Learning Materials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539DCE9C" w14:textId="77777777" w:rsidR="00E94D71" w:rsidRPr="00F6134A" w:rsidRDefault="00E94D71" w:rsidP="00216E8C">
            <w:pPr>
              <w:pStyle w:val="ListParagraph"/>
              <w:numPr>
                <w:ilvl w:val="0"/>
                <w:numId w:val="6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Provision of accessible materials, such as lecture transcripts, closed captioning, and recorded sessions;</w:t>
            </w:r>
          </w:p>
          <w:p w14:paraId="680C1049" w14:textId="618FA93A" w:rsidR="00F6134A" w:rsidRPr="00F6134A" w:rsidRDefault="00E94D71" w:rsidP="00216E8C">
            <w:pPr>
              <w:pStyle w:val="ListParagraph"/>
              <w:numPr>
                <w:ilvl w:val="0"/>
                <w:numId w:val="6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Additional support available for neurodivergent students, ensuring equitable learning opportunities;</w:t>
            </w:r>
          </w:p>
        </w:tc>
      </w:tr>
      <w:tr w:rsidR="00F6134A" w:rsidRPr="00F6134A" w14:paraId="293BE031" w14:textId="77777777" w:rsidTr="00216E8C">
        <w:trPr>
          <w:trHeight w:val="410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0567FD10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0163F58E" w14:textId="77E502EF" w:rsidR="00E94D71" w:rsidRPr="00F6134A" w:rsidRDefault="00321705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Diversity and inclusion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3CFFF884" w14:textId="77777777" w:rsidR="00216E8C" w:rsidRDefault="00216E8C" w:rsidP="00216E8C">
            <w:pPr>
              <w:pStyle w:val="ListParagraph"/>
              <w:numPr>
                <w:ilvl w:val="0"/>
                <w:numId w:val="7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216E8C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Dedicated staff member to support the needs of students from diverse and underrepresented backgrounds.</w:t>
            </w:r>
          </w:p>
          <w:p w14:paraId="2F7EA991" w14:textId="59DAE13E" w:rsidR="00E94D71" w:rsidRPr="00F6134A" w:rsidRDefault="00E94D71" w:rsidP="00216E8C">
            <w:pPr>
              <w:pStyle w:val="ListParagraph"/>
              <w:numPr>
                <w:ilvl w:val="0"/>
                <w:numId w:val="7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Pronouns of participants are respected and displayed prominently to foster inclusivity;</w:t>
            </w:r>
          </w:p>
        </w:tc>
      </w:tr>
      <w:tr w:rsidR="00F6134A" w:rsidRPr="00F6134A" w14:paraId="0818F7E0" w14:textId="77777777" w:rsidTr="00216E8C">
        <w:trPr>
          <w:trHeight w:val="1014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79147A55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21A61A79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Awareness and Training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7C5256B7" w14:textId="52893AAB" w:rsidR="00E94D71" w:rsidRPr="00F6134A" w:rsidRDefault="00E94D71" w:rsidP="00216E8C">
            <w:pPr>
              <w:pStyle w:val="ListParagraph"/>
              <w:numPr>
                <w:ilvl w:val="0"/>
                <w:numId w:val="8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 xml:space="preserve">Distribution of guidelines </w:t>
            </w:r>
            <w:r w:rsidR="00216E8C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promoting</w:t>
            </w: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 xml:space="preserve"> disability inclusi</w:t>
            </w:r>
            <w:r w:rsidR="00216E8C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ve practices available</w:t>
            </w: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 xml:space="preserve"> to all attendees and facilitators;</w:t>
            </w:r>
          </w:p>
          <w:p w14:paraId="7DD5A49C" w14:textId="3A219053" w:rsidR="00F6134A" w:rsidRPr="00F6134A" w:rsidRDefault="00E94D71" w:rsidP="00216E8C">
            <w:pPr>
              <w:pStyle w:val="ListParagraph"/>
              <w:numPr>
                <w:ilvl w:val="0"/>
                <w:numId w:val="8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Designated person to monitor and uphold disability justice standards throughout the event;</w:t>
            </w:r>
          </w:p>
        </w:tc>
      </w:tr>
      <w:tr w:rsidR="00F6134A" w:rsidRPr="00F6134A" w14:paraId="572953E0" w14:textId="77777777" w:rsidTr="00216E8C">
        <w:trPr>
          <w:trHeight w:val="898"/>
        </w:trPr>
        <w:tc>
          <w:tcPr>
            <w:tcW w:w="1398" w:type="pct"/>
            <w:vMerge w:val="restart"/>
            <w:shd w:val="clear" w:color="auto" w:fill="8EAADB" w:themeFill="accent1" w:themeFillTint="99"/>
            <w:vAlign w:val="center"/>
          </w:tcPr>
          <w:p w14:paraId="40EA01F3" w14:textId="4ECC6098" w:rsidR="00E94D71" w:rsidRPr="00F6134A" w:rsidRDefault="00F6134A" w:rsidP="00216E8C">
            <w:pPr>
              <w:jc w:val="center"/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>DECOLONIZATION PRINCIPLES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6C599C3E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Representation of LMIC Participants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44CBF5FA" w14:textId="77777777" w:rsidR="00E94D71" w:rsidRPr="00F6134A" w:rsidRDefault="00E94D71" w:rsidP="00216E8C">
            <w:pPr>
              <w:pStyle w:val="ListParagraph"/>
              <w:numPr>
                <w:ilvl w:val="0"/>
                <w:numId w:val="9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Active representation from all WHO regions, particularly among LMIC participants and lecturers;</w:t>
            </w:r>
          </w:p>
          <w:p w14:paraId="5FA8509C" w14:textId="6C3DB8EA" w:rsidR="00F6134A" w:rsidRPr="00F6134A" w:rsidRDefault="00E94D71" w:rsidP="00216E8C">
            <w:pPr>
              <w:pStyle w:val="ListParagraph"/>
              <w:numPr>
                <w:ilvl w:val="0"/>
                <w:numId w:val="9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Collaborative engagement with LMIC institutions to foster mutual learning and fair knowledge distribution;</w:t>
            </w:r>
          </w:p>
        </w:tc>
      </w:tr>
      <w:tr w:rsidR="00F6134A" w:rsidRPr="00F6134A" w14:paraId="2346CF97" w14:textId="77777777" w:rsidTr="00216E8C">
        <w:trPr>
          <w:trHeight w:val="1074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6783A518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40617910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Language Accessibility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766E3180" w14:textId="77777777" w:rsidR="00E94D71" w:rsidRPr="00F6134A" w:rsidRDefault="00E94D71" w:rsidP="00216E8C">
            <w:pPr>
              <w:pStyle w:val="ListParagraph"/>
              <w:numPr>
                <w:ilvl w:val="0"/>
                <w:numId w:val="10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Simultaneous translation is available for non-English speakers when required;</w:t>
            </w:r>
          </w:p>
          <w:p w14:paraId="7C6E01C5" w14:textId="6278CFD5" w:rsidR="00F6134A" w:rsidRPr="00216E8C" w:rsidRDefault="00E94D71" w:rsidP="00216E8C">
            <w:pPr>
              <w:pStyle w:val="ListParagraph"/>
              <w:numPr>
                <w:ilvl w:val="0"/>
                <w:numId w:val="10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lastRenderedPageBreak/>
              <w:t>Materials provided in multiple languages, with digital copies for ease of access and translation;</w:t>
            </w:r>
          </w:p>
        </w:tc>
      </w:tr>
      <w:tr w:rsidR="00F6134A" w:rsidRPr="00F6134A" w14:paraId="3855547C" w14:textId="77777777" w:rsidTr="00216E8C">
        <w:trPr>
          <w:trHeight w:val="662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6E96926B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217C066A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Decolonized Curriculum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2E0EC795" w14:textId="77777777" w:rsidR="00E94D71" w:rsidRPr="00F6134A" w:rsidRDefault="00E94D71" w:rsidP="00216E8C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Curriculum addresses decolonization principles and global justice topics;</w:t>
            </w:r>
          </w:p>
          <w:p w14:paraId="080B6604" w14:textId="2A14B7F5" w:rsidR="00F6134A" w:rsidRPr="00F6134A" w:rsidRDefault="00E94D71" w:rsidP="00216E8C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Sufficient time allocated for discussions on these topics, encouraging critical engagement;</w:t>
            </w:r>
          </w:p>
        </w:tc>
      </w:tr>
      <w:tr w:rsidR="00F6134A" w:rsidRPr="00F6134A" w14:paraId="6050F344" w14:textId="77777777" w:rsidTr="00216E8C">
        <w:trPr>
          <w:trHeight w:val="410"/>
        </w:trPr>
        <w:tc>
          <w:tcPr>
            <w:tcW w:w="1398" w:type="pct"/>
            <w:vMerge w:val="restart"/>
            <w:shd w:val="clear" w:color="auto" w:fill="8EAADB" w:themeFill="accent1" w:themeFillTint="99"/>
            <w:vAlign w:val="center"/>
          </w:tcPr>
          <w:p w14:paraId="3C96F941" w14:textId="218BB624" w:rsidR="00E94D71" w:rsidRPr="00F6134A" w:rsidRDefault="00F6134A" w:rsidP="00216E8C">
            <w:pPr>
              <w:jc w:val="center"/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>SUSTAINABILITY &amp; TRANSPARENCY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06E51526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Theory of Change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1D6900D0" w14:textId="33D39097" w:rsidR="00F6134A" w:rsidRPr="00F6134A" w:rsidRDefault="00E94D71" w:rsidP="00216E8C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Detailed report on the event’s goals, theory of change, and intended impacts shared with participants beforehand;</w:t>
            </w:r>
          </w:p>
        </w:tc>
      </w:tr>
      <w:tr w:rsidR="00F6134A" w:rsidRPr="00F6134A" w14:paraId="1FFA917E" w14:textId="77777777" w:rsidTr="00216E8C">
        <w:trPr>
          <w:trHeight w:val="410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1C917164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12B7BC35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Outcome Reporting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2DBBFD8B" w14:textId="186273F9" w:rsidR="00F6134A" w:rsidRPr="00F6134A" w:rsidRDefault="00E94D71" w:rsidP="00216E8C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Publicly accessible report with clear outcomes, achieved milestones, and key lessons from the event;</w:t>
            </w:r>
          </w:p>
        </w:tc>
      </w:tr>
      <w:tr w:rsidR="00F6134A" w:rsidRPr="00F6134A" w14:paraId="2F8BD747" w14:textId="77777777" w:rsidTr="00216E8C">
        <w:trPr>
          <w:trHeight w:val="410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6AAC5A00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710599EC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Achieved Relevance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7EEEF076" w14:textId="77777777" w:rsidR="00E94D71" w:rsidRPr="00F6134A" w:rsidRDefault="00E94D71" w:rsidP="00216E8C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 xml:space="preserve">Participants have been included in discussions on curriculum design and provided feedback on their needs; </w:t>
            </w:r>
          </w:p>
        </w:tc>
      </w:tr>
      <w:tr w:rsidR="00F6134A" w:rsidRPr="00F6134A" w14:paraId="66FC59C4" w14:textId="77777777" w:rsidTr="00216E8C">
        <w:trPr>
          <w:trHeight w:val="410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22CE94BD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6A2CD73F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Ethical Financing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554A7BC1" w14:textId="77777777" w:rsidR="00E94D71" w:rsidRPr="00F6134A" w:rsidRDefault="00E94D71" w:rsidP="00216E8C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Financial transparency with funding sources declared, avoiding commercial interests that may bias content;</w:t>
            </w:r>
          </w:p>
          <w:p w14:paraId="257A7C39" w14:textId="4176F06C" w:rsidR="00F6134A" w:rsidRPr="00F6134A" w:rsidRDefault="00E94D71" w:rsidP="00216E8C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Regularly published financial reports to maintain accountability;</w:t>
            </w:r>
          </w:p>
        </w:tc>
      </w:tr>
      <w:tr w:rsidR="00F6134A" w:rsidRPr="00F6134A" w14:paraId="5E37A4B0" w14:textId="77777777" w:rsidTr="00216E8C">
        <w:trPr>
          <w:trHeight w:val="733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7A0CA3D8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51F68809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Participant Feedback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79CD90C4" w14:textId="76EADC34" w:rsidR="00F6134A" w:rsidRPr="00F6134A" w:rsidRDefault="00E94D71" w:rsidP="00216E8C">
            <w:pPr>
              <w:pStyle w:val="ListParagraph"/>
              <w:numPr>
                <w:ilvl w:val="0"/>
                <w:numId w:val="12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Channels for participants to submit feedback, with transparent follow-up and response processes;</w:t>
            </w:r>
          </w:p>
        </w:tc>
      </w:tr>
      <w:tr w:rsidR="00F6134A" w:rsidRPr="00F6134A" w14:paraId="2B4A58AB" w14:textId="77777777" w:rsidTr="00216E8C">
        <w:trPr>
          <w:trHeight w:val="862"/>
        </w:trPr>
        <w:tc>
          <w:tcPr>
            <w:tcW w:w="1398" w:type="pct"/>
            <w:vMerge w:val="restart"/>
            <w:shd w:val="clear" w:color="auto" w:fill="8EAADB" w:themeFill="accent1" w:themeFillTint="99"/>
            <w:vAlign w:val="center"/>
          </w:tcPr>
          <w:p w14:paraId="17B5ECF3" w14:textId="6A0F0C52" w:rsidR="00E94D71" w:rsidRPr="00F6134A" w:rsidRDefault="00F6134A" w:rsidP="00216E8C">
            <w:pPr>
              <w:jc w:val="center"/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noProof w:val="0"/>
                <w:sz w:val="24"/>
                <w:szCs w:val="24"/>
                <w:lang w:val="en-GB"/>
              </w:rPr>
              <w:t>ENVIRONMENTAL IMPACT OF EDUCATION</w:t>
            </w: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394FE72A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Carbon Footprint Management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49641BA3" w14:textId="77777777" w:rsidR="00E94D71" w:rsidRPr="00F6134A" w:rsidRDefault="00E94D71" w:rsidP="00216E8C">
            <w:pPr>
              <w:pStyle w:val="ListParagraph"/>
              <w:numPr>
                <w:ilvl w:val="0"/>
                <w:numId w:val="12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Calculation and communication of the event’s total carbon footprint to participants;</w:t>
            </w:r>
          </w:p>
          <w:p w14:paraId="20850CD7" w14:textId="0357FCEB" w:rsidR="00F6134A" w:rsidRPr="00F6134A" w:rsidRDefault="00E94D71" w:rsidP="00216E8C">
            <w:pPr>
              <w:pStyle w:val="ListParagraph"/>
              <w:numPr>
                <w:ilvl w:val="0"/>
                <w:numId w:val="12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Estimated individual carbon contributions shared with attendees;</w:t>
            </w:r>
          </w:p>
        </w:tc>
      </w:tr>
      <w:tr w:rsidR="00F6134A" w:rsidRPr="00F6134A" w14:paraId="750B3C9D" w14:textId="77777777" w:rsidTr="00216E8C">
        <w:trPr>
          <w:trHeight w:val="862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5E385350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31E110EF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Environmental Mitigation Strategy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225377BE" w14:textId="77777777" w:rsidR="00E94D71" w:rsidRPr="00F6134A" w:rsidRDefault="00E94D71" w:rsidP="00216E8C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Appointed coordinator to manage environmental impact reduction strategies;</w:t>
            </w:r>
          </w:p>
          <w:p w14:paraId="77258278" w14:textId="3F133C47" w:rsidR="00F6134A" w:rsidRPr="00F6134A" w:rsidRDefault="00E94D71" w:rsidP="00216E8C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Public report on actions taken to minimize the environmental impact of the event;</w:t>
            </w:r>
          </w:p>
        </w:tc>
      </w:tr>
      <w:tr w:rsidR="00F6134A" w:rsidRPr="00F6134A" w14:paraId="1DCE5A4B" w14:textId="77777777" w:rsidTr="00216E8C">
        <w:trPr>
          <w:trHeight w:val="862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4B213929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549AC9E9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Digital Participation Options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5140DEB0" w14:textId="77777777" w:rsidR="00E94D71" w:rsidRPr="00F6134A" w:rsidRDefault="00E94D71" w:rsidP="00216E8C">
            <w:pPr>
              <w:pStyle w:val="ListParagraph"/>
              <w:numPr>
                <w:ilvl w:val="0"/>
                <w:numId w:val="14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Meaningful online participation options to reduce travel-related emissions;</w:t>
            </w:r>
          </w:p>
          <w:p w14:paraId="40ABE71F" w14:textId="2F8DB919" w:rsidR="00F6134A" w:rsidRPr="00216E8C" w:rsidRDefault="00E94D71" w:rsidP="00216E8C">
            <w:pPr>
              <w:pStyle w:val="ListParagraph"/>
              <w:numPr>
                <w:ilvl w:val="0"/>
                <w:numId w:val="14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Strategies in place to encourage virtual participation when appropriate;</w:t>
            </w:r>
          </w:p>
        </w:tc>
      </w:tr>
      <w:tr w:rsidR="00F6134A" w:rsidRPr="00F6134A" w14:paraId="16C221D2" w14:textId="77777777" w:rsidTr="00216E8C">
        <w:trPr>
          <w:trHeight w:val="862"/>
        </w:trPr>
        <w:tc>
          <w:tcPr>
            <w:tcW w:w="1398" w:type="pct"/>
            <w:vMerge/>
            <w:shd w:val="clear" w:color="auto" w:fill="8EAADB" w:themeFill="accent1" w:themeFillTint="99"/>
            <w:vAlign w:val="center"/>
          </w:tcPr>
          <w:p w14:paraId="106AB468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D9E2F3" w:themeFill="accent1" w:themeFillTint="33"/>
            <w:vAlign w:val="center"/>
          </w:tcPr>
          <w:p w14:paraId="6897C65B" w14:textId="77777777" w:rsidR="00E94D71" w:rsidRPr="00F6134A" w:rsidRDefault="00E94D71" w:rsidP="00216E8C">
            <w:pPr>
              <w:jc w:val="center"/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b/>
                <w:bCs/>
                <w:i/>
                <w:iCs/>
                <w:noProof w:val="0"/>
                <w:sz w:val="24"/>
                <w:szCs w:val="24"/>
                <w:lang w:val="en-GB"/>
              </w:rPr>
              <w:t>Sustainable Food Choices</w:t>
            </w:r>
          </w:p>
        </w:tc>
        <w:tc>
          <w:tcPr>
            <w:tcW w:w="2880" w:type="pct"/>
            <w:shd w:val="clear" w:color="auto" w:fill="F2F2F2" w:themeFill="background1" w:themeFillShade="F2"/>
            <w:vAlign w:val="center"/>
          </w:tcPr>
          <w:p w14:paraId="21A18354" w14:textId="77777777" w:rsidR="00E94D71" w:rsidRPr="00F6134A" w:rsidRDefault="00E94D71" w:rsidP="00216E8C">
            <w:pPr>
              <w:pStyle w:val="ListParagraph"/>
              <w:numPr>
                <w:ilvl w:val="0"/>
                <w:numId w:val="15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Fairtrade and sustainably sourced food and refreshments provided;</w:t>
            </w:r>
          </w:p>
          <w:p w14:paraId="4C37E111" w14:textId="2C779FC2" w:rsidR="00F6134A" w:rsidRPr="00F6134A" w:rsidRDefault="00E94D71" w:rsidP="00216E8C">
            <w:pPr>
              <w:pStyle w:val="ListParagraph"/>
              <w:numPr>
                <w:ilvl w:val="0"/>
                <w:numId w:val="15"/>
              </w:numPr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</w:pPr>
            <w:r w:rsidRPr="00F6134A">
              <w:rPr>
                <w:rFonts w:ascii="Aptos" w:hAnsi="Aptos" w:cs="Times New Roman"/>
                <w:noProof w:val="0"/>
                <w:sz w:val="24"/>
                <w:szCs w:val="24"/>
                <w:lang w:val="en-GB"/>
              </w:rPr>
              <w:t>Option for plant-based meals to reduce the carbon footprint of event catering;</w:t>
            </w:r>
          </w:p>
        </w:tc>
      </w:tr>
    </w:tbl>
    <w:p w14:paraId="0AEF5749" w14:textId="77777777" w:rsidR="00E94D71" w:rsidRPr="00F6134A" w:rsidRDefault="00E94D71">
      <w:pPr>
        <w:rPr>
          <w:rFonts w:ascii="Aptos" w:hAnsi="Aptos"/>
        </w:rPr>
      </w:pPr>
    </w:p>
    <w:sectPr w:rsidR="00E94D71" w:rsidRPr="00F6134A" w:rsidSect="00216E8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A7928"/>
    <w:multiLevelType w:val="hybridMultilevel"/>
    <w:tmpl w:val="6CC4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1C5F"/>
    <w:multiLevelType w:val="hybridMultilevel"/>
    <w:tmpl w:val="1F92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55F6"/>
    <w:multiLevelType w:val="hybridMultilevel"/>
    <w:tmpl w:val="1EE83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89"/>
    <w:multiLevelType w:val="hybridMultilevel"/>
    <w:tmpl w:val="F5DE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848E9"/>
    <w:multiLevelType w:val="hybridMultilevel"/>
    <w:tmpl w:val="C8BA3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2A9"/>
    <w:multiLevelType w:val="hybridMultilevel"/>
    <w:tmpl w:val="619E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1ADA"/>
    <w:multiLevelType w:val="hybridMultilevel"/>
    <w:tmpl w:val="9A02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E7BAA"/>
    <w:multiLevelType w:val="hybridMultilevel"/>
    <w:tmpl w:val="8BD61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13F9D"/>
    <w:multiLevelType w:val="hybridMultilevel"/>
    <w:tmpl w:val="4F7E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770DD"/>
    <w:multiLevelType w:val="hybridMultilevel"/>
    <w:tmpl w:val="2608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F35C2"/>
    <w:multiLevelType w:val="hybridMultilevel"/>
    <w:tmpl w:val="00F4D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533F9"/>
    <w:multiLevelType w:val="hybridMultilevel"/>
    <w:tmpl w:val="130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0536"/>
    <w:multiLevelType w:val="hybridMultilevel"/>
    <w:tmpl w:val="1526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83A6F"/>
    <w:multiLevelType w:val="hybridMultilevel"/>
    <w:tmpl w:val="0398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D6D35"/>
    <w:multiLevelType w:val="hybridMultilevel"/>
    <w:tmpl w:val="B7A6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43700">
    <w:abstractNumId w:val="13"/>
  </w:num>
  <w:num w:numId="2" w16cid:durableId="1157844602">
    <w:abstractNumId w:val="8"/>
  </w:num>
  <w:num w:numId="3" w16cid:durableId="1375813588">
    <w:abstractNumId w:val="11"/>
  </w:num>
  <w:num w:numId="4" w16cid:durableId="1737123235">
    <w:abstractNumId w:val="14"/>
  </w:num>
  <w:num w:numId="5" w16cid:durableId="1881547436">
    <w:abstractNumId w:val="7"/>
  </w:num>
  <w:num w:numId="6" w16cid:durableId="212350578">
    <w:abstractNumId w:val="10"/>
  </w:num>
  <w:num w:numId="7" w16cid:durableId="1710645176">
    <w:abstractNumId w:val="12"/>
  </w:num>
  <w:num w:numId="8" w16cid:durableId="1319992503">
    <w:abstractNumId w:val="4"/>
  </w:num>
  <w:num w:numId="9" w16cid:durableId="733312056">
    <w:abstractNumId w:val="9"/>
  </w:num>
  <w:num w:numId="10" w16cid:durableId="606424063">
    <w:abstractNumId w:val="2"/>
  </w:num>
  <w:num w:numId="11" w16cid:durableId="1600329953">
    <w:abstractNumId w:val="0"/>
  </w:num>
  <w:num w:numId="12" w16cid:durableId="977145508">
    <w:abstractNumId w:val="5"/>
  </w:num>
  <w:num w:numId="13" w16cid:durableId="849107502">
    <w:abstractNumId w:val="6"/>
  </w:num>
  <w:num w:numId="14" w16cid:durableId="2007241169">
    <w:abstractNumId w:val="1"/>
  </w:num>
  <w:num w:numId="15" w16cid:durableId="863594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yNDYyNTE2MDM2MbVQ0lEKTi0uzszPAykwrAUAZGsnqSwAAAA="/>
  </w:docVars>
  <w:rsids>
    <w:rsidRoot w:val="00186CC5"/>
    <w:rsid w:val="00186CC5"/>
    <w:rsid w:val="00216E8C"/>
    <w:rsid w:val="002E2475"/>
    <w:rsid w:val="00301EE7"/>
    <w:rsid w:val="00321705"/>
    <w:rsid w:val="005519E9"/>
    <w:rsid w:val="00E94D71"/>
    <w:rsid w:val="00F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D3065"/>
  <w15:chartTrackingRefBased/>
  <w15:docId w15:val="{0BC35FC5-222F-4CCC-AEC3-27727B9F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D71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D71"/>
    <w:pPr>
      <w:ind w:left="720"/>
      <w:contextualSpacing/>
    </w:pPr>
  </w:style>
  <w:style w:type="table" w:styleId="TableGrid">
    <w:name w:val="Table Grid"/>
    <w:basedOn w:val="TableNormal"/>
    <w:uiPriority w:val="39"/>
    <w:rsid w:val="00E94D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586</Words>
  <Characters>4273</Characters>
  <Application>Microsoft Office Word</Application>
  <DocSecurity>0</DocSecurity>
  <Lines>224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2024-12-09T16:56:00Z</dcterms:created>
  <dcterms:modified xsi:type="dcterms:W3CDTF">2025-05-20T11:40:00Z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d034ebdb84b5205116f4f36f6f9a9527a4d540f1e5efd1300ff58946b9eab850</vt:lpwstr>
  </property>
</Properties>
</file>