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5A970">
      <w:pPr>
        <w:keepNext w:val="0"/>
        <w:keepLines w:val="0"/>
        <w:pageBreakBefore w:val="0"/>
        <w:kinsoku/>
        <w:wordWrap/>
        <w:overflowPunct/>
        <w:topLinePunct w:val="0"/>
        <w:bidi w:val="0"/>
        <w:spacing w:after="0" w:line="300" w:lineRule="auto"/>
        <w:jc w:val="both"/>
        <w:textAlignment w:val="auto"/>
        <w:rPr>
          <w:rFonts w:ascii="Arial" w:hAnsi="Arial" w:cs="Arial"/>
          <w:b/>
          <w:bCs/>
          <w:color w:val="auto"/>
          <w:sz w:val="24"/>
        </w:rPr>
      </w:pPr>
      <w:r>
        <w:rPr>
          <w:rFonts w:ascii="Arial" w:hAnsi="Arial" w:cs="Arial"/>
          <w:b/>
          <w:bCs/>
          <w:color w:val="auto"/>
          <w:sz w:val="24"/>
        </w:rPr>
        <w:t xml:space="preserve">PLCH1 </w:t>
      </w:r>
      <w:r>
        <w:rPr>
          <w:rFonts w:hint="eastAsia" w:ascii="Arial" w:hAnsi="Arial" w:cs="Arial"/>
          <w:b/>
          <w:bCs/>
          <w:color w:val="auto"/>
          <w:sz w:val="24"/>
        </w:rPr>
        <w:t xml:space="preserve">overexpression </w:t>
      </w:r>
      <w:r>
        <w:rPr>
          <w:rFonts w:ascii="Arial" w:hAnsi="Arial" w:cs="Arial"/>
          <w:b/>
          <w:bCs/>
          <w:color w:val="auto"/>
          <w:sz w:val="24"/>
        </w:rPr>
        <w:t xml:space="preserve">promotes breast cancer progression and </w:t>
      </w:r>
      <w:r>
        <w:rPr>
          <w:rFonts w:hint="eastAsia" w:ascii="Arial" w:hAnsi="Arial" w:cs="Arial"/>
          <w:b/>
          <w:bCs/>
          <w:color w:val="auto"/>
          <w:sz w:val="24"/>
        </w:rPr>
        <w:t xml:space="preserve">predicts </w:t>
      </w:r>
      <w:r>
        <w:rPr>
          <w:rFonts w:ascii="Arial" w:hAnsi="Arial" w:cs="Arial"/>
          <w:b/>
          <w:bCs/>
          <w:color w:val="auto"/>
          <w:sz w:val="24"/>
        </w:rPr>
        <w:t>poor prognosis through the ERK1/2-EGR1 axis</w:t>
      </w:r>
    </w:p>
    <w:p w14:paraId="754B181C">
      <w:pPr>
        <w:keepNext w:val="0"/>
        <w:keepLines w:val="0"/>
        <w:pageBreakBefore w:val="0"/>
        <w:kinsoku/>
        <w:wordWrap/>
        <w:overflowPunct/>
        <w:topLinePunct w:val="0"/>
        <w:bidi w:val="0"/>
        <w:spacing w:after="0" w:line="300" w:lineRule="auto"/>
        <w:textAlignment w:val="auto"/>
        <w:rPr>
          <w:rFonts w:ascii="Arial" w:hAnsi="Arial" w:cs="Arial"/>
          <w:color w:val="auto"/>
          <w:sz w:val="21"/>
          <w:szCs w:val="21"/>
          <w14:ligatures w14:val="none"/>
        </w:rPr>
      </w:pPr>
      <w:r>
        <w:rPr>
          <w:rFonts w:ascii="Arial" w:hAnsi="Arial" w:cs="Arial"/>
          <w:color w:val="auto"/>
          <w:sz w:val="24"/>
        </w:rPr>
        <w:t>Jing Li</w:t>
      </w:r>
      <w:r>
        <w:rPr>
          <w:rFonts w:ascii="Arial" w:hAnsi="Arial" w:cs="Arial"/>
          <w:color w:val="auto"/>
          <w:kern w:val="0"/>
          <w:sz w:val="24"/>
          <w:vertAlign w:val="superscript"/>
        </w:rPr>
        <w:t>1,#</w:t>
      </w:r>
      <w:r>
        <w:rPr>
          <w:rFonts w:ascii="Arial" w:hAnsi="Arial" w:cs="Arial"/>
          <w:color w:val="auto"/>
          <w:sz w:val="24"/>
        </w:rPr>
        <w:t>, Fenge Jiang</w:t>
      </w:r>
      <w:r>
        <w:rPr>
          <w:rFonts w:ascii="Arial" w:hAnsi="Arial" w:cs="Arial"/>
          <w:color w:val="auto"/>
          <w:kern w:val="0"/>
          <w:sz w:val="24"/>
          <w:vertAlign w:val="superscript"/>
        </w:rPr>
        <w:t>2,#</w:t>
      </w:r>
      <w:r>
        <w:rPr>
          <w:rFonts w:ascii="Arial" w:hAnsi="Arial" w:cs="Arial"/>
          <w:color w:val="auto"/>
          <w:sz w:val="24"/>
        </w:rPr>
        <w:t>, Congcong Wang</w:t>
      </w:r>
      <w:r>
        <w:rPr>
          <w:rFonts w:ascii="Arial" w:hAnsi="Arial" w:cs="Arial"/>
          <w:color w:val="auto"/>
          <w:kern w:val="0"/>
          <w:sz w:val="24"/>
          <w:vertAlign w:val="superscript"/>
        </w:rPr>
        <w:t>2,#</w:t>
      </w:r>
      <w:r>
        <w:rPr>
          <w:rFonts w:ascii="Arial" w:hAnsi="Arial" w:cs="Arial"/>
          <w:color w:val="auto"/>
          <w:sz w:val="24"/>
        </w:rPr>
        <w:t>, Ping Sun</w:t>
      </w:r>
      <w:r>
        <w:rPr>
          <w:rFonts w:ascii="Arial" w:hAnsi="Arial" w:cs="Arial"/>
          <w:color w:val="auto"/>
          <w:sz w:val="24"/>
          <w:vertAlign w:val="superscript"/>
        </w:rPr>
        <w:t>2</w:t>
      </w:r>
      <w:r>
        <w:rPr>
          <w:rFonts w:ascii="Arial" w:hAnsi="Arial" w:cs="Arial"/>
          <w:color w:val="auto"/>
          <w:sz w:val="24"/>
        </w:rPr>
        <w:t>, Lei Song</w:t>
      </w:r>
      <w:r>
        <w:rPr>
          <w:rFonts w:ascii="Arial" w:hAnsi="Arial" w:cs="Arial"/>
          <w:color w:val="auto"/>
          <w:sz w:val="24"/>
          <w:vertAlign w:val="superscript"/>
        </w:rPr>
        <w:t>3,*</w:t>
      </w:r>
      <w:r>
        <w:rPr>
          <w:rFonts w:ascii="Arial" w:hAnsi="Arial" w:cs="Arial"/>
          <w:color w:val="auto"/>
          <w:sz w:val="24"/>
        </w:rPr>
        <w:t>, Jiannan Liu</w:t>
      </w:r>
      <w:r>
        <w:rPr>
          <w:rFonts w:ascii="Arial" w:hAnsi="Arial" w:cs="Arial"/>
          <w:color w:val="auto"/>
          <w:sz w:val="24"/>
          <w:vertAlign w:val="superscript"/>
        </w:rPr>
        <w:t>2,*</w:t>
      </w:r>
    </w:p>
    <w:p w14:paraId="2D47B29C">
      <w:pPr>
        <w:keepNext w:val="0"/>
        <w:keepLines w:val="0"/>
        <w:pageBreakBefore w:val="0"/>
        <w:kinsoku/>
        <w:wordWrap/>
        <w:overflowPunct/>
        <w:topLinePunct w:val="0"/>
        <w:bidi w:val="0"/>
        <w:spacing w:after="0" w:line="300" w:lineRule="auto"/>
        <w:jc w:val="both"/>
        <w:textAlignment w:val="auto"/>
        <w:rPr>
          <w:rFonts w:hint="default" w:ascii="Arial" w:hAnsi="Arial" w:cs="Arial" w:eastAsiaTheme="minorEastAsia"/>
          <w:color w:val="auto"/>
          <w:sz w:val="24"/>
          <w:lang w:val="en-US" w:eastAsia="zh-CN"/>
        </w:rPr>
      </w:pPr>
      <w:r>
        <w:rPr>
          <w:rFonts w:ascii="Arial" w:hAnsi="Arial" w:cs="Arial"/>
          <w:color w:val="auto"/>
          <w:sz w:val="24"/>
          <w:vertAlign w:val="superscript"/>
        </w:rPr>
        <w:t>1</w:t>
      </w:r>
      <w:r>
        <w:rPr>
          <w:rFonts w:ascii="Arial" w:hAnsi="Arial" w:cs="Arial"/>
          <w:color w:val="auto"/>
          <w:sz w:val="24"/>
        </w:rPr>
        <w:t>The 2nd Medical College of Binzhou Medical University</w:t>
      </w:r>
      <w:r>
        <w:rPr>
          <w:rFonts w:hint="eastAsia" w:ascii="Arial" w:hAnsi="Arial" w:cs="Arial"/>
          <w:color w:val="auto"/>
          <w:sz w:val="24"/>
        </w:rPr>
        <w:t>,</w:t>
      </w:r>
      <w:r>
        <w:rPr>
          <w:rFonts w:hint="eastAsia" w:ascii="Arial" w:hAnsi="Arial" w:cs="Arial"/>
          <w:color w:val="auto"/>
          <w:sz w:val="24"/>
          <w:lang w:val="en-US" w:eastAsia="zh-CN"/>
        </w:rPr>
        <w:t xml:space="preserve"> 264003, Yantai, China.</w:t>
      </w:r>
    </w:p>
    <w:p w14:paraId="2440F006">
      <w:pPr>
        <w:keepNext w:val="0"/>
        <w:keepLines w:val="0"/>
        <w:pageBreakBefore w:val="0"/>
        <w:kinsoku/>
        <w:wordWrap/>
        <w:overflowPunct/>
        <w:topLinePunct w:val="0"/>
        <w:bidi w:val="0"/>
        <w:spacing w:after="0" w:line="300" w:lineRule="auto"/>
        <w:jc w:val="both"/>
        <w:textAlignment w:val="auto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  <w:vertAlign w:val="superscript"/>
        </w:rPr>
        <w:t>2</w:t>
      </w:r>
      <w:r>
        <w:rPr>
          <w:rFonts w:ascii="Arial" w:hAnsi="Arial" w:cs="Arial"/>
          <w:color w:val="auto"/>
          <w:sz w:val="24"/>
        </w:rPr>
        <w:t>Department of Oncology, The Affiliated Yantai Yuhuangding Hospital of Qingdao University, 264000, Yantai, China.</w:t>
      </w:r>
    </w:p>
    <w:p w14:paraId="206F4AD1">
      <w:pPr>
        <w:keepNext w:val="0"/>
        <w:keepLines w:val="0"/>
        <w:pageBreakBefore w:val="0"/>
        <w:kinsoku/>
        <w:wordWrap/>
        <w:overflowPunct/>
        <w:topLinePunct w:val="0"/>
        <w:bidi w:val="0"/>
        <w:spacing w:after="0" w:line="300" w:lineRule="auto"/>
        <w:jc w:val="both"/>
        <w:textAlignment w:val="auto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  <w:vertAlign w:val="superscript"/>
        </w:rPr>
        <w:t>3</w:t>
      </w:r>
      <w:r>
        <w:rPr>
          <w:rFonts w:ascii="Arial" w:hAnsi="Arial" w:cs="Arial"/>
          <w:color w:val="auto"/>
          <w:sz w:val="24"/>
        </w:rPr>
        <w:t>Department of Geriatric Medicine, The Affiliated Yantai Yuhuangding Hospital of Qingdao University, 264000, Yantai, China.</w:t>
      </w:r>
    </w:p>
    <w:p w14:paraId="74BCD847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spacing w:after="0" w:line="300" w:lineRule="auto"/>
        <w:textAlignment w:val="auto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  <w:vertAlign w:val="superscript"/>
        </w:rPr>
        <w:t>#</w:t>
      </w:r>
      <w:r>
        <w:rPr>
          <w:rFonts w:ascii="Arial" w:hAnsi="Arial" w:cs="Arial"/>
          <w:color w:val="auto"/>
          <w:sz w:val="24"/>
        </w:rPr>
        <w:t>Equal</w:t>
      </w:r>
      <w:r>
        <w:rPr>
          <w:rFonts w:ascii="Arial" w:hAnsi="Arial" w:cs="Arial"/>
          <w:color w:val="auto"/>
          <w:spacing w:val="1"/>
          <w:sz w:val="24"/>
        </w:rPr>
        <w:t xml:space="preserve"> </w:t>
      </w:r>
      <w:r>
        <w:rPr>
          <w:rFonts w:ascii="Arial" w:hAnsi="Arial" w:cs="Arial"/>
          <w:color w:val="auto"/>
          <w:sz w:val="24"/>
        </w:rPr>
        <w:t>contribution</w:t>
      </w:r>
    </w:p>
    <w:p w14:paraId="7B4C4367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spacing w:after="0" w:line="300" w:lineRule="auto"/>
        <w:textAlignment w:val="auto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*Corresponding</w:t>
      </w:r>
      <w:r>
        <w:rPr>
          <w:rFonts w:ascii="Arial" w:hAnsi="Arial" w:cs="Arial"/>
          <w:color w:val="auto"/>
          <w:spacing w:val="1"/>
          <w:sz w:val="24"/>
        </w:rPr>
        <w:t xml:space="preserve"> </w:t>
      </w:r>
      <w:r>
        <w:rPr>
          <w:rFonts w:ascii="Arial" w:hAnsi="Arial" w:cs="Arial"/>
          <w:color w:val="auto"/>
          <w:sz w:val="24"/>
        </w:rPr>
        <w:t>authors:</w:t>
      </w:r>
    </w:p>
    <w:p w14:paraId="75A00E81">
      <w:pPr>
        <w:keepNext w:val="0"/>
        <w:keepLines w:val="0"/>
        <w:pageBreakBefore w:val="0"/>
        <w:kinsoku/>
        <w:wordWrap/>
        <w:overflowPunct/>
        <w:topLinePunct w:val="0"/>
        <w:bidi w:val="0"/>
        <w:spacing w:after="0" w:line="300" w:lineRule="auto"/>
        <w:jc w:val="both"/>
        <w:textAlignment w:val="auto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 xml:space="preserve">Jiannan Liu </w:t>
      </w:r>
    </w:p>
    <w:p w14:paraId="5ECB3486">
      <w:pPr>
        <w:keepNext w:val="0"/>
        <w:keepLines w:val="0"/>
        <w:pageBreakBefore w:val="0"/>
        <w:kinsoku/>
        <w:wordWrap/>
        <w:overflowPunct/>
        <w:topLinePunct w:val="0"/>
        <w:bidi w:val="0"/>
        <w:spacing w:after="0" w:line="300" w:lineRule="auto"/>
        <w:jc w:val="both"/>
        <w:textAlignment w:val="auto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Department of Oncology, The Affiliated Yantai Yuhuangding Hospital of Qingdao University, No. 20 Yuhuangding East Road, 264000, Yantai, China.</w:t>
      </w:r>
      <w:r>
        <w:rPr>
          <w:rFonts w:hint="eastAsia" w:ascii="Arial" w:hAnsi="Arial" w:cs="Arial"/>
          <w:color w:val="auto"/>
          <w:sz w:val="24"/>
        </w:rPr>
        <w:t xml:space="preserve"> </w:t>
      </w:r>
      <w:r>
        <w:rPr>
          <w:rFonts w:ascii="Arial" w:hAnsi="Arial" w:cs="Arial"/>
          <w:color w:val="auto"/>
          <w:sz w:val="24"/>
        </w:rPr>
        <w:t xml:space="preserve">E-mail: 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"mailto:Liujiannansun2013@163.com" </w:instrText>
      </w:r>
      <w:r>
        <w:rPr>
          <w:color w:val="auto"/>
        </w:rPr>
        <w:fldChar w:fldCharType="separate"/>
      </w:r>
      <w:r>
        <w:rPr>
          <w:rStyle w:val="4"/>
          <w:rFonts w:ascii="Arial" w:hAnsi="Arial" w:cs="Arial"/>
          <w:color w:val="auto"/>
          <w:sz w:val="24"/>
        </w:rPr>
        <w:t>ljnwcc@163.com</w:t>
      </w:r>
      <w:r>
        <w:rPr>
          <w:rStyle w:val="4"/>
          <w:rFonts w:ascii="Arial" w:hAnsi="Arial" w:cs="Arial"/>
          <w:color w:val="auto"/>
          <w:sz w:val="24"/>
        </w:rPr>
        <w:fldChar w:fldCharType="end"/>
      </w:r>
      <w:r>
        <w:rPr>
          <w:rFonts w:hint="eastAsia" w:ascii="Arial" w:hAnsi="Arial" w:cs="Arial"/>
          <w:color w:val="auto"/>
          <w:sz w:val="24"/>
        </w:rPr>
        <w:t>.</w:t>
      </w:r>
    </w:p>
    <w:p w14:paraId="54A81350">
      <w:pPr>
        <w:keepNext w:val="0"/>
        <w:keepLines w:val="0"/>
        <w:pageBreakBefore w:val="0"/>
        <w:kinsoku/>
        <w:wordWrap/>
        <w:overflowPunct/>
        <w:topLinePunct w:val="0"/>
        <w:bidi w:val="0"/>
        <w:spacing w:after="0" w:line="300" w:lineRule="auto"/>
        <w:jc w:val="both"/>
        <w:textAlignment w:val="auto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Lei Song</w:t>
      </w:r>
    </w:p>
    <w:p w14:paraId="4ACA6271">
      <w:pPr>
        <w:keepNext w:val="0"/>
        <w:keepLines w:val="0"/>
        <w:pageBreakBefore w:val="0"/>
        <w:kinsoku/>
        <w:wordWrap/>
        <w:overflowPunct/>
        <w:topLinePunct w:val="0"/>
        <w:bidi w:val="0"/>
        <w:spacing w:after="0" w:line="300" w:lineRule="auto"/>
        <w:jc w:val="both"/>
        <w:textAlignment w:val="auto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Department of Geriatric Medicine, The Affiliated Yantai Yuhuangding Hospital of Qingdao University, No. 20 Yuhuangding East Road, 264000, Yantai, China.</w:t>
      </w:r>
      <w:r>
        <w:rPr>
          <w:rFonts w:hint="eastAsia" w:ascii="Arial" w:hAnsi="Arial" w:cs="Arial"/>
          <w:color w:val="auto"/>
          <w:sz w:val="24"/>
        </w:rPr>
        <w:t xml:space="preserve"> </w:t>
      </w:r>
      <w:r>
        <w:rPr>
          <w:rFonts w:ascii="Arial" w:hAnsi="Arial" w:cs="Arial"/>
          <w:color w:val="auto"/>
          <w:sz w:val="24"/>
        </w:rPr>
        <w:t xml:space="preserve">E-mail: 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"mailto:Liujiannansun2013@163.com" </w:instrText>
      </w:r>
      <w:r>
        <w:rPr>
          <w:color w:val="auto"/>
        </w:rPr>
        <w:fldChar w:fldCharType="separate"/>
      </w:r>
      <w:r>
        <w:rPr>
          <w:rStyle w:val="4"/>
          <w:rFonts w:ascii="Arial" w:hAnsi="Arial" w:cs="Arial"/>
          <w:color w:val="auto"/>
          <w:sz w:val="24"/>
        </w:rPr>
        <w:t>372042212@qq.com</w:t>
      </w:r>
      <w:r>
        <w:rPr>
          <w:rStyle w:val="4"/>
          <w:rFonts w:ascii="Arial" w:hAnsi="Arial" w:cs="Arial"/>
          <w:color w:val="auto"/>
          <w:sz w:val="24"/>
        </w:rPr>
        <w:fldChar w:fldCharType="end"/>
      </w:r>
      <w:r>
        <w:rPr>
          <w:rFonts w:hint="eastAsia" w:ascii="Arial" w:hAnsi="Arial" w:cs="Arial"/>
          <w:color w:val="auto"/>
          <w:sz w:val="24"/>
        </w:rPr>
        <w:t>.</w:t>
      </w:r>
    </w:p>
    <w:p w14:paraId="6CBF9FC2"/>
    <w:p w14:paraId="07590B9B"/>
    <w:p w14:paraId="5CEF1D4A"/>
    <w:p w14:paraId="0011FB6C"/>
    <w:p w14:paraId="017A848A"/>
    <w:p w14:paraId="2BF234C5"/>
    <w:p w14:paraId="47E538F6"/>
    <w:p w14:paraId="79AD69E2"/>
    <w:p w14:paraId="619C79B0"/>
    <w:p w14:paraId="29B9E63D"/>
    <w:p w14:paraId="096E5C7C"/>
    <w:p w14:paraId="228A2F65"/>
    <w:p w14:paraId="4A8F56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1849755"/>
            <wp:effectExtent l="0" t="0" r="8890" b="7620"/>
            <wp:docPr id="1" name="图片 1" descr="Figure-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-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B4A7">
      <w:pPr>
        <w:jc w:val="both"/>
        <w:rPr>
          <w:rFonts w:hint="default" w:ascii="Arial" w:hAnsi="Arial" w:cs="Arial" w:eastAsiaTheme="minorEastAsia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Figure S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1</w:t>
      </w: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.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b/>
          <w:bCs/>
          <w:color w:val="auto"/>
          <w:sz w:val="24"/>
          <w:szCs w:val="24"/>
        </w:rPr>
        <w:t xml:space="preserve">PLCH1 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>knockdown</w:t>
      </w:r>
      <w:r>
        <w:rPr>
          <w:rFonts w:hint="eastAsia" w:ascii="Arial" w:hAnsi="Arial" w:cs="Arial"/>
          <w:b/>
          <w:bCs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>induces</w:t>
      </w:r>
      <w:r>
        <w:rPr>
          <w:rFonts w:hint="eastAsia" w:ascii="Arial" w:hAnsi="Arial" w:cs="Arial"/>
          <w:b/>
          <w:bCs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>cell cycle arrest</w:t>
      </w:r>
      <w:r>
        <w:rPr>
          <w:rFonts w:hint="eastAsia" w:ascii="Arial" w:hAnsi="Arial" w:cs="Arial"/>
          <w:b/>
          <w:bCs/>
          <w:color w:val="auto"/>
          <w:sz w:val="24"/>
          <w:szCs w:val="24"/>
        </w:rPr>
        <w:t xml:space="preserve"> in breast cancer cells.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 xml:space="preserve"> (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A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>)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. </w:t>
      </w:r>
      <w:r>
        <w:rPr>
          <w:rFonts w:ascii="Arial" w:hAnsi="Arial" w:cs="Arial"/>
          <w:color w:val="auto"/>
          <w:sz w:val="24"/>
        </w:rPr>
        <w:t xml:space="preserve">Flow cytometric analysis of </w:t>
      </w:r>
      <w:r>
        <w:rPr>
          <w:rFonts w:hint="eastAsia" w:ascii="Arial" w:hAnsi="Arial" w:cs="Arial"/>
          <w:color w:val="auto"/>
          <w:sz w:val="24"/>
          <w:lang w:val="en-US" w:eastAsia="zh-CN"/>
        </w:rPr>
        <w:t>cell cycle distribution</w:t>
      </w:r>
      <w:r>
        <w:rPr>
          <w:rFonts w:ascii="Arial" w:hAnsi="Arial" w:cs="Arial"/>
          <w:color w:val="auto"/>
          <w:sz w:val="24"/>
        </w:rPr>
        <w:t xml:space="preserve"> in BT-474 breast cancer cells treated with control siRNA (Control) or PLCH1-specific siRNAs (si-PLCH1#1 and si-PLCH1#3)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. 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(B)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 Quantification of the cell cycle distribution in the G0/G1, S, and G2/M phases.</w:t>
      </w:r>
      <w:r>
        <w:rPr>
          <w:rFonts w:ascii="Arial" w:hAnsi="Arial" w:cs="Arial"/>
          <w:color w:val="auto"/>
          <w:sz w:val="24"/>
          <w:szCs w:val="24"/>
        </w:rPr>
        <w:t>*, P &lt; 0.05.</w:t>
      </w:r>
    </w:p>
    <w:p w14:paraId="24234A85">
      <w:pPr>
        <w:rPr>
          <w:rFonts w:hint="eastAsia" w:eastAsiaTheme="minorEastAsia"/>
          <w:lang w:eastAsia="zh-CN"/>
        </w:rPr>
      </w:pPr>
    </w:p>
    <w:p w14:paraId="5B59299A">
      <w:pPr>
        <w:jc w:val="both"/>
      </w:pPr>
      <w:r>
        <w:br w:type="page"/>
      </w:r>
    </w:p>
    <w:p w14:paraId="45A730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837180"/>
            <wp:effectExtent l="0" t="0" r="8890" b="127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95AE0">
      <w:pPr>
        <w:jc w:val="both"/>
        <w:rPr>
          <w:rFonts w:hint="default" w:ascii="Arial" w:hAnsi="Arial" w:cs="Arial" w:eastAsiaTheme="minorEastAsia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Figure S2.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b/>
          <w:bCs/>
          <w:color w:val="auto"/>
          <w:sz w:val="24"/>
          <w:szCs w:val="24"/>
        </w:rPr>
        <w:t>PLCH1 overexpression activates the ERK/EGR1 signaling axis, inhibiting apoptosis and promoting cell cycle progression in breast cancer cells.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 xml:space="preserve"> (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A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>)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>. Western blot analysis of PLCH1, Cyclin B1, and CDK1 protein levels in BT-474 breast cancer cells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 transfected with either the vector (Vector) or the PLCH1 overexpression vector (OE).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(B)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 Quantification of PLCH1, EGR1, p-ERK/ERK, Bcl-2/BAX, CDK1, and cyclin B1 protein levels based on Western blot results. </w:t>
      </w:r>
      <w:r>
        <w:rPr>
          <w:rFonts w:ascii="Arial" w:hAnsi="Arial" w:cs="Arial"/>
          <w:color w:val="auto"/>
          <w:sz w:val="24"/>
          <w:szCs w:val="24"/>
        </w:rPr>
        <w:t>*, P &lt; 0.05. **, P &lt; 0.01. ***, P &lt; 0.001.</w:t>
      </w:r>
    </w:p>
    <w:p w14:paraId="33A8DAFB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3E412C1">
      <w:pPr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13335</wp:posOffset>
            </wp:positionV>
            <wp:extent cx="5267960" cy="3136265"/>
            <wp:effectExtent l="0" t="0" r="8890" b="6985"/>
            <wp:wrapSquare wrapText="bothSides"/>
            <wp:docPr id="5" name="图片 5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Figure S3.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>(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A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>)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. Western blot analysis of PLCH1, and E-cadherin protein levels in BT-474 breast cancer cells </w:t>
      </w:r>
      <w:r>
        <w:rPr>
          <w:rFonts w:ascii="Arial" w:hAnsi="Arial" w:cs="Arial"/>
          <w:color w:val="auto"/>
          <w:sz w:val="24"/>
        </w:rPr>
        <w:t>treated with control siRNA (Control) or PLCH1-specific siRNAs (si-PLCH1#1 and si-PLCH1#3)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. 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(B)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 Quantification of PLCH1, and E-cadherin protein levels based on Western blot results. ns, difference is not significant</w:t>
      </w:r>
      <w:r>
        <w:rPr>
          <w:rFonts w:ascii="Arial" w:hAnsi="Arial" w:cs="Arial"/>
          <w:color w:val="auto"/>
          <w:sz w:val="24"/>
          <w:szCs w:val="24"/>
        </w:rPr>
        <w:t>.</w:t>
      </w:r>
    </w:p>
    <w:p w14:paraId="6DDCBF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AF7DF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123825</wp:posOffset>
            </wp:positionV>
            <wp:extent cx="5267960" cy="3923030"/>
            <wp:effectExtent l="0" t="0" r="8890" b="1270"/>
            <wp:wrapSquare wrapText="bothSides"/>
            <wp:docPr id="6" name="图片 6" descr="Figure-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-S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1988E">
      <w:pPr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Figure S4.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 xml:space="preserve">PLCH1 knockdown does not affect the migration and invasion abilities of breast cancer cells. 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>(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A and C</w:t>
      </w:r>
      <w:r>
        <w:rPr>
          <w:rFonts w:hint="eastAsia" w:ascii="Arial" w:hAnsi="Arial" w:cs="Arial"/>
          <w:b/>
          <w:bCs/>
          <w:color w:val="auto"/>
          <w:sz w:val="24"/>
          <w:szCs w:val="24"/>
          <w:lang w:val="en-US" w:eastAsia="zh-CN"/>
        </w:rPr>
        <w:t>)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. Wound scratch assay and Transwell invasion assay were employed to assess the effect of PLCH1 knockdown on the migration and invasion capabilities of BT-474 cells. 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 xml:space="preserve">(B and D) 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>Quantification of cell scratch closure rate and the number of invading cells. ns, difference is not significant</w:t>
      </w:r>
      <w:r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*, P &lt; 0.05. **, P &lt; 0.01. ***, P &lt; 0.0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>1.</w:t>
      </w:r>
    </w:p>
    <w:p w14:paraId="0BE49531">
      <w:pPr>
        <w:rPr>
          <w:rFonts w:hint="eastAsia" w:eastAsiaTheme="minorEastAsia"/>
          <w:lang w:eastAsia="zh-CN"/>
        </w:rPr>
      </w:pPr>
    </w:p>
    <w:p w14:paraId="7321F86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021CF0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-45720</wp:posOffset>
            </wp:positionV>
            <wp:extent cx="4585335" cy="3447415"/>
            <wp:effectExtent l="0" t="0" r="5715" b="635"/>
            <wp:wrapSquare wrapText="bothSides"/>
            <wp:docPr id="7" name="图片 7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C2EE4">
      <w:pPr>
        <w:rPr>
          <w:rFonts w:hint="eastAsia" w:eastAsiaTheme="minorEastAsia"/>
          <w:lang w:eastAsia="zh-CN"/>
        </w:rPr>
      </w:pPr>
    </w:p>
    <w:p w14:paraId="40C1F212">
      <w:pPr>
        <w:rPr>
          <w:rFonts w:hint="eastAsia" w:eastAsiaTheme="minorEastAsia"/>
          <w:lang w:eastAsia="zh-CN"/>
        </w:rPr>
      </w:pPr>
    </w:p>
    <w:p w14:paraId="51177FDD">
      <w:pPr>
        <w:rPr>
          <w:rFonts w:hint="eastAsia" w:eastAsiaTheme="minorEastAsia"/>
          <w:lang w:eastAsia="zh-CN"/>
        </w:rPr>
      </w:pPr>
    </w:p>
    <w:p w14:paraId="3C2BD1F7">
      <w:pPr>
        <w:rPr>
          <w:rFonts w:hint="eastAsia" w:eastAsiaTheme="minorEastAsia"/>
          <w:lang w:eastAsia="zh-CN"/>
        </w:rPr>
      </w:pPr>
    </w:p>
    <w:p w14:paraId="7F3A9361">
      <w:pPr>
        <w:rPr>
          <w:rFonts w:hint="eastAsia" w:eastAsiaTheme="minorEastAsia"/>
          <w:lang w:eastAsia="zh-CN"/>
        </w:rPr>
      </w:pPr>
    </w:p>
    <w:p w14:paraId="39BBF3A7">
      <w:pPr>
        <w:rPr>
          <w:rFonts w:hint="eastAsia" w:eastAsiaTheme="minorEastAsia"/>
          <w:lang w:eastAsia="zh-CN"/>
        </w:rPr>
      </w:pPr>
    </w:p>
    <w:p w14:paraId="4EE0BF35">
      <w:pPr>
        <w:rPr>
          <w:rFonts w:hint="eastAsia" w:eastAsiaTheme="minorEastAsia"/>
          <w:lang w:eastAsia="zh-CN"/>
        </w:rPr>
      </w:pPr>
    </w:p>
    <w:p w14:paraId="4D0025D6">
      <w:pPr>
        <w:rPr>
          <w:rFonts w:hint="eastAsia" w:eastAsiaTheme="minorEastAsia"/>
          <w:lang w:eastAsia="zh-CN"/>
        </w:rPr>
      </w:pPr>
    </w:p>
    <w:p w14:paraId="05424804">
      <w:pPr>
        <w:rPr>
          <w:rFonts w:hint="eastAsia" w:eastAsiaTheme="minorEastAsia"/>
          <w:lang w:eastAsia="zh-CN"/>
        </w:rPr>
      </w:pPr>
    </w:p>
    <w:p w14:paraId="25783B94">
      <w:pPr>
        <w:jc w:val="both"/>
        <w:rPr>
          <w:rFonts w:hint="eastAsia" w:ascii="Arial" w:hAnsi="Arial" w:cs="Arial"/>
          <w:b/>
          <w:bCs/>
          <w:sz w:val="24"/>
          <w:szCs w:val="24"/>
          <w:lang w:val="en-US" w:eastAsia="zh-CN"/>
        </w:rPr>
      </w:pPr>
    </w:p>
    <w:p w14:paraId="193A8480">
      <w:pPr>
        <w:jc w:val="both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Figure S5.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 xml:space="preserve">PLCH1 knockdown enhances the sensitivity of breast cancer cells to cisplatin. 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>CCK-8 assay was performed to evaluate the impact of PLCH1 knockdown on the sensiti</w:t>
      </w:r>
      <w:bookmarkStart w:id="0" w:name="_GoBack"/>
      <w:bookmarkEnd w:id="0"/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>vity of BT-474 cells to cisplatin (CDDP). * P &lt; 0.05, ** P &lt; 0.01, **** P &lt; 0.001.</w:t>
      </w:r>
    </w:p>
    <w:p w14:paraId="469022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F0268C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D756A0"/>
    <w:rsid w:val="06C4362D"/>
    <w:rsid w:val="10DE2CCC"/>
    <w:rsid w:val="19966864"/>
    <w:rsid w:val="1A853C36"/>
    <w:rsid w:val="1F5E0087"/>
    <w:rsid w:val="20BB73F7"/>
    <w:rsid w:val="214E3DC8"/>
    <w:rsid w:val="2A8811E8"/>
    <w:rsid w:val="2BB14B1B"/>
    <w:rsid w:val="35B00755"/>
    <w:rsid w:val="377522E6"/>
    <w:rsid w:val="40E66B52"/>
    <w:rsid w:val="426C0BBA"/>
    <w:rsid w:val="4A32200F"/>
    <w:rsid w:val="4BC752F6"/>
    <w:rsid w:val="4D737781"/>
    <w:rsid w:val="518B6028"/>
    <w:rsid w:val="56A33C92"/>
    <w:rsid w:val="61A82BC6"/>
    <w:rsid w:val="67897F92"/>
    <w:rsid w:val="6D507E04"/>
    <w:rsid w:val="72D00CE1"/>
    <w:rsid w:val="74AD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2025-04-23T07:31:36Z</dcterms:created>
  <dc:creator>Administrator</dc:creator>
  <cp:lastModifiedBy>高明权</cp:lastModifiedBy>
  <dcterms:modified xsi:type="dcterms:W3CDTF">2025-04-23T08:20:45Z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eyJoZGlkIjoiMmMyYmFiZDU2YTc4MTQxMWQ0YjRiOWZlZmE1NWE3MGIiLCJ1c2VySWQiOiIyNTM3ODMwNjcifQ==</vt:lpwstr>
  </property>
  <property fmtid="{D5CDD505-2E9C-101B-9397-08002B2CF9AE}" pid="4" name="ICV">
    <vt:lpwstr>C28C0220860E481DB0EA83A3AB4094FB_12</vt:lpwstr>
  </property>
</Properties>
</file>