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17DCEC9E" w:rsidR="00654E8F" w:rsidRPr="00226A37" w:rsidRDefault="00654E8F" w:rsidP="0001436A">
      <w:pPr>
        <w:pStyle w:val="SupplementaryMaterial"/>
        <w:rPr>
          <w:b w:val="0"/>
        </w:rPr>
      </w:pPr>
      <w:r w:rsidRPr="00226A37">
        <w:t>Supplementary Material</w:t>
      </w:r>
      <w:r w:rsidR="00226A37">
        <w:t xml:space="preserve"> C: </w:t>
      </w:r>
      <w:r w:rsidR="00226A37" w:rsidRPr="005C0401">
        <w:t xml:space="preserve">Breakdown of </w:t>
      </w:r>
      <w:r w:rsidR="00226A37">
        <w:t>C</w:t>
      </w:r>
      <w:r w:rsidR="00226A37" w:rsidRPr="005C0401">
        <w:t xml:space="preserve">riteria </w:t>
      </w:r>
      <w:r w:rsidR="00226A37">
        <w:t>T</w:t>
      </w:r>
      <w:r w:rsidR="00226A37" w:rsidRPr="005C0401">
        <w:t xml:space="preserve">hematic </w:t>
      </w:r>
      <w:r w:rsidR="00226A37">
        <w:t>G</w:t>
      </w:r>
      <w:r w:rsidR="00226A37" w:rsidRPr="005C0401">
        <w:t>roups</w:t>
      </w:r>
    </w:p>
    <w:p w14:paraId="068A6FDF" w14:textId="409D1A41" w:rsidR="00226A37" w:rsidRPr="00226A37" w:rsidRDefault="00226A37" w:rsidP="00226A37">
      <w:pPr>
        <w:pStyle w:val="ListParagraph"/>
        <w:numPr>
          <w:ilvl w:val="0"/>
          <w:numId w:val="22"/>
        </w:numPr>
        <w:spacing w:before="240"/>
        <w:rPr>
          <w:b/>
          <w:bCs/>
        </w:rPr>
      </w:pPr>
      <w:r w:rsidRPr="00226A37">
        <w:rPr>
          <w:b/>
          <w:bCs/>
        </w:rPr>
        <w:t xml:space="preserve">Population / Burden of disease </w:t>
      </w:r>
    </w:p>
    <w:p w14:paraId="07F26C19" w14:textId="77777777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 xml:space="preserve">Burden of disease </w:t>
      </w:r>
    </w:p>
    <w:p w14:paraId="7A29A364" w14:textId="53104278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Number/rate of</w:t>
      </w:r>
    </w:p>
    <w:p w14:paraId="2A6E28E4" w14:textId="6E9AD602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 xml:space="preserve">cases </w:t>
      </w:r>
    </w:p>
    <w:p w14:paraId="5F238C84" w14:textId="231DCF4B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>fatalities</w:t>
      </w:r>
    </w:p>
    <w:p w14:paraId="71D28E0D" w14:textId="565BAEE5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>recovered</w:t>
      </w:r>
    </w:p>
    <w:p w14:paraId="35A06A5B" w14:textId="0D99C887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>susceptible population</w:t>
      </w:r>
    </w:p>
    <w:p w14:paraId="661CF29B" w14:textId="4AB82A01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>global t</w:t>
      </w:r>
      <w:r w:rsidRPr="00226A37">
        <w:t>r</w:t>
      </w:r>
      <w:r w:rsidRPr="00226A37">
        <w:t>ends over 5 years</w:t>
      </w:r>
    </w:p>
    <w:p w14:paraId="7F94246F" w14:textId="0EC72AC2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Food-borne diseases</w:t>
      </w:r>
    </w:p>
    <w:p w14:paraId="7146A763" w14:textId="7E234D38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Mental health</w:t>
      </w:r>
    </w:p>
    <w:p w14:paraId="3E9084EA" w14:textId="0973B19C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Malaria cases among children</w:t>
      </w:r>
    </w:p>
    <w:p w14:paraId="4947D9E7" w14:textId="2CEEC95F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Number of cases in animals</w:t>
      </w:r>
    </w:p>
    <w:p w14:paraId="647F450A" w14:textId="5E81F8B7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Maternal mortality ratio</w:t>
      </w:r>
    </w:p>
    <w:p w14:paraId="69DC7074" w14:textId="59537627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Presence of disease in the region</w:t>
      </w:r>
    </w:p>
    <w:p w14:paraId="48D30681" w14:textId="77777777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Population characteristics</w:t>
      </w:r>
    </w:p>
    <w:p w14:paraId="62AD6B89" w14:textId="07F75B26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High health-risk populations (including occupation</w:t>
      </w:r>
      <w:r w:rsidRPr="00226A37">
        <w:t>-</w:t>
      </w:r>
      <w:r w:rsidRPr="00226A37">
        <w:t>related risks)</w:t>
      </w:r>
    </w:p>
    <w:p w14:paraId="32035D75" w14:textId="1EE3C566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Belonging to underserved minorities</w:t>
      </w:r>
    </w:p>
    <w:p w14:paraId="4625208E" w14:textId="692F817D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Immunization status</w:t>
      </w:r>
    </w:p>
    <w:p w14:paraId="195EB344" w14:textId="54B044DE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No health insurance</w:t>
      </w:r>
    </w:p>
    <w:p w14:paraId="3D5EB71F" w14:textId="28AC3CA3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Smokers</w:t>
      </w:r>
    </w:p>
    <w:p w14:paraId="75A3F467" w14:textId="77777777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Clinical characteristics</w:t>
      </w:r>
    </w:p>
    <w:p w14:paraId="2DE412F3" w14:textId="77359B4C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 xml:space="preserve">Age </w:t>
      </w:r>
    </w:p>
    <w:p w14:paraId="21B7ADC0" w14:textId="194E3A0D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Sex</w:t>
      </w:r>
    </w:p>
    <w:p w14:paraId="1E915E71" w14:textId="03D74E10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BMI</w:t>
      </w:r>
    </w:p>
    <w:p w14:paraId="49E0D7A9" w14:textId="09214A77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Blood pressure</w:t>
      </w:r>
    </w:p>
    <w:p w14:paraId="51BE5A97" w14:textId="1A021451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SpO2</w:t>
      </w:r>
    </w:p>
    <w:p w14:paraId="0EA637CA" w14:textId="6C9D1A37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X ray finings</w:t>
      </w:r>
    </w:p>
    <w:p w14:paraId="19B6E733" w14:textId="12FC9130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Modified Early Warning Score-MEWS (</w:t>
      </w:r>
      <w:proofErr w:type="spellStart"/>
      <w:r w:rsidRPr="00226A37">
        <w:t>Subbe</w:t>
      </w:r>
      <w:proofErr w:type="spellEnd"/>
      <w:r w:rsidRPr="00226A37">
        <w:t xml:space="preserve"> et al., 2001)</w:t>
      </w:r>
    </w:p>
    <w:p w14:paraId="18D04674" w14:textId="1EE9F680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Laboratory examinations</w:t>
      </w:r>
    </w:p>
    <w:p w14:paraId="092B8917" w14:textId="324847FC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>C-reactive protein</w:t>
      </w:r>
    </w:p>
    <w:p w14:paraId="6636ECA1" w14:textId="6E313A85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 xml:space="preserve">white blood cell count </w:t>
      </w:r>
    </w:p>
    <w:p w14:paraId="6420BBF2" w14:textId="4E5F4F2B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>neutrophil count/ratio</w:t>
      </w:r>
    </w:p>
    <w:p w14:paraId="56D71C7D" w14:textId="2A2E8C18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>lymphocyte count/ratio</w:t>
      </w:r>
    </w:p>
    <w:p w14:paraId="156CBEA1" w14:textId="6F061D23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>eosinophils count/ratio</w:t>
      </w:r>
    </w:p>
    <w:p w14:paraId="07D9EA74" w14:textId="57EB16CC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>hemoglobin</w:t>
      </w:r>
    </w:p>
    <w:p w14:paraId="4E040DF3" w14:textId="43098053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>albumin</w:t>
      </w:r>
    </w:p>
    <w:p w14:paraId="0C980AC2" w14:textId="300782E1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 xml:space="preserve">interleukin </w:t>
      </w:r>
    </w:p>
    <w:p w14:paraId="3FE16209" w14:textId="65703663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Patient’s comorbidities</w:t>
      </w:r>
    </w:p>
    <w:p w14:paraId="447AB787" w14:textId="35B3463E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 xml:space="preserve">diabetes </w:t>
      </w:r>
    </w:p>
    <w:p w14:paraId="32DFA217" w14:textId="4166BBDC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 xml:space="preserve">obesity </w:t>
      </w:r>
    </w:p>
    <w:p w14:paraId="485A2359" w14:textId="2EFB94D6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>immune deficiency or immunosuppression</w:t>
      </w:r>
    </w:p>
    <w:p w14:paraId="450AE2C0" w14:textId="22B0F3F0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>renal failure</w:t>
      </w:r>
    </w:p>
    <w:p w14:paraId="4DA9BC49" w14:textId="115F98A6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>chronic pulmonary diseases</w:t>
      </w:r>
    </w:p>
    <w:p w14:paraId="03A922E0" w14:textId="17A50A55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lastRenderedPageBreak/>
        <w:t>chronic cardiovascular diseases</w:t>
      </w:r>
    </w:p>
    <w:p w14:paraId="0AABA380" w14:textId="75031BD1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>evolutive cancer</w:t>
      </w:r>
    </w:p>
    <w:p w14:paraId="75AC1AD9" w14:textId="70242697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>bone marrow or organ transplantation</w:t>
      </w:r>
    </w:p>
    <w:p w14:paraId="11CB1282" w14:textId="0E2797D4" w:rsidR="00226A37" w:rsidRPr="00226A37" w:rsidRDefault="00226A37" w:rsidP="00226A37">
      <w:pPr>
        <w:pStyle w:val="ListParagraph"/>
        <w:numPr>
          <w:ilvl w:val="0"/>
          <w:numId w:val="22"/>
        </w:numPr>
        <w:spacing w:before="240"/>
        <w:rPr>
          <w:b/>
          <w:bCs/>
        </w:rPr>
      </w:pPr>
      <w:r w:rsidRPr="00226A37">
        <w:rPr>
          <w:b/>
          <w:bCs/>
        </w:rPr>
        <w:t>Health system</w:t>
      </w:r>
    </w:p>
    <w:p w14:paraId="3691BD6C" w14:textId="77777777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Health system ability to detect and treat</w:t>
      </w:r>
    </w:p>
    <w:p w14:paraId="101CBAEB" w14:textId="27AEE8DF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 xml:space="preserve">Capacity to detect </w:t>
      </w:r>
    </w:p>
    <w:p w14:paraId="393B8551" w14:textId="09929017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 xml:space="preserve">Availability of medical countermeasures </w:t>
      </w:r>
    </w:p>
    <w:p w14:paraId="3B7633E4" w14:textId="4D6997E0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Existence and effectiveness of treatment</w:t>
      </w:r>
    </w:p>
    <w:p w14:paraId="756A9AC0" w14:textId="2E0853D2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Level of scientific knowledge of the disease</w:t>
      </w:r>
    </w:p>
    <w:p w14:paraId="15BF9B8F" w14:textId="77777777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 xml:space="preserve">Health system capacity </w:t>
      </w:r>
    </w:p>
    <w:p w14:paraId="72BF6E53" w14:textId="24C0751D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Number/rate of</w:t>
      </w:r>
    </w:p>
    <w:p w14:paraId="34F85AE4" w14:textId="1771D996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 xml:space="preserve">tests </w:t>
      </w:r>
    </w:p>
    <w:p w14:paraId="36C3B6AB" w14:textId="3F8AE811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>nurses/doctors</w:t>
      </w:r>
    </w:p>
    <w:p w14:paraId="0D438FCC" w14:textId="0F7F6188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>pharmacists</w:t>
      </w:r>
    </w:p>
    <w:p w14:paraId="73F03822" w14:textId="1A26BD80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>infected/dead health workers</w:t>
      </w:r>
    </w:p>
    <w:p w14:paraId="61A664F0" w14:textId="4A24F717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>beds/ICU beds</w:t>
      </w:r>
    </w:p>
    <w:p w14:paraId="477B3D4E" w14:textId="1BDD008A" w:rsidR="00226A37" w:rsidRPr="00226A37" w:rsidRDefault="00226A37" w:rsidP="00226A37">
      <w:pPr>
        <w:pStyle w:val="ListParagraph"/>
        <w:numPr>
          <w:ilvl w:val="3"/>
          <w:numId w:val="22"/>
        </w:numPr>
        <w:spacing w:before="240"/>
      </w:pPr>
      <w:r w:rsidRPr="00226A37">
        <w:t>ventilators</w:t>
      </w:r>
    </w:p>
    <w:p w14:paraId="5DEBA550" w14:textId="07BE6D0C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 xml:space="preserve">Health care access </w:t>
      </w:r>
    </w:p>
    <w:p w14:paraId="3431CEF2" w14:textId="6F8777E0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 xml:space="preserve">Health workers’ experience with infectious diseases </w:t>
      </w:r>
    </w:p>
    <w:p w14:paraId="75DCEE6E" w14:textId="631363B1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 xml:space="preserve">Health workers’ interest, attitude and communication style  </w:t>
      </w:r>
    </w:p>
    <w:p w14:paraId="37B3EDF8" w14:textId="3FC92449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Risk perception of health workers</w:t>
      </w:r>
    </w:p>
    <w:p w14:paraId="4BD867D8" w14:textId="569EBC1A" w:rsidR="00226A37" w:rsidRPr="00226A37" w:rsidRDefault="00226A37" w:rsidP="00226A37">
      <w:pPr>
        <w:pStyle w:val="ListParagraph"/>
        <w:numPr>
          <w:ilvl w:val="0"/>
          <w:numId w:val="22"/>
        </w:numPr>
        <w:spacing w:before="240"/>
        <w:rPr>
          <w:b/>
          <w:bCs/>
        </w:rPr>
      </w:pPr>
      <w:r w:rsidRPr="00226A37">
        <w:rPr>
          <w:b/>
          <w:bCs/>
        </w:rPr>
        <w:t>Societal impact</w:t>
      </w:r>
    </w:p>
    <w:p w14:paraId="4814A4F5" w14:textId="77777777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Impact on</w:t>
      </w:r>
    </w:p>
    <w:p w14:paraId="5B091C86" w14:textId="79427028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Specific industries</w:t>
      </w:r>
    </w:p>
    <w:p w14:paraId="07983280" w14:textId="786FDC89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Access to education</w:t>
      </w:r>
    </w:p>
    <w:p w14:paraId="5214ED50" w14:textId="1C824522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 xml:space="preserve">Trade </w:t>
      </w:r>
    </w:p>
    <w:p w14:paraId="07E0E929" w14:textId="77777777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 xml:space="preserve">Public attitudes </w:t>
      </w:r>
    </w:p>
    <w:p w14:paraId="5A5D8E3A" w14:textId="53F70A52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 xml:space="preserve">Risk perception </w:t>
      </w:r>
    </w:p>
    <w:p w14:paraId="52263A16" w14:textId="6683681D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 xml:space="preserve">General level of knowledge, attitude and </w:t>
      </w:r>
      <w:r w:rsidRPr="00226A37">
        <w:t>behavior</w:t>
      </w:r>
      <w:r w:rsidRPr="00226A37">
        <w:t xml:space="preserve"> of the public</w:t>
      </w:r>
    </w:p>
    <w:p w14:paraId="53526414" w14:textId="72070EAB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Risk perception of decision</w:t>
      </w:r>
      <w:r w:rsidRPr="00226A37">
        <w:t>-</w:t>
      </w:r>
      <w:r w:rsidRPr="00226A37">
        <w:t>makers</w:t>
      </w:r>
    </w:p>
    <w:p w14:paraId="1AD62C48" w14:textId="77777777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 xml:space="preserve">Venerability </w:t>
      </w:r>
    </w:p>
    <w:p w14:paraId="256D97E8" w14:textId="23DCC803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Percentage of population comprising lowest wealth quintile</w:t>
      </w:r>
    </w:p>
    <w:p w14:paraId="78695946" w14:textId="40D4501A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 xml:space="preserve">Internally displaced populations </w:t>
      </w:r>
    </w:p>
    <w:p w14:paraId="7C92C2E5" w14:textId="7365A3A3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Child poverty</w:t>
      </w:r>
    </w:p>
    <w:p w14:paraId="254BBDC2" w14:textId="64EE19A5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Unemployed</w:t>
      </w:r>
    </w:p>
    <w:p w14:paraId="65BB8AF9" w14:textId="1ADEDE70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Senior citizen (above 60 age group)</w:t>
      </w:r>
    </w:p>
    <w:p w14:paraId="66CF67F1" w14:textId="4C7D1E3A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Low food access</w:t>
      </w:r>
    </w:p>
    <w:p w14:paraId="3DD3818F" w14:textId="4306D9F7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No private vehicle availability</w:t>
      </w:r>
    </w:p>
    <w:p w14:paraId="7F78B3E7" w14:textId="66FE6F8F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Population living in slums</w:t>
      </w:r>
    </w:p>
    <w:p w14:paraId="549A9BFA" w14:textId="77777777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Education level</w:t>
      </w:r>
    </w:p>
    <w:p w14:paraId="4A5EB7C9" w14:textId="27550EC0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Literacy rate</w:t>
      </w:r>
    </w:p>
    <w:p w14:paraId="36A7DE5C" w14:textId="0064F911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High school graduation rate</w:t>
      </w:r>
    </w:p>
    <w:p w14:paraId="610A4331" w14:textId="77777777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Preventative measures</w:t>
      </w:r>
    </w:p>
    <w:p w14:paraId="61C08B7C" w14:textId="13E5F9CC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Number of years since last mass insecticide-treated bed nets distribution</w:t>
      </w:r>
    </w:p>
    <w:p w14:paraId="3FB0A17C" w14:textId="695C03AE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Proportion of households with at least 1 insecticide-treated bed nets per 2 people</w:t>
      </w:r>
    </w:p>
    <w:p w14:paraId="762FEE81" w14:textId="77777777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Population density and mobility</w:t>
      </w:r>
    </w:p>
    <w:p w14:paraId="27DDD09D" w14:textId="6CBFEC13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Household size</w:t>
      </w:r>
    </w:p>
    <w:p w14:paraId="0398D35B" w14:textId="693235C9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lastRenderedPageBreak/>
        <w:t>Urban male population</w:t>
      </w:r>
    </w:p>
    <w:p w14:paraId="18F10601" w14:textId="3F4F98B1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Urban population</w:t>
      </w:r>
    </w:p>
    <w:p w14:paraId="718013D3" w14:textId="7EBC9326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Working-age population</w:t>
      </w:r>
    </w:p>
    <w:p w14:paraId="718F9E56" w14:textId="100061DF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Spatial interaction index</w:t>
      </w:r>
    </w:p>
    <w:p w14:paraId="2DBA3AFC" w14:textId="77777777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Water, sanitation and hygiene availability</w:t>
      </w:r>
    </w:p>
    <w:p w14:paraId="5C75A532" w14:textId="62225535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Sanitation</w:t>
      </w:r>
    </w:p>
    <w:p w14:paraId="284F4C3A" w14:textId="62528539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Drinking water</w:t>
      </w:r>
    </w:p>
    <w:p w14:paraId="078D64F6" w14:textId="48369518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Hygiene</w:t>
      </w:r>
    </w:p>
    <w:p w14:paraId="5666E956" w14:textId="77777777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 xml:space="preserve">Border health </w:t>
      </w:r>
    </w:p>
    <w:p w14:paraId="45127C62" w14:textId="3A0F2221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Air transport passengers carried</w:t>
      </w:r>
    </w:p>
    <w:p w14:paraId="713A83E8" w14:textId="50205FEF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International tourism number of arrivals</w:t>
      </w:r>
    </w:p>
    <w:p w14:paraId="651A852E" w14:textId="5EA0D234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 xml:space="preserve">Points of entry </w:t>
      </w:r>
    </w:p>
    <w:p w14:paraId="45741F6F" w14:textId="77777777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Other</w:t>
      </w:r>
    </w:p>
    <w:p w14:paraId="12E6CA7B" w14:textId="7EDABBCA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Resilience</w:t>
      </w:r>
    </w:p>
    <w:p w14:paraId="3AF28C67" w14:textId="42452895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Access to cities</w:t>
      </w:r>
    </w:p>
    <w:p w14:paraId="06011C58" w14:textId="7906EDD2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Mobile cellular subscriptions</w:t>
      </w:r>
    </w:p>
    <w:p w14:paraId="73A91609" w14:textId="68DC1B67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Internet users</w:t>
      </w:r>
    </w:p>
    <w:p w14:paraId="38BF4EB5" w14:textId="5D39FDCB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 xml:space="preserve">Road density </w:t>
      </w:r>
    </w:p>
    <w:p w14:paraId="61C2EA69" w14:textId="53F7CCAB" w:rsidR="00226A37" w:rsidRPr="00226A37" w:rsidRDefault="00226A37" w:rsidP="00226A37">
      <w:pPr>
        <w:pStyle w:val="ListParagraph"/>
        <w:numPr>
          <w:ilvl w:val="0"/>
          <w:numId w:val="22"/>
        </w:numPr>
        <w:spacing w:before="240"/>
        <w:rPr>
          <w:b/>
          <w:bCs/>
        </w:rPr>
      </w:pPr>
      <w:r w:rsidRPr="00226A37">
        <w:rPr>
          <w:b/>
          <w:bCs/>
        </w:rPr>
        <w:t xml:space="preserve">Cost / economic </w:t>
      </w:r>
    </w:p>
    <w:p w14:paraId="0DA7A506" w14:textId="77777777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 xml:space="preserve">Short-term costs to </w:t>
      </w:r>
    </w:p>
    <w:p w14:paraId="737299B7" w14:textId="038B0552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Provincial government</w:t>
      </w:r>
    </w:p>
    <w:p w14:paraId="0E7FE6B6" w14:textId="71BAE9E6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Private sector</w:t>
      </w:r>
    </w:p>
    <w:p w14:paraId="53230982" w14:textId="57DC20E4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Individuals</w:t>
      </w:r>
    </w:p>
    <w:p w14:paraId="02309CEB" w14:textId="77777777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Health expenditure</w:t>
      </w:r>
    </w:p>
    <w:p w14:paraId="1E008AF0" w14:textId="4CD272ED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Public and private expenditure on health care</w:t>
      </w:r>
    </w:p>
    <w:p w14:paraId="1ED484A5" w14:textId="08808471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Current health expenditure</w:t>
      </w:r>
    </w:p>
    <w:p w14:paraId="59F15DE5" w14:textId="479AD1BF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Socioeconomic impact (including on vulnerable communities)</w:t>
      </w:r>
    </w:p>
    <w:p w14:paraId="302D9807" w14:textId="7A7BA34D" w:rsidR="00226A37" w:rsidRPr="00226A37" w:rsidRDefault="00226A37" w:rsidP="00226A37">
      <w:pPr>
        <w:pStyle w:val="ListParagraph"/>
        <w:numPr>
          <w:ilvl w:val="0"/>
          <w:numId w:val="22"/>
        </w:numPr>
        <w:spacing w:before="240"/>
        <w:rPr>
          <w:b/>
          <w:bCs/>
        </w:rPr>
      </w:pPr>
      <w:r w:rsidRPr="00226A37">
        <w:rPr>
          <w:b/>
          <w:bCs/>
        </w:rPr>
        <w:t>Environment and geography</w:t>
      </w:r>
    </w:p>
    <w:p w14:paraId="602E0129" w14:textId="77777777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 xml:space="preserve">Population density </w:t>
      </w:r>
    </w:p>
    <w:p w14:paraId="5FEF59B5" w14:textId="36C5569B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Population density</w:t>
      </w:r>
    </w:p>
    <w:p w14:paraId="7C517075" w14:textId="2679F837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Built-up area presence index (proxy for urban/rural designation)</w:t>
      </w:r>
    </w:p>
    <w:p w14:paraId="5B54346F" w14:textId="67907B4F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Total length of roads in the region</w:t>
      </w:r>
    </w:p>
    <w:p w14:paraId="0335DFF7" w14:textId="3059719E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Total length of railways in the region</w:t>
      </w:r>
    </w:p>
    <w:p w14:paraId="44DDB75C" w14:textId="77777777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Distances infrastructure (to/from)</w:t>
      </w:r>
    </w:p>
    <w:p w14:paraId="08D019D9" w14:textId="36A4756B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Roads</w:t>
      </w:r>
    </w:p>
    <w:p w14:paraId="327C40A5" w14:textId="4410269F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Hospitals</w:t>
      </w:r>
    </w:p>
    <w:p w14:paraId="63C8D73A" w14:textId="6B8176A0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Bus stations/terminals</w:t>
      </w:r>
    </w:p>
    <w:p w14:paraId="2AF5AB61" w14:textId="5F1E4FEC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Banks</w:t>
      </w:r>
    </w:p>
    <w:p w14:paraId="2DBC83E1" w14:textId="004D5D65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Markets</w:t>
      </w:r>
    </w:p>
    <w:p w14:paraId="341C07D6" w14:textId="65155F5E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Health care unit</w:t>
      </w:r>
    </w:p>
    <w:p w14:paraId="761EEADB" w14:textId="10BC03BE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Government offices</w:t>
      </w:r>
    </w:p>
    <w:p w14:paraId="1B24BDE2" w14:textId="77777777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 xml:space="preserve">Environmental </w:t>
      </w:r>
    </w:p>
    <w:p w14:paraId="6B955759" w14:textId="381D8D24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Mean annual rainfall</w:t>
      </w:r>
    </w:p>
    <w:p w14:paraId="5B44DFC6" w14:textId="1D3A8324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 xml:space="preserve">Temperature suitability index </w:t>
      </w:r>
    </w:p>
    <w:p w14:paraId="7C49A53D" w14:textId="494B8B76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Land surface temperature</w:t>
      </w:r>
    </w:p>
    <w:p w14:paraId="30550E19" w14:textId="32C9439C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Landfill sites</w:t>
      </w:r>
    </w:p>
    <w:p w14:paraId="4A0A8F27" w14:textId="1706DF36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Water logging</w:t>
      </w:r>
    </w:p>
    <w:p w14:paraId="54D0BE87" w14:textId="74CB3279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Land use</w:t>
      </w:r>
    </w:p>
    <w:p w14:paraId="672A303C" w14:textId="77777777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lastRenderedPageBreak/>
        <w:t>Other</w:t>
      </w:r>
    </w:p>
    <w:p w14:paraId="58895CEA" w14:textId="0332AA51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>Zones where tick populations present/established</w:t>
      </w:r>
    </w:p>
    <w:p w14:paraId="28BE6529" w14:textId="194199E3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 xml:space="preserve">Existence of </w:t>
      </w:r>
      <w:r w:rsidRPr="00226A37">
        <w:t>favorable</w:t>
      </w:r>
      <w:r w:rsidRPr="00226A37">
        <w:t xml:space="preserve"> conditions for disease transmission</w:t>
      </w:r>
    </w:p>
    <w:p w14:paraId="2B3B9BCE" w14:textId="0C205220" w:rsidR="00226A37" w:rsidRPr="00226A37" w:rsidRDefault="00226A37" w:rsidP="00226A37">
      <w:pPr>
        <w:pStyle w:val="ListParagraph"/>
        <w:numPr>
          <w:ilvl w:val="2"/>
          <w:numId w:val="22"/>
        </w:numPr>
        <w:spacing w:before="240"/>
      </w:pPr>
      <w:r w:rsidRPr="00226A37">
        <w:t xml:space="preserve">Influence of climate change </w:t>
      </w:r>
    </w:p>
    <w:p w14:paraId="0C894C92" w14:textId="2769EA07" w:rsidR="00226A37" w:rsidRPr="00226A37" w:rsidRDefault="00226A37" w:rsidP="00226A37">
      <w:pPr>
        <w:pStyle w:val="ListParagraph"/>
        <w:numPr>
          <w:ilvl w:val="0"/>
          <w:numId w:val="22"/>
        </w:numPr>
        <w:spacing w:before="240"/>
        <w:rPr>
          <w:b/>
          <w:bCs/>
        </w:rPr>
      </w:pPr>
      <w:r w:rsidRPr="00226A37">
        <w:rPr>
          <w:b/>
          <w:bCs/>
        </w:rPr>
        <w:t>Pathogen characteristics</w:t>
      </w:r>
    </w:p>
    <w:p w14:paraId="0A4B3457" w14:textId="608B8B3A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Introduction probability</w:t>
      </w:r>
    </w:p>
    <w:p w14:paraId="0223A309" w14:textId="1A903524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Human transmission</w:t>
      </w:r>
    </w:p>
    <w:p w14:paraId="2C3230F1" w14:textId="0AC212C8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Evolutionary potential</w:t>
      </w:r>
    </w:p>
    <w:p w14:paraId="1C8C4886" w14:textId="195DC4CE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Congenital risk</w:t>
      </w:r>
    </w:p>
    <w:p w14:paraId="4CC70549" w14:textId="7C2AF8BE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Reportable disease (nationally or internationally)</w:t>
      </w:r>
    </w:p>
    <w:p w14:paraId="0A229BBD" w14:textId="36061666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WHO objective for eradication</w:t>
      </w:r>
    </w:p>
    <w:p w14:paraId="6CBD4972" w14:textId="6E309A7A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Level of scientific knowledge of the disease</w:t>
      </w:r>
    </w:p>
    <w:p w14:paraId="34B78590" w14:textId="1ABF5187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Existing antibiotic multidrug resistance</w:t>
      </w:r>
    </w:p>
    <w:p w14:paraId="7F8BB58F" w14:textId="35F5E7DB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Reference laboratory essential for diagnosis</w:t>
      </w:r>
    </w:p>
    <w:p w14:paraId="2DC11D65" w14:textId="492C92B3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 xml:space="preserve">Connections with biological weapons </w:t>
      </w:r>
      <w:proofErr w:type="spellStart"/>
      <w:r w:rsidRPr="00226A37">
        <w:t>programmes</w:t>
      </w:r>
      <w:proofErr w:type="spellEnd"/>
    </w:p>
    <w:p w14:paraId="64917BA3" w14:textId="5B356004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High risk of occupational exposure</w:t>
      </w:r>
    </w:p>
    <w:p w14:paraId="3C411526" w14:textId="1FEA428F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 xml:space="preserve">Vaccine included in national vaccination </w:t>
      </w:r>
      <w:proofErr w:type="spellStart"/>
      <w:r w:rsidRPr="00226A37">
        <w:t>programme</w:t>
      </w:r>
      <w:proofErr w:type="spellEnd"/>
    </w:p>
    <w:p w14:paraId="27D53317" w14:textId="71DABDE4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Human/animal interface</w:t>
      </w:r>
    </w:p>
    <w:p w14:paraId="3915BC7E" w14:textId="4C79C1B9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 xml:space="preserve">Severity or case fatality rate in humans and in animals </w:t>
      </w:r>
    </w:p>
    <w:p w14:paraId="11ECFE06" w14:textId="06E37958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Cumulative attack rate (that is the proportion of the statewide population infected during the pandemic, and a simulated outcome from the model)</w:t>
      </w:r>
    </w:p>
    <w:p w14:paraId="4BD9F443" w14:textId="28516F36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Ability to infect environment</w:t>
      </w:r>
    </w:p>
    <w:p w14:paraId="59FFEFB6" w14:textId="0A96240F" w:rsidR="00226A37" w:rsidRPr="00226A37" w:rsidRDefault="00226A37" w:rsidP="00226A37">
      <w:pPr>
        <w:pStyle w:val="ListParagraph"/>
        <w:numPr>
          <w:ilvl w:val="0"/>
          <w:numId w:val="22"/>
        </w:numPr>
        <w:spacing w:before="240"/>
        <w:rPr>
          <w:b/>
          <w:bCs/>
        </w:rPr>
      </w:pPr>
      <w:r w:rsidRPr="00226A37">
        <w:rPr>
          <w:b/>
          <w:bCs/>
        </w:rPr>
        <w:t>Feasibility</w:t>
      </w:r>
    </w:p>
    <w:p w14:paraId="4A9C01A4" w14:textId="3E5C6FBB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Implementation complexity</w:t>
      </w:r>
    </w:p>
    <w:p w14:paraId="5DF7D954" w14:textId="34252A17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Delay before results</w:t>
      </w:r>
    </w:p>
    <w:p w14:paraId="085942D0" w14:textId="5930A30B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Level of public acceptance</w:t>
      </w:r>
    </w:p>
    <w:p w14:paraId="6364CA20" w14:textId="7ECF1701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Government effectiveness</w:t>
      </w:r>
    </w:p>
    <w:p w14:paraId="2CAB200B" w14:textId="17A9E94C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Risk of governmental abuses</w:t>
      </w:r>
    </w:p>
    <w:p w14:paraId="3BF9077C" w14:textId="5FC018A3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Optimization opportunities</w:t>
      </w:r>
    </w:p>
    <w:p w14:paraId="5BA0F072" w14:textId="04F6B8A3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Existing inter-sectoral collaboration for surveillance and reporting</w:t>
      </w:r>
    </w:p>
    <w:p w14:paraId="386A38E2" w14:textId="3E153801" w:rsidR="00226A37" w:rsidRPr="00226A37" w:rsidRDefault="00226A37" w:rsidP="00226A37">
      <w:pPr>
        <w:pStyle w:val="ListParagraph"/>
        <w:numPr>
          <w:ilvl w:val="0"/>
          <w:numId w:val="22"/>
        </w:numPr>
        <w:spacing w:before="240"/>
        <w:rPr>
          <w:b/>
          <w:bCs/>
        </w:rPr>
      </w:pPr>
      <w:r w:rsidRPr="00226A37">
        <w:rPr>
          <w:b/>
          <w:bCs/>
        </w:rPr>
        <w:t>Ethics and equity</w:t>
      </w:r>
    </w:p>
    <w:p w14:paraId="5E14FB7C" w14:textId="429418A4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Potential to increase social inequality</w:t>
      </w:r>
    </w:p>
    <w:p w14:paraId="6600A587" w14:textId="5731407E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Population living with vulnerable people (i.e. people with comorbidities, pregnant women, or immunosuppressed patients)</w:t>
      </w:r>
    </w:p>
    <w:p w14:paraId="41DB11F2" w14:textId="00EEA7FC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Proportion of population benefitting from intervention</w:t>
      </w:r>
    </w:p>
    <w:p w14:paraId="0C4C4BF5" w14:textId="5F22B5EE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Human rights</w:t>
      </w:r>
    </w:p>
    <w:p w14:paraId="660A9DB7" w14:textId="328FD6C8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Vulnerable groups</w:t>
      </w:r>
    </w:p>
    <w:p w14:paraId="0BE97C9E" w14:textId="3152EBDE" w:rsidR="00226A37" w:rsidRPr="00226A37" w:rsidRDefault="00226A37" w:rsidP="00226A37">
      <w:pPr>
        <w:pStyle w:val="ListParagraph"/>
        <w:numPr>
          <w:ilvl w:val="0"/>
          <w:numId w:val="22"/>
        </w:numPr>
        <w:spacing w:before="240"/>
        <w:rPr>
          <w:b/>
          <w:bCs/>
        </w:rPr>
      </w:pPr>
      <w:r w:rsidRPr="00226A37">
        <w:rPr>
          <w:b/>
          <w:bCs/>
        </w:rPr>
        <w:t>Effectiveness and safety</w:t>
      </w:r>
    </w:p>
    <w:p w14:paraId="175E732C" w14:textId="2B012A4C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Reduction in incidence of human cases</w:t>
      </w:r>
    </w:p>
    <w:p w14:paraId="1D751430" w14:textId="73A831F8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Reduction in entomological risk</w:t>
      </w:r>
    </w:p>
    <w:p w14:paraId="2F942791" w14:textId="55FFA4E0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Impacts of adverse health effects</w:t>
      </w:r>
    </w:p>
    <w:p w14:paraId="61BEAD01" w14:textId="7C8FC19A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Impact on wildlife</w:t>
      </w:r>
    </w:p>
    <w:p w14:paraId="6AFFFC91" w14:textId="1994DA18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 xml:space="preserve">Impact on </w:t>
      </w:r>
      <w:r w:rsidRPr="00226A37">
        <w:t>organization’s</w:t>
      </w:r>
      <w:r w:rsidRPr="00226A37">
        <w:t xml:space="preserve"> credibility</w:t>
      </w:r>
    </w:p>
    <w:p w14:paraId="79893484" w14:textId="77777777" w:rsidR="00226A37" w:rsidRPr="00226A37" w:rsidRDefault="00226A37" w:rsidP="00226A37">
      <w:pPr>
        <w:pStyle w:val="ListParagraph"/>
        <w:numPr>
          <w:ilvl w:val="0"/>
          <w:numId w:val="22"/>
        </w:numPr>
        <w:spacing w:before="240"/>
        <w:rPr>
          <w:b/>
          <w:bCs/>
        </w:rPr>
      </w:pPr>
      <w:r w:rsidRPr="00226A37">
        <w:rPr>
          <w:b/>
          <w:bCs/>
        </w:rPr>
        <w:t>Global Indexes</w:t>
      </w:r>
    </w:p>
    <w:p w14:paraId="1FB0B73F" w14:textId="77777777" w:rsidR="00226A37" w:rsidRPr="00226A37" w:rsidRDefault="00226A37" w:rsidP="00226A37">
      <w:pPr>
        <w:spacing w:before="240"/>
        <w:rPr>
          <w:rFonts w:cs="Times New Roman"/>
        </w:rPr>
      </w:pPr>
    </w:p>
    <w:p w14:paraId="5972B923" w14:textId="00E3002E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lastRenderedPageBreak/>
        <w:t>Stringency index</w:t>
      </w:r>
    </w:p>
    <w:p w14:paraId="213557F9" w14:textId="777D46D6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Human development index</w:t>
      </w:r>
    </w:p>
    <w:p w14:paraId="167CA049" w14:textId="7EDDD6E9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Operational readiness index</w:t>
      </w:r>
    </w:p>
    <w:p w14:paraId="461DC62B" w14:textId="011EB348" w:rsidR="00226A37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Corruption perception index</w:t>
      </w:r>
    </w:p>
    <w:p w14:paraId="58F1AED1" w14:textId="4D5C210A" w:rsidR="00DE23E8" w:rsidRPr="00226A37" w:rsidRDefault="00226A37" w:rsidP="00226A37">
      <w:pPr>
        <w:pStyle w:val="ListParagraph"/>
        <w:numPr>
          <w:ilvl w:val="1"/>
          <w:numId w:val="22"/>
        </w:numPr>
        <w:spacing w:before="240"/>
      </w:pPr>
      <w:r w:rsidRPr="00226A37">
        <w:t>INFORM COVID-19 index</w:t>
      </w:r>
    </w:p>
    <w:sectPr w:rsidR="00DE23E8" w:rsidRPr="00226A37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DF4DDD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DF4DDD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DF4DDD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DF4DDD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DF4DDD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DF4DDD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DF4DDD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DF4DDD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4F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D91E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F94523"/>
    <w:multiLevelType w:val="hybridMultilevel"/>
    <w:tmpl w:val="8076C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15EDEDE">
      <w:numFmt w:val="bullet"/>
      <w:lvlText w:val="-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6FB01842">
      <w:numFmt w:val="bullet"/>
      <w:lvlText w:val=""/>
      <w:lvlJc w:val="left"/>
      <w:pPr>
        <w:ind w:left="2700" w:hanging="720"/>
      </w:pPr>
      <w:rPr>
        <w:rFonts w:ascii="Symbol" w:eastAsiaTheme="minorHAnsi" w:hAnsi="Symbol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7"/>
  </w:num>
  <w:num w:numId="3" w16cid:durableId="615480040">
    <w:abstractNumId w:val="1"/>
  </w:num>
  <w:num w:numId="4" w16cid:durableId="1566183234">
    <w:abstractNumId w:val="8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5"/>
  </w:num>
  <w:num w:numId="7" w16cid:durableId="1359550598">
    <w:abstractNumId w:val="9"/>
  </w:num>
  <w:num w:numId="8" w16cid:durableId="1559510671">
    <w:abstractNumId w:val="9"/>
  </w:num>
  <w:num w:numId="9" w16cid:durableId="1734543462">
    <w:abstractNumId w:val="9"/>
  </w:num>
  <w:num w:numId="10" w16cid:durableId="708839681">
    <w:abstractNumId w:val="9"/>
  </w:num>
  <w:num w:numId="11" w16cid:durableId="2046978920">
    <w:abstractNumId w:val="9"/>
  </w:num>
  <w:num w:numId="12" w16cid:durableId="2124614653">
    <w:abstractNumId w:val="9"/>
  </w:num>
  <w:num w:numId="13" w16cid:durableId="150105246">
    <w:abstractNumId w:val="5"/>
  </w:num>
  <w:num w:numId="14" w16cid:durableId="515769853">
    <w:abstractNumId w:val="4"/>
  </w:num>
  <w:num w:numId="15" w16cid:durableId="1753046014">
    <w:abstractNumId w:val="4"/>
  </w:num>
  <w:num w:numId="16" w16cid:durableId="665939894">
    <w:abstractNumId w:val="4"/>
  </w:num>
  <w:num w:numId="17" w16cid:durableId="2078749421">
    <w:abstractNumId w:val="4"/>
  </w:num>
  <w:num w:numId="18" w16cid:durableId="825047625">
    <w:abstractNumId w:val="4"/>
  </w:num>
  <w:num w:numId="19" w16cid:durableId="803810417">
    <w:abstractNumId w:val="4"/>
  </w:num>
  <w:num w:numId="20" w16cid:durableId="429938451">
    <w:abstractNumId w:val="6"/>
  </w:num>
  <w:num w:numId="21" w16cid:durableId="2033022600">
    <w:abstractNumId w:val="3"/>
  </w:num>
  <w:num w:numId="22" w16cid:durableId="1987274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5352"/>
    <w:rsid w:val="00177D84"/>
    <w:rsid w:val="00226A37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0</TotalTime>
  <Pages>5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Stanislav Gaievskyi</cp:lastModifiedBy>
  <cp:revision>2</cp:revision>
  <cp:lastPrinted>2013-10-03T12:51:00Z</cp:lastPrinted>
  <dcterms:created xsi:type="dcterms:W3CDTF">2025-02-26T14:40:00Z</dcterms:created>
  <dcterms:modified xsi:type="dcterms:W3CDTF">2025-02-26T14:40:00Z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