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C99AF" w14:textId="77777777" w:rsidR="00D54077" w:rsidRPr="001F1B77" w:rsidRDefault="00D54077" w:rsidP="00D54077">
      <w:pPr>
        <w:tabs>
          <w:tab w:val="left" w:pos="1853"/>
        </w:tabs>
        <w:spacing w:line="360" w:lineRule="auto"/>
        <w:rPr>
          <w:rFonts w:cs="Times New Roman"/>
          <w:b/>
          <w:bCs/>
          <w:sz w:val="22"/>
        </w:rPr>
      </w:pPr>
      <w:r w:rsidRPr="00F130F3">
        <w:rPr>
          <w:rFonts w:cs="Times New Roman"/>
          <w:b/>
          <w:bCs/>
          <w:sz w:val="22"/>
        </w:rPr>
        <w:t xml:space="preserve">Supplementary </w:t>
      </w:r>
      <w:r w:rsidRPr="001F1B77">
        <w:rPr>
          <w:rFonts w:cs="Times New Roman"/>
          <w:b/>
          <w:bCs/>
          <w:sz w:val="22"/>
        </w:rPr>
        <w:t xml:space="preserve">Table </w:t>
      </w:r>
      <w:r>
        <w:rPr>
          <w:rFonts w:cs="Times New Roman" w:hint="eastAsia"/>
          <w:b/>
          <w:bCs/>
          <w:sz w:val="22"/>
        </w:rPr>
        <w:t>1</w:t>
      </w:r>
      <w:r w:rsidRPr="001F1B77">
        <w:rPr>
          <w:rFonts w:cs="Times New Roman"/>
          <w:b/>
          <w:bCs/>
          <w:sz w:val="22"/>
        </w:rPr>
        <w:t xml:space="preserve"> Sensitivity analysis between</w:t>
      </w:r>
      <w:r>
        <w:rPr>
          <w:rFonts w:cs="Times New Roman"/>
          <w:b/>
          <w:bCs/>
          <w:sz w:val="22"/>
        </w:rPr>
        <w:t xml:space="preserve"> BRI</w:t>
      </w:r>
      <w:r w:rsidRPr="001F1B77">
        <w:rPr>
          <w:rFonts w:cs="Times New Roman"/>
          <w:b/>
          <w:bCs/>
          <w:sz w:val="22"/>
        </w:rPr>
        <w:t xml:space="preserve"> and </w:t>
      </w:r>
      <w:r>
        <w:rPr>
          <w:rFonts w:cs="Times New Roman"/>
          <w:b/>
          <w:bCs/>
          <w:sz w:val="22"/>
        </w:rPr>
        <w:t>RA</w:t>
      </w:r>
      <w:r w:rsidRPr="001F1B77">
        <w:rPr>
          <w:rFonts w:cs="Times New Roman"/>
          <w:b/>
          <w:bCs/>
          <w:sz w:val="22"/>
        </w:rPr>
        <w:t>.</w:t>
      </w:r>
      <w:r>
        <w:rPr>
          <w:rFonts w:cs="Times New Roman" w:hint="eastAsia"/>
          <w:b/>
          <w:bCs/>
          <w:sz w:val="22"/>
        </w:rPr>
        <w:t xml:space="preserve"> </w:t>
      </w:r>
    </w:p>
    <w:tbl>
      <w:tblPr>
        <w:tblStyle w:val="aff9"/>
        <w:tblW w:w="5001" w:type="pct"/>
        <w:tblLook w:val="04A0" w:firstRow="1" w:lastRow="0" w:firstColumn="1" w:lastColumn="0" w:noHBand="0" w:noVBand="1"/>
      </w:tblPr>
      <w:tblGrid>
        <w:gridCol w:w="1666"/>
        <w:gridCol w:w="1338"/>
        <w:gridCol w:w="2259"/>
        <w:gridCol w:w="2259"/>
        <w:gridCol w:w="2257"/>
      </w:tblGrid>
      <w:tr w:rsidR="00D54077" w:rsidRPr="001F1B77" w14:paraId="34682EB7" w14:textId="77777777" w:rsidTr="00DA79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852" w:type="pct"/>
          </w:tcPr>
          <w:p w14:paraId="682099BA" w14:textId="77777777" w:rsidR="00D54077" w:rsidRPr="001F1B77" w:rsidRDefault="00D54077" w:rsidP="00DA7994">
            <w:pPr>
              <w:spacing w:line="360" w:lineRule="auto"/>
              <w:rPr>
                <w:b w:val="0"/>
              </w:rPr>
            </w:pPr>
          </w:p>
        </w:tc>
        <w:tc>
          <w:tcPr>
            <w:tcW w:w="684" w:type="pct"/>
          </w:tcPr>
          <w:p w14:paraId="45B65587" w14:textId="77777777" w:rsidR="00D54077" w:rsidRPr="001F1B77" w:rsidRDefault="00D54077" w:rsidP="00DA7994">
            <w:pPr>
              <w:spacing w:line="360" w:lineRule="auto"/>
              <w:rPr>
                <w:b w:val="0"/>
              </w:rPr>
            </w:pPr>
          </w:p>
        </w:tc>
        <w:tc>
          <w:tcPr>
            <w:tcW w:w="1155" w:type="pct"/>
          </w:tcPr>
          <w:p w14:paraId="7EFBF787" w14:textId="77777777" w:rsidR="00D54077" w:rsidRPr="001F1B77" w:rsidRDefault="00D54077" w:rsidP="00DA7994">
            <w:pPr>
              <w:spacing w:line="360" w:lineRule="auto"/>
              <w:rPr>
                <w:b w:val="0"/>
              </w:rPr>
            </w:pPr>
            <w:r w:rsidRPr="001F1B77">
              <w:rPr>
                <w:b w:val="0"/>
              </w:rPr>
              <w:t>Model 1</w:t>
            </w:r>
          </w:p>
          <w:p w14:paraId="2353EDEE" w14:textId="77777777" w:rsidR="00D54077" w:rsidRPr="001F1B77" w:rsidRDefault="00D54077" w:rsidP="00DA7994">
            <w:pPr>
              <w:spacing w:line="360" w:lineRule="auto"/>
              <w:rPr>
                <w:b w:val="0"/>
              </w:rPr>
            </w:pPr>
            <w:r w:rsidRPr="001F1B77">
              <w:rPr>
                <w:b w:val="0"/>
              </w:rPr>
              <w:t>OR (95%CI) P-value</w:t>
            </w:r>
          </w:p>
        </w:tc>
        <w:tc>
          <w:tcPr>
            <w:tcW w:w="1155" w:type="pct"/>
          </w:tcPr>
          <w:p w14:paraId="65DB8EE9" w14:textId="77777777" w:rsidR="00D54077" w:rsidRPr="001F1B77" w:rsidRDefault="00D54077" w:rsidP="00DA7994">
            <w:pPr>
              <w:spacing w:line="360" w:lineRule="auto"/>
              <w:rPr>
                <w:b w:val="0"/>
              </w:rPr>
            </w:pPr>
            <w:r w:rsidRPr="001F1B77">
              <w:rPr>
                <w:b w:val="0"/>
              </w:rPr>
              <w:t>Model 2</w:t>
            </w:r>
          </w:p>
          <w:p w14:paraId="33067D7A" w14:textId="77777777" w:rsidR="00D54077" w:rsidRPr="001F1B77" w:rsidRDefault="00D54077" w:rsidP="00DA7994">
            <w:pPr>
              <w:spacing w:line="360" w:lineRule="auto"/>
              <w:rPr>
                <w:b w:val="0"/>
              </w:rPr>
            </w:pPr>
            <w:r w:rsidRPr="001F1B77">
              <w:rPr>
                <w:b w:val="0"/>
              </w:rPr>
              <w:t>OR (95%CI) P-value</w:t>
            </w:r>
          </w:p>
        </w:tc>
        <w:tc>
          <w:tcPr>
            <w:tcW w:w="1154" w:type="pct"/>
          </w:tcPr>
          <w:p w14:paraId="1B087C53" w14:textId="77777777" w:rsidR="00D54077" w:rsidRPr="001F1B77" w:rsidRDefault="00D54077" w:rsidP="00DA7994">
            <w:pPr>
              <w:spacing w:line="360" w:lineRule="auto"/>
              <w:rPr>
                <w:b w:val="0"/>
              </w:rPr>
            </w:pPr>
            <w:r w:rsidRPr="001F1B77">
              <w:rPr>
                <w:b w:val="0"/>
              </w:rPr>
              <w:t>Model 3</w:t>
            </w:r>
          </w:p>
          <w:p w14:paraId="2F964F2D" w14:textId="77777777" w:rsidR="00D54077" w:rsidRPr="001F1B77" w:rsidRDefault="00D54077" w:rsidP="00DA7994">
            <w:pPr>
              <w:spacing w:line="360" w:lineRule="auto"/>
              <w:rPr>
                <w:b w:val="0"/>
              </w:rPr>
            </w:pPr>
            <w:r w:rsidRPr="001F1B77">
              <w:rPr>
                <w:b w:val="0"/>
              </w:rPr>
              <w:t>OR (95%CI) P-value</w:t>
            </w:r>
          </w:p>
        </w:tc>
      </w:tr>
      <w:tr w:rsidR="00D54077" w:rsidRPr="001F1B77" w14:paraId="243C253E" w14:textId="77777777" w:rsidTr="00DA7994">
        <w:trPr>
          <w:trHeight w:val="340"/>
        </w:trPr>
        <w:tc>
          <w:tcPr>
            <w:tcW w:w="852" w:type="pct"/>
          </w:tcPr>
          <w:p w14:paraId="1BD4F341" w14:textId="77777777" w:rsidR="00D54077" w:rsidRPr="001F1B77" w:rsidRDefault="00D54077" w:rsidP="00DA7994">
            <w:pPr>
              <w:spacing w:line="360" w:lineRule="auto"/>
            </w:pPr>
            <w:r>
              <w:t>RA</w:t>
            </w:r>
          </w:p>
        </w:tc>
        <w:tc>
          <w:tcPr>
            <w:tcW w:w="684" w:type="pct"/>
          </w:tcPr>
          <w:p w14:paraId="5384D71C" w14:textId="77777777" w:rsidR="00D54077" w:rsidRPr="001F1B77" w:rsidRDefault="00D54077" w:rsidP="00DA7994">
            <w:pPr>
              <w:spacing w:line="360" w:lineRule="auto"/>
            </w:pPr>
            <w:r>
              <w:t>BRI</w:t>
            </w:r>
          </w:p>
        </w:tc>
        <w:tc>
          <w:tcPr>
            <w:tcW w:w="1155" w:type="pct"/>
          </w:tcPr>
          <w:p w14:paraId="2A3D267D" w14:textId="77777777" w:rsidR="00D54077" w:rsidRPr="001F1B77" w:rsidRDefault="00D54077" w:rsidP="00DA7994">
            <w:pPr>
              <w:spacing w:line="360" w:lineRule="auto"/>
            </w:pPr>
            <w:r w:rsidRPr="00D9017A">
              <w:t>1.16</w:t>
            </w:r>
            <w:r>
              <w:t xml:space="preserve"> (</w:t>
            </w:r>
            <w:r w:rsidRPr="00D9017A">
              <w:t>1.12, 1.20</w:t>
            </w:r>
            <w:r>
              <w:t>) &lt;</w:t>
            </w:r>
            <w:r w:rsidRPr="00D9017A">
              <w:t>0.001</w:t>
            </w:r>
          </w:p>
        </w:tc>
        <w:tc>
          <w:tcPr>
            <w:tcW w:w="1155" w:type="pct"/>
          </w:tcPr>
          <w:p w14:paraId="06FA50AC" w14:textId="77777777" w:rsidR="00D54077" w:rsidRPr="001F1B77" w:rsidRDefault="00D54077" w:rsidP="00DA7994">
            <w:pPr>
              <w:spacing w:line="360" w:lineRule="auto"/>
            </w:pPr>
            <w:r w:rsidRPr="00D9017A">
              <w:t>1.12</w:t>
            </w:r>
            <w:r>
              <w:t xml:space="preserve"> (</w:t>
            </w:r>
            <w:r w:rsidRPr="00D9017A">
              <w:t>1.07, 1.17</w:t>
            </w:r>
            <w:r>
              <w:t>) &lt;</w:t>
            </w:r>
            <w:r w:rsidRPr="00D9017A">
              <w:t>0.001</w:t>
            </w:r>
          </w:p>
        </w:tc>
        <w:tc>
          <w:tcPr>
            <w:tcW w:w="1154" w:type="pct"/>
          </w:tcPr>
          <w:p w14:paraId="4BF57FFF" w14:textId="77777777" w:rsidR="00D54077" w:rsidRPr="001F1B77" w:rsidRDefault="00D54077" w:rsidP="00DA7994">
            <w:pPr>
              <w:spacing w:line="360" w:lineRule="auto"/>
            </w:pPr>
            <w:r w:rsidRPr="00D9017A">
              <w:t>1.09</w:t>
            </w:r>
            <w:r>
              <w:t xml:space="preserve"> (</w:t>
            </w:r>
            <w:r w:rsidRPr="00D9017A">
              <w:t>1.02, 1.15</w:t>
            </w:r>
            <w:r>
              <w:rPr>
                <w:rFonts w:hint="eastAsia"/>
              </w:rPr>
              <w:t xml:space="preserve">) </w:t>
            </w:r>
            <w:r w:rsidRPr="00D9017A">
              <w:t>0.009</w:t>
            </w:r>
          </w:p>
        </w:tc>
      </w:tr>
      <w:tr w:rsidR="00D54077" w:rsidRPr="001F1B77" w14:paraId="3C8291D0" w14:textId="77777777" w:rsidTr="00DA7994">
        <w:trPr>
          <w:trHeight w:val="340"/>
        </w:trPr>
        <w:tc>
          <w:tcPr>
            <w:tcW w:w="852" w:type="pct"/>
          </w:tcPr>
          <w:p w14:paraId="326D7991" w14:textId="77777777" w:rsidR="00D54077" w:rsidRPr="001F1B77" w:rsidRDefault="00D54077" w:rsidP="00DA7994">
            <w:pPr>
              <w:spacing w:line="360" w:lineRule="auto"/>
            </w:pPr>
          </w:p>
        </w:tc>
        <w:tc>
          <w:tcPr>
            <w:tcW w:w="684" w:type="pct"/>
          </w:tcPr>
          <w:p w14:paraId="2CDD7270" w14:textId="77777777" w:rsidR="00D54077" w:rsidRPr="001F1B77" w:rsidRDefault="00D54077" w:rsidP="00DA7994">
            <w:pPr>
              <w:spacing w:line="360" w:lineRule="auto"/>
            </w:pPr>
            <w:r w:rsidRPr="001F1B77">
              <w:t>Q1</w:t>
            </w:r>
          </w:p>
        </w:tc>
        <w:tc>
          <w:tcPr>
            <w:tcW w:w="1155" w:type="pct"/>
          </w:tcPr>
          <w:p w14:paraId="467C0675" w14:textId="77777777" w:rsidR="00D54077" w:rsidRPr="001F1B77" w:rsidRDefault="00D54077" w:rsidP="00DA7994">
            <w:pPr>
              <w:spacing w:line="360" w:lineRule="auto"/>
            </w:pPr>
            <w:r w:rsidRPr="001F1B77">
              <w:rPr>
                <w:color w:val="333333"/>
              </w:rPr>
              <w:t>[Reference]</w:t>
            </w:r>
          </w:p>
        </w:tc>
        <w:tc>
          <w:tcPr>
            <w:tcW w:w="1155" w:type="pct"/>
          </w:tcPr>
          <w:p w14:paraId="1F109331" w14:textId="77777777" w:rsidR="00D54077" w:rsidRPr="001F1B77" w:rsidRDefault="00D54077" w:rsidP="00DA7994">
            <w:pPr>
              <w:spacing w:line="360" w:lineRule="auto"/>
            </w:pPr>
            <w:r w:rsidRPr="001F1B77">
              <w:rPr>
                <w:color w:val="333333"/>
              </w:rPr>
              <w:t>[Reference]</w:t>
            </w:r>
          </w:p>
        </w:tc>
        <w:tc>
          <w:tcPr>
            <w:tcW w:w="1154" w:type="pct"/>
          </w:tcPr>
          <w:p w14:paraId="59EB8CBA" w14:textId="77777777" w:rsidR="00D54077" w:rsidRPr="001F1B77" w:rsidRDefault="00D54077" w:rsidP="00DA7994">
            <w:pPr>
              <w:spacing w:line="360" w:lineRule="auto"/>
            </w:pPr>
            <w:r w:rsidRPr="001F1B77">
              <w:rPr>
                <w:color w:val="333333"/>
              </w:rPr>
              <w:t>[Reference]</w:t>
            </w:r>
          </w:p>
        </w:tc>
      </w:tr>
      <w:tr w:rsidR="00D54077" w:rsidRPr="001F1B77" w14:paraId="68EE3849" w14:textId="77777777" w:rsidTr="00DA7994">
        <w:trPr>
          <w:trHeight w:val="340"/>
        </w:trPr>
        <w:tc>
          <w:tcPr>
            <w:tcW w:w="852" w:type="pct"/>
          </w:tcPr>
          <w:p w14:paraId="7820B505" w14:textId="77777777" w:rsidR="00D54077" w:rsidRPr="001F1B77" w:rsidRDefault="00D54077" w:rsidP="00DA7994">
            <w:pPr>
              <w:spacing w:line="360" w:lineRule="auto"/>
            </w:pPr>
          </w:p>
        </w:tc>
        <w:tc>
          <w:tcPr>
            <w:tcW w:w="684" w:type="pct"/>
          </w:tcPr>
          <w:p w14:paraId="19CD8691" w14:textId="77777777" w:rsidR="00D54077" w:rsidRPr="001F1B77" w:rsidRDefault="00D54077" w:rsidP="00DA7994">
            <w:pPr>
              <w:spacing w:line="360" w:lineRule="auto"/>
            </w:pPr>
            <w:r w:rsidRPr="001F1B77">
              <w:t>Q2</w:t>
            </w:r>
          </w:p>
        </w:tc>
        <w:tc>
          <w:tcPr>
            <w:tcW w:w="1155" w:type="pct"/>
          </w:tcPr>
          <w:p w14:paraId="7CB024FD" w14:textId="77777777" w:rsidR="00D54077" w:rsidRPr="001F1B77" w:rsidRDefault="00D54077" w:rsidP="00DA7994">
            <w:pPr>
              <w:spacing w:line="360" w:lineRule="auto"/>
            </w:pPr>
            <w:r w:rsidRPr="00D9017A">
              <w:t>1.98</w:t>
            </w:r>
            <w:r>
              <w:t xml:space="preserve"> (</w:t>
            </w:r>
            <w:r w:rsidRPr="00D9017A">
              <w:t>1.32, 2.98</w:t>
            </w:r>
            <w:r>
              <w:rPr>
                <w:rFonts w:hint="eastAsia"/>
              </w:rPr>
              <w:t>) &lt;</w:t>
            </w:r>
            <w:r w:rsidRPr="00D9017A">
              <w:t>0.001</w:t>
            </w:r>
          </w:p>
        </w:tc>
        <w:tc>
          <w:tcPr>
            <w:tcW w:w="1155" w:type="pct"/>
          </w:tcPr>
          <w:p w14:paraId="0C880695" w14:textId="77777777" w:rsidR="00D54077" w:rsidRPr="001F1B77" w:rsidRDefault="00D54077" w:rsidP="00DA7994">
            <w:pPr>
              <w:spacing w:line="360" w:lineRule="auto"/>
            </w:pPr>
            <w:r w:rsidRPr="00D9017A">
              <w:t>1.64</w:t>
            </w:r>
            <w:r>
              <w:t xml:space="preserve"> (</w:t>
            </w:r>
            <w:r w:rsidRPr="00D9017A">
              <w:t>1.09, 2.46</w:t>
            </w:r>
            <w:r>
              <w:rPr>
                <w:rFonts w:hint="eastAsia"/>
              </w:rPr>
              <w:t xml:space="preserve">) </w:t>
            </w:r>
            <w:r w:rsidRPr="00D9017A">
              <w:t>0.018</w:t>
            </w:r>
          </w:p>
        </w:tc>
        <w:tc>
          <w:tcPr>
            <w:tcW w:w="1154" w:type="pct"/>
          </w:tcPr>
          <w:p w14:paraId="59714198" w14:textId="77777777" w:rsidR="00D54077" w:rsidRPr="001F1B77" w:rsidRDefault="00D54077" w:rsidP="00DA7994">
            <w:pPr>
              <w:spacing w:line="360" w:lineRule="auto"/>
            </w:pPr>
            <w:r w:rsidRPr="00D9017A">
              <w:t>1.62</w:t>
            </w:r>
            <w:r>
              <w:t xml:space="preserve"> (</w:t>
            </w:r>
            <w:r w:rsidRPr="00D9017A">
              <w:t>1.04, 2.53</w:t>
            </w:r>
            <w:r>
              <w:rPr>
                <w:rFonts w:hint="eastAsia"/>
              </w:rPr>
              <w:t xml:space="preserve">) </w:t>
            </w:r>
            <w:r w:rsidRPr="00D9017A">
              <w:t>0.036</w:t>
            </w:r>
          </w:p>
        </w:tc>
      </w:tr>
      <w:tr w:rsidR="00D54077" w:rsidRPr="001F1B77" w14:paraId="2A107BD2" w14:textId="77777777" w:rsidTr="00DA7994">
        <w:trPr>
          <w:trHeight w:val="340"/>
        </w:trPr>
        <w:tc>
          <w:tcPr>
            <w:tcW w:w="852" w:type="pct"/>
          </w:tcPr>
          <w:p w14:paraId="15F24115" w14:textId="77777777" w:rsidR="00D54077" w:rsidRPr="001F1B77" w:rsidRDefault="00D54077" w:rsidP="00DA7994">
            <w:pPr>
              <w:spacing w:line="360" w:lineRule="auto"/>
            </w:pPr>
          </w:p>
        </w:tc>
        <w:tc>
          <w:tcPr>
            <w:tcW w:w="684" w:type="pct"/>
          </w:tcPr>
          <w:p w14:paraId="09B78013" w14:textId="77777777" w:rsidR="00D54077" w:rsidRPr="001F1B77" w:rsidRDefault="00D54077" w:rsidP="00DA7994">
            <w:pPr>
              <w:spacing w:line="360" w:lineRule="auto"/>
            </w:pPr>
            <w:r w:rsidRPr="001F1B77">
              <w:t>Q3</w:t>
            </w:r>
          </w:p>
        </w:tc>
        <w:tc>
          <w:tcPr>
            <w:tcW w:w="1155" w:type="pct"/>
          </w:tcPr>
          <w:p w14:paraId="5FB90A47" w14:textId="77777777" w:rsidR="00D54077" w:rsidRPr="001F1B77" w:rsidRDefault="00D54077" w:rsidP="00DA7994">
            <w:pPr>
              <w:spacing w:line="360" w:lineRule="auto"/>
            </w:pPr>
            <w:r w:rsidRPr="00D9017A">
              <w:t>2.67</w:t>
            </w:r>
            <w:r>
              <w:t xml:space="preserve"> (</w:t>
            </w:r>
            <w:r w:rsidRPr="00D9017A">
              <w:t>1.85, 3.87</w:t>
            </w:r>
            <w:r>
              <w:t>) &lt;</w:t>
            </w:r>
            <w:r w:rsidRPr="00D9017A">
              <w:t>0.001</w:t>
            </w:r>
          </w:p>
        </w:tc>
        <w:tc>
          <w:tcPr>
            <w:tcW w:w="1155" w:type="pct"/>
          </w:tcPr>
          <w:p w14:paraId="58CC3A88" w14:textId="77777777" w:rsidR="00D54077" w:rsidRPr="001F1B77" w:rsidRDefault="00D54077" w:rsidP="00DA7994">
            <w:pPr>
              <w:spacing w:line="360" w:lineRule="auto"/>
            </w:pPr>
            <w:r w:rsidRPr="00D9017A">
              <w:t>2.03</w:t>
            </w:r>
            <w:r>
              <w:t xml:space="preserve"> (</w:t>
            </w:r>
            <w:r w:rsidRPr="00D9017A">
              <w:t>1.40, 2.94</w:t>
            </w:r>
            <w:r>
              <w:t>) &lt;</w:t>
            </w:r>
            <w:r w:rsidRPr="00D9017A">
              <w:t>0.001</w:t>
            </w:r>
          </w:p>
        </w:tc>
        <w:tc>
          <w:tcPr>
            <w:tcW w:w="1154" w:type="pct"/>
          </w:tcPr>
          <w:p w14:paraId="2DEE4D19" w14:textId="77777777" w:rsidR="00D54077" w:rsidRPr="001F1B77" w:rsidRDefault="00D54077" w:rsidP="00DA7994">
            <w:pPr>
              <w:spacing w:line="360" w:lineRule="auto"/>
            </w:pPr>
            <w:r w:rsidRPr="00D9017A">
              <w:t>1.86</w:t>
            </w:r>
            <w:r>
              <w:t xml:space="preserve"> (</w:t>
            </w:r>
            <w:r w:rsidRPr="00D9017A">
              <w:t>1.29, 2.68</w:t>
            </w:r>
            <w:r>
              <w:rPr>
                <w:rFonts w:hint="eastAsia"/>
              </w:rPr>
              <w:t xml:space="preserve">) </w:t>
            </w:r>
            <w:r w:rsidRPr="00D9017A">
              <w:t>0.002</w:t>
            </w:r>
          </w:p>
        </w:tc>
      </w:tr>
      <w:tr w:rsidR="00D54077" w:rsidRPr="001F1B77" w14:paraId="4A6CD6EA" w14:textId="77777777" w:rsidTr="00DA7994">
        <w:trPr>
          <w:trHeight w:val="340"/>
        </w:trPr>
        <w:tc>
          <w:tcPr>
            <w:tcW w:w="852" w:type="pct"/>
          </w:tcPr>
          <w:p w14:paraId="556AE28E" w14:textId="77777777" w:rsidR="00D54077" w:rsidRPr="001F1B77" w:rsidRDefault="00D54077" w:rsidP="00DA7994">
            <w:pPr>
              <w:spacing w:line="360" w:lineRule="auto"/>
            </w:pPr>
          </w:p>
        </w:tc>
        <w:tc>
          <w:tcPr>
            <w:tcW w:w="684" w:type="pct"/>
          </w:tcPr>
          <w:p w14:paraId="0082556E" w14:textId="77777777" w:rsidR="00D54077" w:rsidRPr="001F1B77" w:rsidRDefault="00D54077" w:rsidP="00DA7994">
            <w:pPr>
              <w:spacing w:line="360" w:lineRule="auto"/>
            </w:pPr>
            <w:r w:rsidRPr="001F1B77">
              <w:t>Q4</w:t>
            </w:r>
          </w:p>
        </w:tc>
        <w:tc>
          <w:tcPr>
            <w:tcW w:w="1155" w:type="pct"/>
          </w:tcPr>
          <w:p w14:paraId="23140965" w14:textId="77777777" w:rsidR="00D54077" w:rsidRPr="001F1B77" w:rsidRDefault="00D54077" w:rsidP="00DA7994">
            <w:pPr>
              <w:spacing w:line="360" w:lineRule="auto"/>
            </w:pPr>
            <w:r w:rsidRPr="00D9017A">
              <w:t>3.10</w:t>
            </w:r>
            <w:r>
              <w:t xml:space="preserve"> (</w:t>
            </w:r>
            <w:r w:rsidRPr="00D9017A">
              <w:t>2.19, 4.37</w:t>
            </w:r>
            <w:r>
              <w:t>) &lt;</w:t>
            </w:r>
            <w:r w:rsidRPr="00D9017A">
              <w:t>0.001</w:t>
            </w:r>
          </w:p>
        </w:tc>
        <w:tc>
          <w:tcPr>
            <w:tcW w:w="1155" w:type="pct"/>
          </w:tcPr>
          <w:p w14:paraId="52B93684" w14:textId="77777777" w:rsidR="00D54077" w:rsidRPr="001F1B77" w:rsidRDefault="00D54077" w:rsidP="00DA7994">
            <w:pPr>
              <w:spacing w:line="360" w:lineRule="auto"/>
            </w:pPr>
            <w:r w:rsidRPr="00D9017A">
              <w:t>2.25</w:t>
            </w:r>
            <w:r>
              <w:t xml:space="preserve"> (</w:t>
            </w:r>
            <w:r w:rsidRPr="00D9017A">
              <w:t>1.55, 3.27</w:t>
            </w:r>
            <w:r>
              <w:t>) &lt;</w:t>
            </w:r>
            <w:r w:rsidRPr="00D9017A">
              <w:t>0.001</w:t>
            </w:r>
          </w:p>
        </w:tc>
        <w:tc>
          <w:tcPr>
            <w:tcW w:w="1154" w:type="pct"/>
          </w:tcPr>
          <w:p w14:paraId="266D4E98" w14:textId="77777777" w:rsidR="00D54077" w:rsidRPr="001F1B77" w:rsidRDefault="00D54077" w:rsidP="00DA7994">
            <w:pPr>
              <w:spacing w:line="360" w:lineRule="auto"/>
            </w:pPr>
            <w:r w:rsidRPr="00D9017A">
              <w:t>1.90</w:t>
            </w:r>
            <w:r>
              <w:t xml:space="preserve"> (</w:t>
            </w:r>
            <w:r w:rsidRPr="00D9017A">
              <w:t>1.22, 2.98</w:t>
            </w:r>
            <w:r>
              <w:rPr>
                <w:rFonts w:hint="eastAsia"/>
              </w:rPr>
              <w:t xml:space="preserve">) </w:t>
            </w:r>
            <w:r w:rsidRPr="00D9017A">
              <w:t>0.006</w:t>
            </w:r>
          </w:p>
        </w:tc>
      </w:tr>
      <w:tr w:rsidR="00D54077" w:rsidRPr="001F1B77" w14:paraId="06385687" w14:textId="77777777" w:rsidTr="00DA7994">
        <w:trPr>
          <w:trHeight w:val="340"/>
        </w:trPr>
        <w:tc>
          <w:tcPr>
            <w:tcW w:w="852" w:type="pct"/>
          </w:tcPr>
          <w:p w14:paraId="4C7DA39A" w14:textId="77777777" w:rsidR="00D54077" w:rsidRPr="001F1B77" w:rsidRDefault="00D54077" w:rsidP="00DA7994">
            <w:pPr>
              <w:spacing w:line="360" w:lineRule="auto"/>
            </w:pPr>
          </w:p>
        </w:tc>
        <w:tc>
          <w:tcPr>
            <w:tcW w:w="684" w:type="pct"/>
          </w:tcPr>
          <w:p w14:paraId="0AFA278F" w14:textId="77777777" w:rsidR="00D54077" w:rsidRPr="001F1B77" w:rsidRDefault="00D54077" w:rsidP="00DA7994">
            <w:pPr>
              <w:spacing w:line="360" w:lineRule="auto"/>
            </w:pPr>
            <w:r w:rsidRPr="001F1B77">
              <w:rPr>
                <w:color w:val="333333"/>
              </w:rPr>
              <w:t>P for trend</w:t>
            </w:r>
          </w:p>
        </w:tc>
        <w:tc>
          <w:tcPr>
            <w:tcW w:w="1155" w:type="pct"/>
          </w:tcPr>
          <w:p w14:paraId="39CC5FE8" w14:textId="77777777" w:rsidR="00D54077" w:rsidRPr="001F1B77" w:rsidRDefault="00D54077" w:rsidP="00DA7994">
            <w:pPr>
              <w:spacing w:line="360" w:lineRule="auto"/>
            </w:pPr>
            <w:r>
              <w:t>&lt;</w:t>
            </w:r>
            <w:r w:rsidRPr="00D9017A">
              <w:t>0.001</w:t>
            </w:r>
          </w:p>
        </w:tc>
        <w:tc>
          <w:tcPr>
            <w:tcW w:w="1155" w:type="pct"/>
          </w:tcPr>
          <w:p w14:paraId="708821A4" w14:textId="77777777" w:rsidR="00D54077" w:rsidRPr="001F1B77" w:rsidRDefault="00D54077" w:rsidP="00DA7994">
            <w:pPr>
              <w:spacing w:line="360" w:lineRule="auto"/>
            </w:pPr>
            <w:r w:rsidRPr="00D9017A">
              <w:t>&lt;0.001</w:t>
            </w:r>
          </w:p>
        </w:tc>
        <w:tc>
          <w:tcPr>
            <w:tcW w:w="1154" w:type="pct"/>
          </w:tcPr>
          <w:p w14:paraId="317F9308" w14:textId="77777777" w:rsidR="00D54077" w:rsidRPr="001F1B77" w:rsidRDefault="00D54077" w:rsidP="00DA7994">
            <w:pPr>
              <w:spacing w:line="360" w:lineRule="auto"/>
            </w:pPr>
            <w:r w:rsidRPr="00D9017A">
              <w:t>0.014</w:t>
            </w:r>
          </w:p>
        </w:tc>
      </w:tr>
    </w:tbl>
    <w:p w14:paraId="3A5C2A7F" w14:textId="77777777" w:rsidR="00D54077" w:rsidRPr="001F1B77" w:rsidRDefault="00D54077" w:rsidP="00D54077">
      <w:pPr>
        <w:spacing w:line="360" w:lineRule="auto"/>
        <w:rPr>
          <w:rFonts w:cs="Times New Roman"/>
          <w:sz w:val="20"/>
          <w:szCs w:val="20"/>
        </w:rPr>
      </w:pPr>
      <w:r w:rsidRPr="001F1B77">
        <w:rPr>
          <w:rFonts w:cs="Times New Roman"/>
          <w:sz w:val="20"/>
          <w:szCs w:val="20"/>
        </w:rPr>
        <w:t>CI: Confidence Interval; OR: Odds Ratio; Q: Quartiles</w:t>
      </w:r>
      <w:r>
        <w:rPr>
          <w:rFonts w:cs="Times New Roman" w:hint="eastAsia"/>
          <w:sz w:val="20"/>
          <w:szCs w:val="20"/>
        </w:rPr>
        <w:t>;</w:t>
      </w:r>
      <w:r w:rsidRPr="00B607F4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BRI</w:t>
      </w:r>
      <w:r w:rsidRPr="00B607F4">
        <w:rPr>
          <w:rFonts w:cs="Times New Roman"/>
          <w:sz w:val="20"/>
          <w:szCs w:val="20"/>
        </w:rPr>
        <w:t xml:space="preserve">: </w:t>
      </w:r>
      <w:r w:rsidRPr="005B75C7">
        <w:rPr>
          <w:rFonts w:cs="Times New Roman"/>
          <w:sz w:val="20"/>
          <w:szCs w:val="20"/>
        </w:rPr>
        <w:t>Body Roundness Index</w:t>
      </w:r>
    </w:p>
    <w:p w14:paraId="7CD71F7A" w14:textId="77777777" w:rsidR="00D54077" w:rsidRPr="001F1B77" w:rsidRDefault="00D54077" w:rsidP="00D54077">
      <w:pPr>
        <w:spacing w:line="360" w:lineRule="auto"/>
        <w:rPr>
          <w:rFonts w:cs="Times New Roman"/>
          <w:sz w:val="20"/>
          <w:szCs w:val="20"/>
        </w:rPr>
      </w:pPr>
      <w:r w:rsidRPr="001F1B77">
        <w:rPr>
          <w:rFonts w:cs="Times New Roman"/>
          <w:sz w:val="20"/>
          <w:szCs w:val="20"/>
        </w:rPr>
        <w:t>Model 1: No covariates adjusted</w:t>
      </w:r>
      <w:r>
        <w:rPr>
          <w:rFonts w:cs="Times New Roman" w:hint="eastAsia"/>
          <w:sz w:val="20"/>
          <w:szCs w:val="20"/>
        </w:rPr>
        <w:t xml:space="preserve">; </w:t>
      </w:r>
      <w:r w:rsidRPr="001F1B77">
        <w:rPr>
          <w:rFonts w:cs="Times New Roman"/>
          <w:sz w:val="20"/>
          <w:szCs w:val="20"/>
        </w:rPr>
        <w:t xml:space="preserve">Model 2: Adjusted for </w:t>
      </w:r>
      <w:r>
        <w:rPr>
          <w:rFonts w:cs="Times New Roman" w:hint="eastAsia"/>
          <w:sz w:val="20"/>
          <w:szCs w:val="20"/>
        </w:rPr>
        <w:t>A</w:t>
      </w:r>
      <w:r w:rsidRPr="001F1B77">
        <w:rPr>
          <w:rFonts w:cs="Times New Roman"/>
          <w:sz w:val="20"/>
          <w:szCs w:val="20"/>
        </w:rPr>
        <w:t xml:space="preserve">ge, </w:t>
      </w:r>
      <w:r>
        <w:rPr>
          <w:rFonts w:cs="Times New Roman" w:hint="eastAsia"/>
          <w:sz w:val="20"/>
          <w:szCs w:val="20"/>
        </w:rPr>
        <w:t>S</w:t>
      </w:r>
      <w:r w:rsidRPr="001F1B77">
        <w:rPr>
          <w:rFonts w:cs="Times New Roman"/>
          <w:sz w:val="20"/>
          <w:szCs w:val="20"/>
        </w:rPr>
        <w:t xml:space="preserve">ex, and </w:t>
      </w:r>
      <w:r>
        <w:rPr>
          <w:rFonts w:cs="Times New Roman" w:hint="eastAsia"/>
          <w:sz w:val="20"/>
          <w:szCs w:val="20"/>
        </w:rPr>
        <w:t>R</w:t>
      </w:r>
      <w:r w:rsidRPr="001F1B77">
        <w:rPr>
          <w:rFonts w:cs="Times New Roman"/>
          <w:sz w:val="20"/>
          <w:szCs w:val="20"/>
        </w:rPr>
        <w:t>ace</w:t>
      </w:r>
      <w:r>
        <w:rPr>
          <w:rFonts w:cs="Times New Roman" w:hint="eastAsia"/>
          <w:sz w:val="20"/>
          <w:szCs w:val="20"/>
        </w:rPr>
        <w:t xml:space="preserve">; </w:t>
      </w:r>
      <w:r w:rsidRPr="001F1B77">
        <w:rPr>
          <w:rFonts w:cs="Times New Roman"/>
          <w:sz w:val="20"/>
          <w:szCs w:val="20"/>
        </w:rPr>
        <w:t xml:space="preserve">Model 3: Adjusted for age, </w:t>
      </w:r>
      <w:r>
        <w:rPr>
          <w:rFonts w:cs="Times New Roman" w:hint="eastAsia"/>
          <w:sz w:val="20"/>
          <w:szCs w:val="20"/>
        </w:rPr>
        <w:t>S</w:t>
      </w:r>
      <w:r w:rsidRPr="001F1B77">
        <w:rPr>
          <w:rFonts w:cs="Times New Roman"/>
          <w:sz w:val="20"/>
          <w:szCs w:val="20"/>
        </w:rPr>
        <w:t xml:space="preserve">ex, </w:t>
      </w:r>
      <w:r>
        <w:rPr>
          <w:rFonts w:cs="Times New Roman" w:hint="eastAsia"/>
          <w:sz w:val="20"/>
          <w:szCs w:val="20"/>
        </w:rPr>
        <w:t>R</w:t>
      </w:r>
      <w:r w:rsidRPr="001F1B77">
        <w:rPr>
          <w:rFonts w:cs="Times New Roman"/>
          <w:sz w:val="20"/>
          <w:szCs w:val="20"/>
        </w:rPr>
        <w:t xml:space="preserve">ace, </w:t>
      </w:r>
      <w:r>
        <w:rPr>
          <w:rFonts w:cs="Times New Roman" w:hint="eastAsia"/>
          <w:sz w:val="20"/>
          <w:szCs w:val="20"/>
        </w:rPr>
        <w:t>PIR, E</w:t>
      </w:r>
      <w:r w:rsidRPr="001F1B77">
        <w:rPr>
          <w:rFonts w:cs="Times New Roman"/>
          <w:sz w:val="20"/>
          <w:szCs w:val="20"/>
        </w:rPr>
        <w:t xml:space="preserve">ducational level, </w:t>
      </w:r>
      <w:r>
        <w:rPr>
          <w:rFonts w:cs="Times New Roman" w:hint="eastAsia"/>
          <w:sz w:val="20"/>
          <w:szCs w:val="20"/>
        </w:rPr>
        <w:t>Smoke</w:t>
      </w:r>
      <w:r w:rsidRPr="001F1B77">
        <w:rPr>
          <w:rFonts w:cs="Times New Roman"/>
          <w:sz w:val="20"/>
          <w:szCs w:val="20"/>
        </w:rPr>
        <w:t xml:space="preserve">, </w:t>
      </w:r>
      <w:r>
        <w:rPr>
          <w:rFonts w:cs="Times New Roman" w:hint="eastAsia"/>
          <w:sz w:val="20"/>
          <w:szCs w:val="20"/>
        </w:rPr>
        <w:t>D</w:t>
      </w:r>
      <w:r w:rsidRPr="005B75C7">
        <w:rPr>
          <w:rFonts w:cs="Times New Roman"/>
          <w:sz w:val="20"/>
          <w:szCs w:val="20"/>
        </w:rPr>
        <w:t>rinking</w:t>
      </w:r>
      <w:r>
        <w:rPr>
          <w:rFonts w:cs="Times New Roman" w:hint="eastAsia"/>
          <w:sz w:val="20"/>
          <w:szCs w:val="20"/>
        </w:rPr>
        <w:t>, A</w:t>
      </w:r>
      <w:r w:rsidRPr="001F1B77">
        <w:rPr>
          <w:rFonts w:cs="Times New Roman"/>
          <w:sz w:val="20"/>
          <w:szCs w:val="20"/>
        </w:rPr>
        <w:t>ctivity</w:t>
      </w:r>
      <w:r>
        <w:rPr>
          <w:rFonts w:cs="Times New Roman" w:hint="eastAsia"/>
          <w:sz w:val="20"/>
          <w:szCs w:val="20"/>
        </w:rPr>
        <w:t xml:space="preserve"> s</w:t>
      </w:r>
      <w:r w:rsidRPr="001F1B77">
        <w:rPr>
          <w:rFonts w:cs="Times New Roman"/>
          <w:sz w:val="20"/>
          <w:szCs w:val="20"/>
        </w:rPr>
        <w:t xml:space="preserve">tatus, </w:t>
      </w:r>
      <w:r>
        <w:rPr>
          <w:rFonts w:cs="Times New Roman" w:hint="eastAsia"/>
          <w:sz w:val="20"/>
          <w:szCs w:val="20"/>
        </w:rPr>
        <w:t xml:space="preserve">CAD, </w:t>
      </w:r>
      <w:r w:rsidRPr="001F1B77">
        <w:rPr>
          <w:rFonts w:cs="Times New Roman"/>
          <w:sz w:val="20"/>
          <w:szCs w:val="20"/>
        </w:rPr>
        <w:t xml:space="preserve">CKD, </w:t>
      </w:r>
      <w:r>
        <w:rPr>
          <w:rFonts w:cs="Times New Roman" w:hint="eastAsia"/>
          <w:sz w:val="20"/>
          <w:szCs w:val="20"/>
        </w:rPr>
        <w:t>D</w:t>
      </w:r>
      <w:r w:rsidRPr="001F1B77">
        <w:rPr>
          <w:rFonts w:cs="Times New Roman"/>
          <w:sz w:val="20"/>
          <w:szCs w:val="20"/>
        </w:rPr>
        <w:t>iabetes</w:t>
      </w:r>
      <w:r>
        <w:rPr>
          <w:rFonts w:cs="Times New Roman" w:hint="eastAsia"/>
          <w:sz w:val="20"/>
          <w:szCs w:val="20"/>
        </w:rPr>
        <w:t>,</w:t>
      </w:r>
      <w:r w:rsidRPr="001F1B77">
        <w:t xml:space="preserve"> </w:t>
      </w:r>
      <w:r>
        <w:rPr>
          <w:rFonts w:cs="Times New Roman" w:hint="eastAsia"/>
          <w:sz w:val="20"/>
          <w:szCs w:val="20"/>
        </w:rPr>
        <w:t>SUA, BUN, ALT, AST, HDL, TC, WBC, RBC.</w:t>
      </w:r>
    </w:p>
    <w:p w14:paraId="6235C036" w14:textId="0B2C9317" w:rsidR="00314DE6" w:rsidRPr="00D54077" w:rsidRDefault="00314DE6" w:rsidP="00D54077"/>
    <w:sectPr w:rsidR="00314DE6" w:rsidRPr="00D54077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1D720" w14:textId="77777777" w:rsidR="00393813" w:rsidRDefault="00393813" w:rsidP="00117666">
      <w:pPr>
        <w:spacing w:after="0"/>
      </w:pPr>
      <w:r>
        <w:separator/>
      </w:r>
    </w:p>
  </w:endnote>
  <w:endnote w:type="continuationSeparator" w:id="0">
    <w:p w14:paraId="3DE8B9BA" w14:textId="77777777" w:rsidR="00393813" w:rsidRDefault="0039381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AB28" w14:textId="77777777" w:rsidR="003C77AC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3C77AC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3C77AC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FF27" w14:textId="77777777" w:rsidR="003C77AC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3C77AC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3C77AC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54FF1" w14:textId="77777777" w:rsidR="00393813" w:rsidRDefault="00393813" w:rsidP="00117666">
      <w:pPr>
        <w:spacing w:after="0"/>
      </w:pPr>
      <w:r>
        <w:separator/>
      </w:r>
    </w:p>
  </w:footnote>
  <w:footnote w:type="continuationSeparator" w:id="0">
    <w:p w14:paraId="50ED9453" w14:textId="77777777" w:rsidR="00393813" w:rsidRDefault="0039381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EDBA" w14:textId="77777777" w:rsidR="003C77AC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1A5B" w14:textId="77777777" w:rsidR="003C77AC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20A1E"/>
    <w:rsid w:val="00034304"/>
    <w:rsid w:val="00035434"/>
    <w:rsid w:val="00052A14"/>
    <w:rsid w:val="000558B6"/>
    <w:rsid w:val="00056C11"/>
    <w:rsid w:val="00077D53"/>
    <w:rsid w:val="000A434A"/>
    <w:rsid w:val="000D7C8E"/>
    <w:rsid w:val="00105FD9"/>
    <w:rsid w:val="00117666"/>
    <w:rsid w:val="00132B08"/>
    <w:rsid w:val="001549D3"/>
    <w:rsid w:val="00160065"/>
    <w:rsid w:val="00177D84"/>
    <w:rsid w:val="00211076"/>
    <w:rsid w:val="002355CD"/>
    <w:rsid w:val="00267D18"/>
    <w:rsid w:val="002868E2"/>
    <w:rsid w:val="002869C3"/>
    <w:rsid w:val="002936E4"/>
    <w:rsid w:val="002B4A57"/>
    <w:rsid w:val="002C74CA"/>
    <w:rsid w:val="002F7986"/>
    <w:rsid w:val="002F7FD6"/>
    <w:rsid w:val="00314DE6"/>
    <w:rsid w:val="0031533E"/>
    <w:rsid w:val="003544FB"/>
    <w:rsid w:val="00361610"/>
    <w:rsid w:val="0037691F"/>
    <w:rsid w:val="00393813"/>
    <w:rsid w:val="003B30D6"/>
    <w:rsid w:val="003B799B"/>
    <w:rsid w:val="003C77AC"/>
    <w:rsid w:val="003D2D47"/>
    <w:rsid w:val="003D2F2D"/>
    <w:rsid w:val="00401590"/>
    <w:rsid w:val="00447801"/>
    <w:rsid w:val="00452E9C"/>
    <w:rsid w:val="00466499"/>
    <w:rsid w:val="00466EE2"/>
    <w:rsid w:val="004735C8"/>
    <w:rsid w:val="004961FF"/>
    <w:rsid w:val="004D001B"/>
    <w:rsid w:val="0051014C"/>
    <w:rsid w:val="00513EB4"/>
    <w:rsid w:val="00517A89"/>
    <w:rsid w:val="005250F2"/>
    <w:rsid w:val="0057284A"/>
    <w:rsid w:val="0059300F"/>
    <w:rsid w:val="00593EEA"/>
    <w:rsid w:val="005A5EEE"/>
    <w:rsid w:val="005B436F"/>
    <w:rsid w:val="005C13F8"/>
    <w:rsid w:val="005C4D62"/>
    <w:rsid w:val="005E460A"/>
    <w:rsid w:val="006139EC"/>
    <w:rsid w:val="006375C7"/>
    <w:rsid w:val="00654E8F"/>
    <w:rsid w:val="00660D05"/>
    <w:rsid w:val="006820B1"/>
    <w:rsid w:val="00683E3F"/>
    <w:rsid w:val="00696BBD"/>
    <w:rsid w:val="006B45B4"/>
    <w:rsid w:val="006B7D14"/>
    <w:rsid w:val="00701727"/>
    <w:rsid w:val="0070566C"/>
    <w:rsid w:val="00714C50"/>
    <w:rsid w:val="00725A7D"/>
    <w:rsid w:val="007501BE"/>
    <w:rsid w:val="00790BB3"/>
    <w:rsid w:val="007C206C"/>
    <w:rsid w:val="007F2C1B"/>
    <w:rsid w:val="00803D24"/>
    <w:rsid w:val="00817DD6"/>
    <w:rsid w:val="00855898"/>
    <w:rsid w:val="00885156"/>
    <w:rsid w:val="008F79A4"/>
    <w:rsid w:val="00901B4C"/>
    <w:rsid w:val="00906EE7"/>
    <w:rsid w:val="009151AA"/>
    <w:rsid w:val="0093429D"/>
    <w:rsid w:val="00943573"/>
    <w:rsid w:val="00960B3B"/>
    <w:rsid w:val="00970F7D"/>
    <w:rsid w:val="00985467"/>
    <w:rsid w:val="00994A3D"/>
    <w:rsid w:val="009B4E95"/>
    <w:rsid w:val="009B754F"/>
    <w:rsid w:val="009C2B12"/>
    <w:rsid w:val="009C70F3"/>
    <w:rsid w:val="009D40D2"/>
    <w:rsid w:val="00A174D9"/>
    <w:rsid w:val="00A569CD"/>
    <w:rsid w:val="00AA23F1"/>
    <w:rsid w:val="00AB5EE2"/>
    <w:rsid w:val="00AB6715"/>
    <w:rsid w:val="00AE7C38"/>
    <w:rsid w:val="00B1671E"/>
    <w:rsid w:val="00B25EB8"/>
    <w:rsid w:val="00B354E1"/>
    <w:rsid w:val="00B37F4D"/>
    <w:rsid w:val="00BC3791"/>
    <w:rsid w:val="00C52A7B"/>
    <w:rsid w:val="00C56BAF"/>
    <w:rsid w:val="00C679AA"/>
    <w:rsid w:val="00C75972"/>
    <w:rsid w:val="00C832B0"/>
    <w:rsid w:val="00CC0A3A"/>
    <w:rsid w:val="00CC7F60"/>
    <w:rsid w:val="00CD066B"/>
    <w:rsid w:val="00CE4FEE"/>
    <w:rsid w:val="00D410ED"/>
    <w:rsid w:val="00D54077"/>
    <w:rsid w:val="00D80D79"/>
    <w:rsid w:val="00D81465"/>
    <w:rsid w:val="00DB59C3"/>
    <w:rsid w:val="00DC259A"/>
    <w:rsid w:val="00DE23E8"/>
    <w:rsid w:val="00DE5F32"/>
    <w:rsid w:val="00DF5093"/>
    <w:rsid w:val="00DF5D35"/>
    <w:rsid w:val="00E52377"/>
    <w:rsid w:val="00E624BD"/>
    <w:rsid w:val="00E64E17"/>
    <w:rsid w:val="00E866C9"/>
    <w:rsid w:val="00EA3D3C"/>
    <w:rsid w:val="00F30AEB"/>
    <w:rsid w:val="00F31263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B30D6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aff9">
    <w:name w:val="三线表"/>
    <w:basedOn w:val="a2"/>
    <w:uiPriority w:val="59"/>
    <w:rsid w:val="00E624BD"/>
    <w:pPr>
      <w:spacing w:after="0" w:line="360" w:lineRule="exact"/>
      <w:jc w:val="center"/>
    </w:pPr>
    <w:rPr>
      <w:rFonts w:ascii="Times New Roman" w:eastAsia="宋体" w:hAnsi="Times New Roman" w:cs="Times New Roman"/>
      <w:sz w:val="20"/>
      <w:szCs w:val="20"/>
      <w:lang w:eastAsia="zh-CN"/>
    </w:rPr>
    <w:tblPr>
      <w:jc w:val="center"/>
      <w:tblBorders>
        <w:top w:val="single" w:sz="12" w:space="0" w:color="auto"/>
        <w:bottom w:val="single" w:sz="12" w:space="0" w:color="auto"/>
      </w:tblBorders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TML">
    <w:name w:val="HTML Preformatted"/>
    <w:basedOn w:val="a0"/>
    <w:link w:val="HTML0"/>
    <w:uiPriority w:val="99"/>
    <w:unhideWhenUsed/>
    <w:rsid w:val="009B4E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宋体" w:eastAsia="宋体" w:hAnsi="宋体" w:cs="宋体"/>
      <w:szCs w:val="24"/>
      <w:lang w:eastAsia="zh-CN"/>
    </w:rPr>
  </w:style>
  <w:style w:type="character" w:customStyle="1" w:styleId="HTML0">
    <w:name w:val="HTML 预设格式 字符"/>
    <w:basedOn w:val="a1"/>
    <w:link w:val="HTML"/>
    <w:uiPriority w:val="99"/>
    <w:rsid w:val="009B4E95"/>
    <w:rPr>
      <w:rFonts w:ascii="宋体" w:eastAsia="宋体" w:hAnsi="宋体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yongchun xiao</cp:lastModifiedBy>
  <cp:revision>2</cp:revision>
  <cp:lastPrinted>2013-10-03T12:51:00Z</cp:lastPrinted>
  <dcterms:created xsi:type="dcterms:W3CDTF">2025-02-28T09:50:00Z</dcterms:created>
  <dcterms:modified xsi:type="dcterms:W3CDTF">2025-02-28T09:50:00Z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