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A554C2">
      <w:pPr>
        <w:spacing w:before="120" w:after="12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bookmarkStart w:id="0" w:name="_Hlk182907320"/>
      <w:bookmarkStart w:id="1" w:name="_Hlk165451793"/>
      <w:bookmarkStart w:id="2" w:name="_Hlk165815813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A Rapid and Naked-eye Methicillin Resistant Staphylococcus Aureus Screening Method Based on CRISPR/Cas12a and Hybridization Chain Reaction </w:t>
      </w:r>
    </w:p>
    <w:bookmarkEnd w:id="0"/>
    <w:bookmarkEnd w:id="1"/>
    <w:bookmarkEnd w:id="2"/>
    <w:p w14:paraId="0C094292">
      <w:pPr>
        <w:spacing w:before="120" w:after="120" w:line="480" w:lineRule="auto"/>
        <w:jc w:val="left"/>
        <w:rPr>
          <w:rFonts w:hint="default" w:ascii="Times New Roman" w:hAnsi="Times New Roman" w:cs="Times New Roman"/>
          <w:b/>
          <w:sz w:val="24"/>
          <w:szCs w:val="24"/>
          <w:vertAlign w:val="superscript"/>
          <w:lang w:val="en-GB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en-GB"/>
        </w:rPr>
        <w:t>Yayun Jiang</w:t>
      </w:r>
      <w:bookmarkStart w:id="3" w:name="OLE_LINK15"/>
      <w:r>
        <w:rPr>
          <w:rFonts w:hint="default" w:ascii="Times New Roman" w:hAnsi="Times New Roman" w:cs="Times New Roman"/>
          <w:b/>
          <w:sz w:val="24"/>
          <w:szCs w:val="24"/>
          <w:vertAlign w:val="superscript"/>
          <w:lang w:val="en-GB"/>
        </w:rPr>
        <w:t>1</w:t>
      </w:r>
      <w:bookmarkEnd w:id="3"/>
      <w:r>
        <w:rPr>
          <w:rFonts w:hint="default" w:ascii="Times New Roman" w:hAnsi="Times New Roman" w:cs="Times New Roman"/>
          <w:b/>
          <w:sz w:val="24"/>
          <w:szCs w:val="24"/>
          <w:vertAlign w:val="superscript"/>
          <w:lang w:val="en-GB"/>
        </w:rPr>
        <w:t>*</w:t>
      </w:r>
      <w:r>
        <w:rPr>
          <w:rFonts w:hint="default" w:ascii="Times New Roman" w:hAnsi="Times New Roman" w:cs="Times New Roman"/>
          <w:b/>
          <w:sz w:val="24"/>
          <w:szCs w:val="24"/>
          <w:lang w:val="en-GB"/>
        </w:rPr>
        <w:t>, Zongyao Chen</w:t>
      </w:r>
      <w:r>
        <w:rPr>
          <w:rFonts w:hint="default" w:ascii="Times New Roman" w:hAnsi="Times New Roman" w:cs="Times New Roman"/>
          <w:b/>
          <w:sz w:val="24"/>
          <w:szCs w:val="24"/>
          <w:vertAlign w:val="superscript"/>
          <w:lang w:val="en-GB"/>
        </w:rPr>
        <w:t>3</w:t>
      </w:r>
      <w:r>
        <w:rPr>
          <w:rFonts w:hint="default" w:ascii="Times New Roman" w:hAnsi="Times New Roman" w:cs="Times New Roman"/>
          <w:b/>
          <w:sz w:val="24"/>
          <w:szCs w:val="24"/>
          <w:lang w:val="en-GB"/>
        </w:rPr>
        <w:t>, Xiao Liu</w:t>
      </w:r>
      <w:r>
        <w:rPr>
          <w:rFonts w:hint="default" w:ascii="Times New Roman" w:hAnsi="Times New Roman" w:cs="Times New Roman"/>
          <w:b/>
          <w:sz w:val="24"/>
          <w:szCs w:val="24"/>
          <w:vertAlign w:val="superscript"/>
          <w:lang w:val="en-GB"/>
        </w:rPr>
        <w:t>3</w:t>
      </w:r>
      <w:r>
        <w:rPr>
          <w:rFonts w:hint="default" w:ascii="Times New Roman" w:hAnsi="Times New Roman" w:cs="Times New Roman"/>
          <w:b/>
          <w:sz w:val="24"/>
          <w:szCs w:val="24"/>
          <w:lang w:val="en-GB"/>
        </w:rPr>
        <w:t>, Qi xin</w:t>
      </w:r>
      <w:r>
        <w:rPr>
          <w:rFonts w:hint="default" w:ascii="Times New Roman" w:hAnsi="Times New Roman" w:cs="Times New Roman"/>
          <w:b/>
          <w:sz w:val="24"/>
          <w:szCs w:val="24"/>
          <w:vertAlign w:val="superscript"/>
          <w:lang w:val="en-GB"/>
        </w:rPr>
        <w:t>3</w:t>
      </w:r>
      <w:r>
        <w:rPr>
          <w:rFonts w:hint="default" w:ascii="Times New Roman" w:hAnsi="Times New Roman" w:cs="Times New Roman"/>
          <w:b/>
          <w:sz w:val="24"/>
          <w:szCs w:val="24"/>
          <w:lang w:val="en-GB"/>
        </w:rPr>
        <w:t>,</w:t>
      </w:r>
      <w:r>
        <w:rPr>
          <w:rFonts w:hint="default" w:ascii="Times New Roman" w:hAnsi="Times New Roman" w:cs="Times New Roman"/>
          <w:b/>
          <w:sz w:val="24"/>
          <w:szCs w:val="24"/>
          <w:vertAlign w:val="superscript"/>
          <w:lang w:val="en-GB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  <w:lang w:val="en-GB"/>
        </w:rPr>
        <w:t>Dengchao Wang</w:t>
      </w:r>
      <w:r>
        <w:rPr>
          <w:rFonts w:hint="default" w:ascii="Times New Roman" w:hAnsi="Times New Roman" w:cs="Times New Roman"/>
          <w:b/>
          <w:sz w:val="24"/>
          <w:szCs w:val="24"/>
          <w:vertAlign w:val="superscript"/>
          <w:lang w:val="en-GB"/>
        </w:rPr>
        <w:t>3</w:t>
      </w:r>
      <w:r>
        <w:rPr>
          <w:rFonts w:hint="default" w:ascii="Times New Roman" w:hAnsi="Times New Roman" w:cs="Times New Roman"/>
          <w:b/>
          <w:sz w:val="24"/>
          <w:szCs w:val="24"/>
          <w:lang w:val="en-GB"/>
        </w:rPr>
        <w:t>, Caixia Ji</w:t>
      </w:r>
      <w:r>
        <w:rPr>
          <w:rFonts w:hint="default" w:ascii="Times New Roman" w:hAnsi="Times New Roman" w:cs="Times New Roman"/>
          <w:b/>
          <w:sz w:val="24"/>
          <w:szCs w:val="24"/>
          <w:vertAlign w:val="superscript"/>
          <w:lang w:val="en-GB"/>
        </w:rPr>
        <w:t>3</w:t>
      </w:r>
      <w:r>
        <w:rPr>
          <w:rFonts w:hint="default" w:ascii="Times New Roman" w:hAnsi="Times New Roman" w:cs="Times New Roman"/>
          <w:b/>
          <w:sz w:val="24"/>
          <w:szCs w:val="24"/>
          <w:lang w:val="en-GB"/>
        </w:rPr>
        <w:t>, Youwei Li</w:t>
      </w:r>
      <w:r>
        <w:rPr>
          <w:rFonts w:hint="default" w:ascii="Times New Roman" w:hAnsi="Times New Roman" w:cs="Times New Roman"/>
          <w:b/>
          <w:sz w:val="24"/>
          <w:szCs w:val="24"/>
          <w:vertAlign w:val="superscript"/>
          <w:lang w:val="en-GB"/>
        </w:rPr>
        <w:t>2*</w:t>
      </w:r>
      <w:r>
        <w:rPr>
          <w:rFonts w:hint="default" w:ascii="Times New Roman" w:hAnsi="Times New Roman" w:cs="Times New Roman"/>
          <w:b/>
          <w:sz w:val="24"/>
          <w:szCs w:val="24"/>
          <w:lang w:val="en-GB"/>
        </w:rPr>
        <w:t>, Gang Mai</w:t>
      </w:r>
      <w:r>
        <w:rPr>
          <w:rFonts w:hint="default" w:ascii="Times New Roman" w:hAnsi="Times New Roman" w:cs="Times New Roman"/>
          <w:b/>
          <w:sz w:val="24"/>
          <w:szCs w:val="24"/>
          <w:vertAlign w:val="superscript"/>
          <w:lang w:val="en-GB"/>
        </w:rPr>
        <w:t>2*</w:t>
      </w:r>
    </w:p>
    <w:p w14:paraId="2F7A1315">
      <w:pPr>
        <w:spacing w:before="120" w:after="120"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GB"/>
        </w:rPr>
      </w:pPr>
      <w:bookmarkStart w:id="15" w:name="_GoBack"/>
      <w:bookmarkEnd w:id="15"/>
    </w:p>
    <w:p w14:paraId="4CF92B3C">
      <w:pPr>
        <w:pStyle w:val="10"/>
        <w:spacing w:line="480" w:lineRule="auto"/>
        <w:rPr>
          <w:rFonts w:eastAsiaTheme="minorEastAsia"/>
          <w:lang w:eastAsia="zh-CN"/>
        </w:rPr>
      </w:pPr>
      <w:bookmarkStart w:id="4" w:name="OLE_LINK10"/>
      <w:bookmarkStart w:id="5" w:name="_Hlk164176993"/>
      <w:r>
        <w:rPr>
          <w:rFonts w:eastAsiaTheme="minorEastAsia"/>
          <w:vertAlign w:val="superscript"/>
          <w:lang w:val="en-GB" w:eastAsia="zh-CN"/>
        </w:rPr>
        <w:t>1</w:t>
      </w:r>
      <w:bookmarkStart w:id="6" w:name="OLE_LINK8"/>
      <w:r>
        <w:rPr>
          <w:rFonts w:eastAsiaTheme="minorEastAsia"/>
          <w:vertAlign w:val="superscript"/>
          <w:lang w:val="en-GB" w:eastAsia="zh-CN"/>
        </w:rPr>
        <w:t xml:space="preserve"> </w:t>
      </w:r>
      <w:r>
        <w:t>Digestive</w:t>
      </w:r>
      <w:r>
        <w:rPr>
          <w:rFonts w:eastAsiaTheme="minorEastAsia"/>
          <w:lang w:eastAsia="zh-CN"/>
        </w:rPr>
        <w:t xml:space="preserve"> </w:t>
      </w:r>
      <w:r>
        <w:t>Diseases Center</w:t>
      </w:r>
      <w:r>
        <w:rPr>
          <w:rFonts w:eastAsiaTheme="minorEastAsia"/>
          <w:lang w:eastAsia="zh-CN"/>
        </w:rPr>
        <w:t xml:space="preserve">, </w:t>
      </w:r>
      <w:r>
        <w:rPr>
          <w:rFonts w:eastAsiaTheme="minorEastAsia"/>
        </w:rPr>
        <w:t>Deyang People's Hospital</w:t>
      </w:r>
      <w:r>
        <w:rPr>
          <w:rFonts w:eastAsiaTheme="minorEastAsia"/>
          <w:lang w:eastAsia="zh-CN"/>
        </w:rPr>
        <w:t xml:space="preserve"> Affiliated to </w:t>
      </w:r>
      <w:r>
        <w:t>Chengdu University of Traditional Chinese Medicine</w:t>
      </w:r>
      <w:r>
        <w:rPr>
          <w:rFonts w:eastAsiaTheme="minorEastAsia"/>
          <w:lang w:eastAsia="zh-CN"/>
        </w:rPr>
        <w:t xml:space="preserve">, </w:t>
      </w:r>
      <w:r>
        <w:t xml:space="preserve">Deyang, </w:t>
      </w:r>
      <w:r>
        <w:rPr>
          <w:rFonts w:eastAsiaTheme="minorEastAsia"/>
          <w:lang w:eastAsia="zh-CN"/>
        </w:rPr>
        <w:t xml:space="preserve">Sichuan, </w:t>
      </w:r>
      <w:r>
        <w:t>China</w:t>
      </w:r>
      <w:r>
        <w:rPr>
          <w:rFonts w:eastAsiaTheme="minorEastAsia"/>
          <w:lang w:eastAsia="zh-CN"/>
        </w:rPr>
        <w:t>.</w:t>
      </w:r>
      <w:bookmarkEnd w:id="4"/>
      <w:bookmarkEnd w:id="6"/>
    </w:p>
    <w:p w14:paraId="0DFC76CA">
      <w:pPr>
        <w:widowControl/>
        <w:shd w:val="clear" w:color="auto" w:fill="FFFFFF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eastAsia="MS Mincho" w:cs="Times New Roman"/>
          <w:kern w:val="0"/>
          <w:sz w:val="24"/>
          <w:szCs w:val="24"/>
          <w:lang w:eastAsia="ja-JP"/>
        </w:rPr>
        <w:t>Department of General Surgery (Hepatopancreatobiliary Surgery), Deyang People's Hospital Affiliated to Chengdu University of Traditional Chinese Medicine, Deyang, Sichuan, China.</w:t>
      </w:r>
    </w:p>
    <w:p w14:paraId="2965DCA1">
      <w:pPr>
        <w:widowControl/>
        <w:shd w:val="clear" w:color="auto" w:fill="FFFFFF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eastAsia="MS Mincho" w:cs="Times New Roman"/>
          <w:kern w:val="0"/>
          <w:sz w:val="24"/>
          <w:szCs w:val="24"/>
          <w:lang w:eastAsia="ja-JP"/>
        </w:rPr>
        <w:t>Department of Clinical Laboratory, Deyang People's Hospital Affiliated to Chengdu University of Traditional Chinese Medicine, Deyang, Sichuan, China.</w:t>
      </w:r>
    </w:p>
    <w:p w14:paraId="43CDDDA3">
      <w:pPr>
        <w:widowControl/>
        <w:shd w:val="clear" w:color="auto" w:fill="FFFFFF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bookmarkEnd w:id="5"/>
    <w:p w14:paraId="4BBC85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Corresponding authors: </w:t>
      </w:r>
      <w:bookmarkStart w:id="7" w:name="_Hlk54030886"/>
      <w:bookmarkStart w:id="8" w:name="_Hlk188602004"/>
      <w:r>
        <w:rPr>
          <w:rFonts w:ascii="Times New Roman" w:hAnsi="Times New Roman" w:cs="Times New Roman"/>
          <w:sz w:val="24"/>
          <w:szCs w:val="24"/>
        </w:rPr>
        <w:t xml:space="preserve">dyjiangyayun@163.com </w:t>
      </w:r>
      <w:bookmarkEnd w:id="7"/>
      <w:r>
        <w:rPr>
          <w:rFonts w:ascii="Times New Roman" w:hAnsi="Times New Roman" w:cs="Times New Roman"/>
          <w:sz w:val="24"/>
          <w:szCs w:val="24"/>
        </w:rPr>
        <w:t>(Yayun Jiang)</w:t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 and maigang68@hotmail.com (Gang Mai).</w:t>
      </w:r>
    </w:p>
    <w:p w14:paraId="6203DE33">
      <w:pPr>
        <w:widowControl/>
        <w:jc w:val="left"/>
        <w:rPr>
          <w:rFonts w:hint="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8B18D3B">
      <w:pPr>
        <w:widowControl/>
        <w:jc w:val="center"/>
        <w:rPr>
          <w:rFonts w:hint="eastAsia"/>
          <w:b/>
          <w:bCs/>
          <w:sz w:val="24"/>
          <w:szCs w:val="24"/>
        </w:rPr>
      </w:pPr>
      <w:r>
        <w:rPr>
          <w:rFonts w:hint="default" w:ascii="Times New Roman" w:hAnsi="Times New Roman" w:eastAsia="Trebuchet MS" w:cs="Times New Roman"/>
          <w:i w:val="0"/>
          <w:iCs w:val="0"/>
          <w:caps w:val="0"/>
          <w:color w:val="0000FF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319905" cy="3070860"/>
            <wp:effectExtent l="0" t="0" r="8255" b="7620"/>
            <wp:docPr id="3" name="图片 3" descr="MRSA菌落计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RSA菌落计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932E">
      <w:pPr>
        <w:widowControl/>
        <w:spacing w:line="480" w:lineRule="auto"/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FF0000"/>
          <w:sz w:val="24"/>
          <w:szCs w:val="24"/>
        </w:rPr>
        <w:t>Fig. S1 Calculation of colony concentration by plate count method</w:t>
      </w: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4"/>
        </w:rPr>
        <w:t>.</w:t>
      </w:r>
    </w:p>
    <w:p w14:paraId="230D438B">
      <w:pPr>
        <w:widowControl/>
        <w:spacing w:line="480" w:lineRule="auto"/>
        <w:jc w:val="both"/>
        <w:rPr>
          <w:rFonts w:hint="eastAsia" w:ascii="Times New Roman" w:hAnsi="Times New Roman" w:eastAsia="宋体" w:cs="Times New Roman"/>
          <w:color w:val="FF000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FF0000"/>
          <w:sz w:val="24"/>
          <w:szCs w:val="24"/>
        </w:rPr>
        <w:t>The optical density of bacterial suspension is adjusted to absorbance at 600 nm is 1.0. The bacterial suspension is c</w:t>
      </w:r>
      <w:r>
        <w:rPr>
          <w:rFonts w:ascii="Times New Roman" w:hAnsi="Times New Roman" w:eastAsia="宋体" w:cs="Times New Roman"/>
          <w:color w:val="FF0000"/>
          <w:sz w:val="24"/>
          <w:szCs w:val="24"/>
        </w:rPr>
        <w:t>ontinuously</w:t>
      </w:r>
      <w:r>
        <w:rPr>
          <w:rFonts w:hint="eastAsia" w:ascii="Times New Roman" w:hAnsi="Times New Roman" w:eastAsia="宋体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color w:val="FF0000"/>
          <w:sz w:val="24"/>
          <w:szCs w:val="24"/>
        </w:rPr>
        <w:t xml:space="preserve">diluted, and </w:t>
      </w:r>
      <w:r>
        <w:rPr>
          <w:rFonts w:hint="default" w:ascii="Times New Roman" w:hAnsi="Times New Roman" w:eastAsia="宋体" w:cs="Times New Roman"/>
          <w:color w:val="FF0000"/>
          <w:kern w:val="0"/>
          <w:sz w:val="24"/>
          <w:szCs w:val="24"/>
          <w:lang w:val="en-US" w:eastAsia="zh-CN" w:bidi="ar"/>
        </w:rPr>
        <w:t>10 μL of bacterial solution diluted 10⁴ to 10⁶ times was pipetted and evenly spread onto agar plates.</w:t>
      </w:r>
    </w:p>
    <w:p w14:paraId="79ADE8EE">
      <w:pPr>
        <w:widowControl/>
        <w:spacing w:after="150" w:line="120" w:lineRule="atLeast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br w:type="page"/>
      </w:r>
    </w:p>
    <w:p w14:paraId="747D4EF9">
      <w:pPr>
        <w:widowControl/>
        <w:spacing w:after="150" w:line="120" w:lineRule="atLeast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 xml:space="preserve">S1. </w:t>
      </w:r>
      <w:bookmarkStart w:id="9" w:name="_Hlk107823489"/>
      <w:r>
        <w:rPr>
          <w:rFonts w:ascii="Times New Roman" w:hAnsi="Times New Roman" w:cs="Times New Roman"/>
          <w:sz w:val="24"/>
          <w:szCs w:val="32"/>
        </w:rPr>
        <w:t>The sequences of oligonucleotides are used in this work.</w:t>
      </w:r>
      <w:bookmarkEnd w:id="9"/>
    </w:p>
    <w:tbl>
      <w:tblPr>
        <w:tblStyle w:val="4"/>
        <w:tblW w:w="8789" w:type="dxa"/>
        <w:tblInd w:w="-142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35"/>
        <w:gridCol w:w="7654"/>
      </w:tblGrid>
      <w:tr w14:paraId="56B112C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6" w:hRule="exact"/>
        </w:trPr>
        <w:tc>
          <w:tcPr>
            <w:tcW w:w="1135" w:type="dxa"/>
            <w:tcBorders>
              <w:top w:val="single" w:color="auto" w:sz="4" w:space="0"/>
              <w:bottom w:val="single" w:color="auto" w:sz="4" w:space="0"/>
            </w:tcBorders>
          </w:tcPr>
          <w:p w14:paraId="064B9069">
            <w:pPr>
              <w:widowControl/>
              <w:spacing w:after="150"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Names</w:t>
            </w:r>
          </w:p>
        </w:tc>
        <w:tc>
          <w:tcPr>
            <w:tcW w:w="7654" w:type="dxa"/>
            <w:tcBorders>
              <w:top w:val="single" w:color="auto" w:sz="4" w:space="0"/>
              <w:bottom w:val="single" w:color="auto" w:sz="4" w:space="0"/>
            </w:tcBorders>
          </w:tcPr>
          <w:p w14:paraId="1BEFB9A1">
            <w:pPr>
              <w:widowControl/>
              <w:spacing w:after="150"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Sequences (5’-3’)</w:t>
            </w:r>
          </w:p>
        </w:tc>
      </w:tr>
      <w:tr w14:paraId="7E456AF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6" w:hRule="exact"/>
        </w:trPr>
        <w:tc>
          <w:tcPr>
            <w:tcW w:w="1135" w:type="dxa"/>
            <w:tcBorders>
              <w:top w:val="single" w:color="auto" w:sz="4" w:space="0"/>
            </w:tcBorders>
          </w:tcPr>
          <w:p w14:paraId="622A4C75">
            <w:pPr>
              <w:widowControl/>
              <w:spacing w:after="150" w:line="210" w:lineRule="atLeas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0</w:t>
            </w:r>
          </w:p>
        </w:tc>
        <w:tc>
          <w:tcPr>
            <w:tcW w:w="7654" w:type="dxa"/>
            <w:tcBorders>
              <w:top w:val="single" w:color="auto" w:sz="4" w:space="0"/>
            </w:tcBorders>
          </w:tcPr>
          <w:p w14:paraId="0BC4217D">
            <w:pPr>
              <w:widowControl/>
              <w:spacing w:after="150" w:line="210" w:lineRule="atLeas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ACCTTAATCTGACAACAACTACCAGCTTATCCCA</w:t>
            </w:r>
          </w:p>
        </w:tc>
      </w:tr>
      <w:tr w14:paraId="725CAC5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2" w:hRule="atLeast"/>
        </w:trPr>
        <w:tc>
          <w:tcPr>
            <w:tcW w:w="1135" w:type="dxa"/>
          </w:tcPr>
          <w:p w14:paraId="482636B0">
            <w:pPr>
              <w:widowControl/>
              <w:spacing w:after="150" w:line="210" w:lineRule="atLeas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1</w:t>
            </w:r>
          </w:p>
        </w:tc>
        <w:tc>
          <w:tcPr>
            <w:tcW w:w="7654" w:type="dxa"/>
          </w:tcPr>
          <w:p w14:paraId="7D0CE290">
            <w:pPr>
              <w:widowControl/>
              <w:spacing w:after="150" w:line="210" w:lineRule="atLeas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CTGACAACAACTACCAGCTTATCCCACCTTAATGGGATAAGCTGGTAGTTGTTGTCAGATTAAGGT</w:t>
            </w:r>
          </w:p>
        </w:tc>
      </w:tr>
      <w:tr w14:paraId="7E0A61F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2" w:hRule="atLeast"/>
        </w:trPr>
        <w:tc>
          <w:tcPr>
            <w:tcW w:w="1135" w:type="dxa"/>
          </w:tcPr>
          <w:p w14:paraId="684C7386">
            <w:pPr>
              <w:widowControl/>
              <w:spacing w:after="150" w:line="210" w:lineRule="atLeas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2</w:t>
            </w:r>
          </w:p>
        </w:tc>
        <w:tc>
          <w:tcPr>
            <w:tcW w:w="7654" w:type="dxa"/>
          </w:tcPr>
          <w:p w14:paraId="57F8C780">
            <w:pPr>
              <w:widowControl/>
              <w:spacing w:after="150" w:line="210" w:lineRule="atLeast"/>
              <w:rPr>
                <w:rFonts w:ascii="Times New Roman" w:hAnsi="Times New Roman" w:cs="Times New Roman"/>
                <w:sz w:val="24"/>
                <w:szCs w:val="32"/>
              </w:rPr>
            </w:pPr>
            <w:bookmarkStart w:id="10" w:name="OLE_LINK1"/>
            <w:r>
              <w:rPr>
                <w:rFonts w:ascii="Times New Roman" w:hAnsi="Times New Roman" w:cs="Times New Roman"/>
                <w:sz w:val="24"/>
                <w:szCs w:val="32"/>
              </w:rPr>
              <w:t>TTAAGGTGGGATAAGCTGGTAGTTGTTGTCAGACCTTAATCTGACAACAACTACCAGCTTATCCCA</w:t>
            </w:r>
            <w:bookmarkEnd w:id="10"/>
          </w:p>
        </w:tc>
      </w:tr>
      <w:tr w14:paraId="2555CBC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6" w:hRule="exact"/>
        </w:trPr>
        <w:tc>
          <w:tcPr>
            <w:tcW w:w="1135" w:type="dxa"/>
          </w:tcPr>
          <w:p w14:paraId="6F5C890E">
            <w:pPr>
              <w:widowControl/>
              <w:spacing w:after="150" w:line="210" w:lineRule="atLeas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iotin-H0</w:t>
            </w:r>
          </w:p>
        </w:tc>
        <w:tc>
          <w:tcPr>
            <w:tcW w:w="7654" w:type="dxa"/>
          </w:tcPr>
          <w:p w14:paraId="4C02DFF0">
            <w:pPr>
              <w:widowControl/>
              <w:spacing w:after="150" w:line="210" w:lineRule="atLeas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TTTTTTTTTTTTACCTTAATCTGACAACAACTACCAGCTTATCCCA</w:t>
            </w:r>
          </w:p>
        </w:tc>
      </w:tr>
      <w:tr w14:paraId="497A616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6" w:hRule="exact"/>
        </w:trPr>
        <w:tc>
          <w:tcPr>
            <w:tcW w:w="1135" w:type="dxa"/>
          </w:tcPr>
          <w:p w14:paraId="6777B070">
            <w:pPr>
              <w:widowControl/>
              <w:spacing w:after="150" w:line="210" w:lineRule="atLeas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1-FQ</w:t>
            </w:r>
          </w:p>
        </w:tc>
        <w:tc>
          <w:tcPr>
            <w:tcW w:w="7654" w:type="dxa"/>
            <w:vMerge w:val="restart"/>
          </w:tcPr>
          <w:p w14:paraId="75B8B165">
            <w:pPr>
              <w:widowControl/>
              <w:spacing w:after="150" w:line="210" w:lineRule="atLeas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CTGACAACAAC/i6FAMdT/ACCAGCTTATCCCACCTTAATGGGATAAGCTGG/iBHQ1dT/AGTTGTTGTCAGATTAAGGT</w:t>
            </w:r>
          </w:p>
        </w:tc>
      </w:tr>
      <w:tr w14:paraId="42BFAFD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6" w:hRule="exact"/>
        </w:trPr>
        <w:tc>
          <w:tcPr>
            <w:tcW w:w="1135" w:type="dxa"/>
            <w:tcBorders>
              <w:bottom w:val="single" w:color="auto" w:sz="4" w:space="0"/>
            </w:tcBorders>
          </w:tcPr>
          <w:p w14:paraId="76F8AEF8">
            <w:pPr>
              <w:widowControl/>
              <w:spacing w:after="150" w:line="210" w:lineRule="atLeast"/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7654" w:type="dxa"/>
            <w:vMerge w:val="continue"/>
            <w:tcBorders>
              <w:bottom w:val="single" w:color="auto" w:sz="4" w:space="0"/>
            </w:tcBorders>
          </w:tcPr>
          <w:p w14:paraId="3D5D6385">
            <w:pPr>
              <w:widowControl/>
              <w:spacing w:after="150" w:line="210" w:lineRule="atLeast"/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</w:tbl>
    <w:p w14:paraId="4E924A4D">
      <w:pPr>
        <w:widowControl/>
        <w:jc w:val="left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br w:type="page"/>
      </w:r>
    </w:p>
    <w:p w14:paraId="6F1E1103">
      <w:pPr>
        <w:widowControl/>
        <w:spacing w:after="150" w:line="120" w:lineRule="atLeast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</w:p>
    <w:p w14:paraId="15BDAB80">
      <w:pPr>
        <w:widowControl/>
        <w:spacing w:after="150" w:line="120" w:lineRule="atLeast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 xml:space="preserve">S2. </w:t>
      </w:r>
      <w:r>
        <w:rPr>
          <w:rFonts w:ascii="Times New Roman" w:hAnsi="Times New Roman" w:cs="Times New Roman"/>
          <w:sz w:val="24"/>
          <w:szCs w:val="32"/>
        </w:rPr>
        <w:t xml:space="preserve">The sequences of </w:t>
      </w:r>
      <w:r>
        <w:rPr>
          <w:rFonts w:hint="eastAsia" w:ascii="Times New Roman" w:hAnsi="Times New Roman" w:cs="Times New Roman"/>
          <w:sz w:val="24"/>
          <w:szCs w:val="32"/>
        </w:rPr>
        <w:t>crRNA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hint="eastAsia" w:ascii="Times New Roman" w:hAnsi="Times New Roman" w:cs="Times New Roman"/>
          <w:sz w:val="24"/>
          <w:szCs w:val="32"/>
        </w:rPr>
        <w:t xml:space="preserve">and primer </w:t>
      </w:r>
      <w:r>
        <w:rPr>
          <w:rFonts w:ascii="Times New Roman" w:hAnsi="Times New Roman" w:cs="Times New Roman"/>
          <w:sz w:val="24"/>
          <w:szCs w:val="32"/>
        </w:rPr>
        <w:t>are used in this work.</w:t>
      </w:r>
    </w:p>
    <w:tbl>
      <w:tblPr>
        <w:tblStyle w:val="4"/>
        <w:tblW w:w="8780" w:type="dxa"/>
        <w:tblInd w:w="-284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560"/>
        <w:gridCol w:w="7220"/>
      </w:tblGrid>
      <w:tr w14:paraId="1585AFA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0" w:hRule="exact"/>
        </w:trPr>
        <w:tc>
          <w:tcPr>
            <w:tcW w:w="1560" w:type="dxa"/>
            <w:tcBorders>
              <w:top w:val="single" w:color="auto" w:sz="4" w:space="0"/>
              <w:bottom w:val="single" w:color="auto" w:sz="4" w:space="0"/>
            </w:tcBorders>
          </w:tcPr>
          <w:p w14:paraId="3671AA21">
            <w:pPr>
              <w:widowControl/>
              <w:spacing w:after="150"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Names</w:t>
            </w:r>
          </w:p>
        </w:tc>
        <w:tc>
          <w:tcPr>
            <w:tcW w:w="7220" w:type="dxa"/>
            <w:tcBorders>
              <w:top w:val="single" w:color="auto" w:sz="4" w:space="0"/>
              <w:bottom w:val="single" w:color="auto" w:sz="4" w:space="0"/>
            </w:tcBorders>
          </w:tcPr>
          <w:p w14:paraId="4198947F">
            <w:pPr>
              <w:widowControl/>
              <w:spacing w:after="150" w:line="21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Sequences (5’-3’)</w:t>
            </w:r>
          </w:p>
        </w:tc>
      </w:tr>
      <w:tr w14:paraId="59F733A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1" w:hRule="atLeast"/>
        </w:trPr>
        <w:tc>
          <w:tcPr>
            <w:tcW w:w="1560" w:type="dxa"/>
            <w:tcBorders>
              <w:top w:val="single" w:color="auto" w:sz="4" w:space="0"/>
            </w:tcBorders>
          </w:tcPr>
          <w:p w14:paraId="44B008CF">
            <w:pPr>
              <w:widowControl/>
              <w:spacing w:after="150" w:line="120" w:lineRule="atLeast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crRNA1</w:t>
            </w:r>
          </w:p>
        </w:tc>
        <w:tc>
          <w:tcPr>
            <w:tcW w:w="7220" w:type="dxa"/>
            <w:tcBorders>
              <w:top w:val="single" w:color="auto" w:sz="4" w:space="0"/>
            </w:tcBorders>
          </w:tcPr>
          <w:p w14:paraId="304ECC0F">
            <w:pPr>
              <w:widowControl/>
              <w:spacing w:after="150" w:line="120" w:lineRule="atLeast"/>
              <w:jc w:val="center"/>
              <w:rPr>
                <w:rFonts w:ascii="Times New Roman" w:hAnsi="Times New Roman" w:cs="Times New Roman"/>
                <w:sz w:val="24"/>
                <w:szCs w:val="32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UAAUUUCUACUAAGUGUAGAUUGAAGACUAUAUCAAACAAC</w:t>
            </w:r>
          </w:p>
        </w:tc>
      </w:tr>
      <w:tr w14:paraId="23F2515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1" w:hRule="atLeast"/>
        </w:trPr>
        <w:tc>
          <w:tcPr>
            <w:tcW w:w="1560" w:type="dxa"/>
          </w:tcPr>
          <w:p w14:paraId="17B671BB">
            <w:pPr>
              <w:widowControl/>
              <w:spacing w:after="150" w:line="120" w:lineRule="atLeast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crRNA2</w:t>
            </w:r>
          </w:p>
        </w:tc>
        <w:tc>
          <w:tcPr>
            <w:tcW w:w="7220" w:type="dxa"/>
          </w:tcPr>
          <w:p w14:paraId="4D35CC7A">
            <w:pPr>
              <w:widowControl/>
              <w:spacing w:after="150" w:line="120" w:lineRule="atLeast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UAAUUUCUACUAAGUGUAGAUAGUGGAACGAAGGUAUCAUC</w:t>
            </w:r>
          </w:p>
        </w:tc>
      </w:tr>
      <w:tr w14:paraId="1966850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1" w:hRule="atLeast"/>
        </w:trPr>
        <w:tc>
          <w:tcPr>
            <w:tcW w:w="1560" w:type="dxa"/>
          </w:tcPr>
          <w:p w14:paraId="3E93AE4F">
            <w:pPr>
              <w:widowControl/>
              <w:spacing w:after="150" w:line="120" w:lineRule="atLeast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crRNA3</w:t>
            </w:r>
          </w:p>
        </w:tc>
        <w:tc>
          <w:tcPr>
            <w:tcW w:w="7220" w:type="dxa"/>
          </w:tcPr>
          <w:p w14:paraId="4292EBA2">
            <w:pPr>
              <w:widowControl/>
              <w:spacing w:after="150" w:line="120" w:lineRule="atLeast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UAAUUUCUACUAAGUGUAGAUCUAGAGGAUAGUUACGACUU</w:t>
            </w:r>
          </w:p>
        </w:tc>
      </w:tr>
      <w:tr w14:paraId="2EB223C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1" w:hRule="atLeast"/>
        </w:trPr>
        <w:tc>
          <w:tcPr>
            <w:tcW w:w="1560" w:type="dxa"/>
          </w:tcPr>
          <w:p w14:paraId="72B08DA6">
            <w:pPr>
              <w:widowControl/>
              <w:spacing w:after="150" w:line="120" w:lineRule="atLeast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RPA-F(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  <w:szCs w:val="32"/>
              </w:rPr>
              <w:t>mecA</w:t>
            </w:r>
            <w:r>
              <w:rPr>
                <w:rFonts w:hint="eastAsia" w:ascii="Times New Roman" w:hAnsi="Times New Roman" w:cs="Times New Roman"/>
                <w:sz w:val="24"/>
                <w:szCs w:val="32"/>
              </w:rPr>
              <w:t>)</w:t>
            </w:r>
          </w:p>
        </w:tc>
        <w:tc>
          <w:tcPr>
            <w:tcW w:w="7220" w:type="dxa"/>
          </w:tcPr>
          <w:p w14:paraId="7A371874">
            <w:pPr>
              <w:widowControl/>
              <w:spacing w:after="150" w:line="120" w:lineRule="atLeast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GCAATCGCTAAAGAACTA</w:t>
            </w:r>
          </w:p>
        </w:tc>
      </w:tr>
      <w:tr w14:paraId="47AF379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1" w:hRule="atLeast"/>
        </w:trPr>
        <w:tc>
          <w:tcPr>
            <w:tcW w:w="1560" w:type="dxa"/>
            <w:tcBorders>
              <w:bottom w:val="single" w:color="auto" w:sz="4" w:space="0"/>
            </w:tcBorders>
          </w:tcPr>
          <w:p w14:paraId="49FD8957">
            <w:pPr>
              <w:widowControl/>
              <w:spacing w:after="150" w:line="120" w:lineRule="atLeast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RPA-R(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  <w:szCs w:val="32"/>
              </w:rPr>
              <w:t>mecA</w:t>
            </w:r>
            <w:r>
              <w:rPr>
                <w:rFonts w:hint="eastAsia" w:ascii="Times New Roman" w:hAnsi="Times New Roman" w:cs="Times New Roman"/>
                <w:sz w:val="24"/>
                <w:szCs w:val="32"/>
              </w:rPr>
              <w:t>)</w:t>
            </w:r>
          </w:p>
        </w:tc>
        <w:tc>
          <w:tcPr>
            <w:tcW w:w="7220" w:type="dxa"/>
            <w:tcBorders>
              <w:bottom w:val="single" w:color="auto" w:sz="4" w:space="0"/>
            </w:tcBorders>
          </w:tcPr>
          <w:p w14:paraId="1E8AA380">
            <w:pPr>
              <w:widowControl/>
              <w:spacing w:after="150" w:line="120" w:lineRule="atLeast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cs="Times New Roman"/>
                <w:sz w:val="24"/>
                <w:szCs w:val="32"/>
              </w:rPr>
              <w:t>TGGGACCAACATAACCTA</w:t>
            </w:r>
          </w:p>
        </w:tc>
      </w:tr>
    </w:tbl>
    <w:p w14:paraId="6C23CBFB">
      <w:pPr>
        <w:widowControl/>
        <w:spacing w:after="156" w:line="120" w:lineRule="atLeast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45DAE0EC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B6E9A35">
      <w:pPr>
        <w:widowControl/>
        <w:spacing w:after="156" w:line="120" w:lineRule="atLeast"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S3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information </w:t>
      </w:r>
      <w:r>
        <w:rPr>
          <w:rFonts w:hint="eastAsia"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clinically isolated strains of </w:t>
      </w:r>
      <w:r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>
        <w:rPr>
          <w:rFonts w:ascii="Times New Roman" w:hAnsi="Times New Roman" w:cs="Times New Roman"/>
          <w:sz w:val="24"/>
          <w:szCs w:val="24"/>
        </w:rPr>
        <w:t xml:space="preserve"> and screening for methicillin resistance by Vitek 2 system using oxacillin MIC method</w:t>
      </w:r>
      <w:r>
        <w:rPr>
          <w:rFonts w:hint="eastAsia" w:ascii="Times New Roman" w:hAnsi="Times New Roman" w:cs="Times New Roman"/>
          <w:sz w:val="24"/>
          <w:szCs w:val="24"/>
        </w:rPr>
        <w:t>.</w:t>
      </w:r>
    </w:p>
    <w:tbl>
      <w:tblPr>
        <w:tblStyle w:val="5"/>
        <w:tblW w:w="75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1993"/>
        <w:gridCol w:w="1271"/>
        <w:gridCol w:w="1609"/>
        <w:gridCol w:w="1536"/>
      </w:tblGrid>
      <w:tr w14:paraId="1FCF1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1111" w:type="dxa"/>
            <w:tcBorders>
              <w:top w:val="single" w:color="auto" w:sz="8" w:space="0"/>
              <w:left w:val="nil"/>
              <w:right w:val="nil"/>
            </w:tcBorders>
          </w:tcPr>
          <w:p w14:paraId="070788C5">
            <w:pPr>
              <w:widowControl/>
              <w:spacing w:line="1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bookmarkStart w:id="11" w:name="OLE_LINK19"/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Sample number</w:t>
            </w:r>
          </w:p>
        </w:tc>
        <w:tc>
          <w:tcPr>
            <w:tcW w:w="1997" w:type="dxa"/>
            <w:tcBorders>
              <w:top w:val="single" w:color="auto" w:sz="8" w:space="0"/>
              <w:left w:val="nil"/>
              <w:right w:val="nil"/>
            </w:tcBorders>
          </w:tcPr>
          <w:p w14:paraId="4716A2FD">
            <w:pPr>
              <w:widowControl/>
              <w:spacing w:line="1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Specimen type</w:t>
            </w:r>
          </w:p>
        </w:tc>
        <w:tc>
          <w:tcPr>
            <w:tcW w:w="1280" w:type="dxa"/>
            <w:tcBorders>
              <w:top w:val="single" w:color="auto" w:sz="8" w:space="0"/>
              <w:left w:val="nil"/>
              <w:right w:val="nil"/>
            </w:tcBorders>
          </w:tcPr>
          <w:p w14:paraId="4A77B14E">
            <w:pPr>
              <w:widowControl/>
              <w:spacing w:line="1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MIC of oxacillin</w:t>
            </w: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29" w:type="dxa"/>
            <w:tcBorders>
              <w:top w:val="single" w:color="auto" w:sz="8" w:space="0"/>
              <w:left w:val="nil"/>
              <w:right w:val="nil"/>
            </w:tcBorders>
          </w:tcPr>
          <w:p w14:paraId="6CD9DEAA">
            <w:pPr>
              <w:widowControl/>
              <w:spacing w:line="1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Cefoxitin screening test</w:t>
            </w:r>
          </w:p>
        </w:tc>
        <w:tc>
          <w:tcPr>
            <w:tcW w:w="1496" w:type="dxa"/>
            <w:tcBorders>
              <w:top w:val="single" w:color="auto" w:sz="8" w:space="0"/>
              <w:left w:val="nil"/>
              <w:right w:val="nil"/>
            </w:tcBorders>
          </w:tcPr>
          <w:p w14:paraId="7D401E15">
            <w:pPr>
              <w:widowControl/>
              <w:spacing w:line="16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S</w:t>
            </w: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</w:rPr>
              <w:t>usceptibility testing</w:t>
            </w:r>
          </w:p>
        </w:tc>
      </w:tr>
      <w:tr w14:paraId="35179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single" w:color="auto" w:sz="8" w:space="0"/>
              <w:left w:val="nil"/>
              <w:bottom w:val="nil"/>
              <w:right w:val="nil"/>
            </w:tcBorders>
          </w:tcPr>
          <w:p w14:paraId="6675AB9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S1</w:t>
            </w:r>
          </w:p>
        </w:tc>
        <w:tc>
          <w:tcPr>
            <w:tcW w:w="1997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bottom"/>
          </w:tcPr>
          <w:p w14:paraId="4B43E9F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Pus</w:t>
            </w:r>
          </w:p>
        </w:tc>
        <w:tc>
          <w:tcPr>
            <w:tcW w:w="1280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bottom"/>
          </w:tcPr>
          <w:p w14:paraId="0774629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&lt;=0.25</w:t>
            </w:r>
          </w:p>
        </w:tc>
        <w:tc>
          <w:tcPr>
            <w:tcW w:w="1629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bottom"/>
          </w:tcPr>
          <w:p w14:paraId="16F7AA0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bottom"/>
          </w:tcPr>
          <w:p w14:paraId="3642A09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47755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64FE173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S2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C806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67B654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AA17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120D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2F3D6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7B18454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26936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F2A65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37D0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3FEB9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740E2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60AD447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818D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Pus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CDB6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88B67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BA1E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0E85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5D2C349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A534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8AB7F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&lt;=0.25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C1714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2864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5786E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2D249E1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S6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D1B00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Pus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5A9D9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C616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10909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6552F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6E0D613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S7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57220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Pus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0E5B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399DC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5F41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14867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7583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S8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D04AF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Abdominal fluid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D7B6E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915E7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E2CAB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5FEF6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1079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S9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14:paraId="1F0D6D9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333BF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9025F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DF15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668F1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1720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S10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14:paraId="6FA04CD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B1775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&lt;=0.25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3C930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E183E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3C15F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9A91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S11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14:paraId="0E18D77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0F7AC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E4F54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1D93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4339D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7255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S12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14:paraId="1FE0EEF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3BA06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5EEE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2BF3E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3AB10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E835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S13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279A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41C09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&lt;=0.25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86B1F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66D974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335F4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1305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S14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8759B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895D2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C695C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DB90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48048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2B63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S15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6757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Pus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15234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F66A5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59D9C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7D859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E592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S16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804CD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1D6F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&lt;=0.25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06DF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36707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1FC84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589F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S17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7ACE2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44817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&lt;=0.25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26B7D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68CE8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54BC9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6339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S18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6B29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Pus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6E8A0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&lt;=0.25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0E37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1402D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19FA9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54CE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S19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4164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886C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865A7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9EC4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18F80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696D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S20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2649B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E5E7F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01A2E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3A1E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33E48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88F3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S21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0A9D5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43490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56835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F87D1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0C299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55A0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S22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C724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Urine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8C13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2865D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D8D32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3043B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C03A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S23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254AF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BA37D4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CA624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7EA31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776E3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A200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B503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30ECC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85AD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2E8E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2DF4B6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7403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S25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58820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1623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&lt;=0.25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A2CF9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02F81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69901B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A151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S26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A6C96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8A206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&lt;=0.25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0B00E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2DF80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0BDDE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18E9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S27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48F8A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78BDF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&lt;=0.25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1BB04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4652A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5A95B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D324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S28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AF90A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4D715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12D0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29685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70601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4ED0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S29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55676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DAA8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&lt;=0.25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4908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A6D4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70FFA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7547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S30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405FB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53E2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&lt;=0.25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4D76D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Neg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D503C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MSSA</w:t>
            </w:r>
          </w:p>
        </w:tc>
      </w:tr>
      <w:tr w14:paraId="15445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C38F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S31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42E10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BECBC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DCC7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BAE73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386AE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A94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S32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F4ADB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B9CDE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CF12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5B738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5CB7F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BF05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S33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8069B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Pus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3596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8D34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E19F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68FCE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0D7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S34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BA6FD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623EC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0E91A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F5E91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761E7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BFDB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S35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09C2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Blood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3AC7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1BDD2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FFA9B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0E825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05014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S36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CC6A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D3DF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9F3C8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1839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20A17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1FE7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S37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B239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406EC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7BBB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91E0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4A4D3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2C88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S38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4E39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B5F2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3D884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2A97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4924B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5B144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S39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E39C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7C148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BB16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228D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77751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152D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S40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3878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82165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9FBD1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2682D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0A54A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FC07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S41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84BC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11A3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79DE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716C4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44964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8F30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S42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80C80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86CF6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0270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75BB1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6C72B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F0AC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S43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6D38E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2DC49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CF08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03A8E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1123F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12BD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S44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B47B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Broncho-alveolar lavage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FC3B2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766664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42E3A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5EE86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58C6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S45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18170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37FF3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46F07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83FF5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5988F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942E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S46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57AE5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8426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A9557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1B35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5929F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881C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S47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6B3E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Broncho-alveolar lavage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FFDF2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20FD9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AE421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29F36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BE91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S48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B17E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00403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BAB3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30F0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1B84A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1996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S49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77D2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6A295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11AC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DA0F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4622D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C84A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S50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1A644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8678B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D2253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EA073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09779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36CE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S51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5F8E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Broncho-alveolar lavage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2B13C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2B34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4798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21ED1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5124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S52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A04C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Urine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5425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F08D4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F28534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6999F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8043B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S53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7116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Sputum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A4026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BE1C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12A03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080BE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19C9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S54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61A32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Abdominal fluid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CD58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8650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86DDE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050F9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39B64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S55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DD302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8E414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6B4891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B9B4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0FA93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55D0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S56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FF02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CCAA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C660B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7A6CB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046E0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DF8FC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S57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95BE7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838F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F1B5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A071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25597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C153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S58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566B7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66A76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31D497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59672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5DEB3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D8FF8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S59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E9155A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E50C10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CB114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2426D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tr w14:paraId="387B6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11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2433C1BF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S60</w:t>
            </w:r>
          </w:p>
        </w:tc>
        <w:tc>
          <w:tcPr>
            <w:tcW w:w="1997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bottom"/>
          </w:tcPr>
          <w:p w14:paraId="709C7EC5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Secretion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bottom"/>
          </w:tcPr>
          <w:p w14:paraId="3EB84939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&gt;=4</w:t>
            </w:r>
          </w:p>
        </w:tc>
        <w:tc>
          <w:tcPr>
            <w:tcW w:w="1629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bottom"/>
          </w:tcPr>
          <w:p w14:paraId="3EDDDAB6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Pos</w:t>
            </w:r>
          </w:p>
        </w:tc>
        <w:tc>
          <w:tcPr>
            <w:tcW w:w="1496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bottom"/>
          </w:tcPr>
          <w:p w14:paraId="601C4B23">
            <w:pPr>
              <w:widowControl/>
              <w:spacing w:after="156" w:line="210" w:lineRule="atLeast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MRSA</w:t>
            </w:r>
          </w:p>
        </w:tc>
      </w:tr>
      <w:bookmarkEnd w:id="11"/>
    </w:tbl>
    <w:p w14:paraId="6D93F29B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hint="eastAsia" w:ascii="Times New Roman" w:hAnsi="Times New Roman" w:cs="Times New Roman"/>
          <w:sz w:val="24"/>
          <w:szCs w:val="24"/>
        </w:rPr>
        <w:t xml:space="preserve">, The determination of methicillin resistance of </w:t>
      </w:r>
      <w:r>
        <w:rPr>
          <w:rFonts w:hint="eastAsia" w:ascii="Times New Roman" w:hAnsi="Times New Roman" w:cs="Times New Roman"/>
          <w:i/>
          <w:iCs/>
          <w:sz w:val="24"/>
          <w:szCs w:val="24"/>
        </w:rPr>
        <w:t>S. aureus</w:t>
      </w:r>
      <w:r>
        <w:rPr>
          <w:rFonts w:hint="eastAsia" w:ascii="Times New Roman" w:hAnsi="Times New Roman" w:cs="Times New Roman"/>
          <w:sz w:val="24"/>
          <w:szCs w:val="24"/>
        </w:rPr>
        <w:t xml:space="preserve"> is completed by the Vitek 2 system using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hint="eastAsia" w:ascii="Times New Roman" w:hAnsi="Times New Roman" w:cs="Times New Roman"/>
          <w:sz w:val="24"/>
          <w:szCs w:val="24"/>
        </w:rPr>
        <w:t xml:space="preserve">oxacillin MIC method (oxacillin concentrations range from 0.25 to 4 μg/mL). According to the CLSI drug susceptibility standard 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[1]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i/>
          <w:iCs/>
          <w:sz w:val="24"/>
          <w:szCs w:val="24"/>
        </w:rPr>
        <w:t>S. aureus</w:t>
      </w:r>
      <w:r>
        <w:rPr>
          <w:rFonts w:hint="eastAsia" w:ascii="Times New Roman" w:hAnsi="Times New Roman" w:cs="Times New Roman"/>
          <w:sz w:val="24"/>
          <w:szCs w:val="24"/>
        </w:rPr>
        <w:t xml:space="preserve"> with a MIC of oxacillin ≥4 μg/mL is MRSA, while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hint="eastAsia" w:ascii="Times New Roman" w:hAnsi="Times New Roman" w:cs="Times New Roman"/>
          <w:sz w:val="24"/>
          <w:szCs w:val="24"/>
        </w:rPr>
        <w:t>MIC of oxacillin ≤2 μg/mL is MSSA.</w:t>
      </w:r>
    </w:p>
    <w:p w14:paraId="0ACB5C37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 xml:space="preserve">[1] CLSI. CLSI M100-ED29: 2021 </w:t>
      </w:r>
      <w:bookmarkStart w:id="12" w:name="OLE_LINK2"/>
      <w:r>
        <w:rPr>
          <w:rFonts w:hint="eastAsia" w:ascii="Times New Roman" w:hAnsi="Times New Roman" w:cs="Times New Roman"/>
          <w:sz w:val="24"/>
          <w:szCs w:val="24"/>
        </w:rPr>
        <w:t>Performance Standards for Antimicrobial Susceptibility Testing</w:t>
      </w:r>
      <w:bookmarkEnd w:id="12"/>
      <w:r>
        <w:rPr>
          <w:rFonts w:hint="eastAsia" w:ascii="Times New Roman" w:hAnsi="Times New Roman" w:cs="Times New Roman"/>
          <w:sz w:val="24"/>
          <w:szCs w:val="24"/>
        </w:rPr>
        <w:t>, 30th Edition. Clsi vol. 40 (2020).</w:t>
      </w:r>
    </w:p>
    <w:p w14:paraId="5BBFBE5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8227AB">
      <w:pPr>
        <w:widowControl/>
        <w:jc w:val="left"/>
        <w:rPr>
          <w:rFonts w:ascii="Times New Roman" w:hAnsi="Times New Roman" w:cs="Times New Roman"/>
          <w:b/>
          <w:bCs/>
          <w:sz w:val="24"/>
          <w:szCs w:val="32"/>
        </w:rPr>
      </w:pPr>
    </w:p>
    <w:p w14:paraId="1738A916">
      <w:pPr>
        <w:widowControl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drawing>
          <wp:inline distT="0" distB="0" distL="0" distR="0">
            <wp:extent cx="5274310" cy="2049145"/>
            <wp:effectExtent l="0" t="0" r="2540" b="8255"/>
            <wp:docPr id="781817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17125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B5BEC">
      <w:pPr>
        <w:widowControl/>
        <w:spacing w:line="480" w:lineRule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Fig. S2 </w:t>
      </w:r>
      <w:r>
        <w:rPr>
          <w:rFonts w:ascii="Times New Roman" w:hAnsi="Times New Roman" w:eastAsia="宋体" w:cs="Times New Roman"/>
          <w:sz w:val="24"/>
          <w:szCs w:val="24"/>
        </w:rPr>
        <w:t xml:space="preserve">Optimization of the reaction parameters. (a) The S/N ratio of fluorescence signals at different </w:t>
      </w:r>
      <w:r>
        <w:rPr>
          <w:rFonts w:hint="eastAsia" w:ascii="Times New Roman" w:hAnsi="Times New Roman" w:eastAsia="宋体" w:cs="Times New Roman"/>
          <w:sz w:val="24"/>
          <w:szCs w:val="24"/>
        </w:rPr>
        <w:t>PH of HCR</w:t>
      </w:r>
      <w:r>
        <w:rPr>
          <w:rFonts w:ascii="Times New Roman" w:hAnsi="Times New Roman" w:eastAsia="宋体" w:cs="Times New Roman"/>
          <w:sz w:val="24"/>
          <w:szCs w:val="24"/>
        </w:rPr>
        <w:t>. (b) The S/N ratio of fluorescence signals at different temperatures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of HCR</w:t>
      </w:r>
      <w:r>
        <w:rPr>
          <w:rFonts w:ascii="Times New Roman" w:hAnsi="Times New Roman" w:eastAsia="宋体" w:cs="Times New Roman"/>
          <w:sz w:val="24"/>
          <w:szCs w:val="24"/>
        </w:rPr>
        <w:t xml:space="preserve">. </w:t>
      </w:r>
    </w:p>
    <w:p w14:paraId="75C2700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4FDF8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6403AE7">
      <w:pPr>
        <w:jc w:val="center"/>
        <w:rPr>
          <w:rFonts w:hint="eastAsia"/>
          <w:b/>
          <w:bCs/>
        </w:rPr>
      </w:pPr>
      <w:r>
        <w:drawing>
          <wp:inline distT="0" distB="0" distL="0" distR="0">
            <wp:extent cx="3599815" cy="2754630"/>
            <wp:effectExtent l="0" t="0" r="635" b="7620"/>
            <wp:docPr id="133419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9867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5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50E90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bookmarkStart w:id="13" w:name="_Hlk192540750"/>
      <w:bookmarkStart w:id="14" w:name="OLE_LINK46"/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13"/>
      <w:r>
        <w:rPr>
          <w:rFonts w:ascii="Times New Roman" w:hAnsi="Times New Roman" w:cs="Times New Roman"/>
          <w:kern w:val="0"/>
          <w:sz w:val="24"/>
          <w:szCs w:val="24"/>
        </w:rPr>
        <w:t>C</w:t>
      </w:r>
      <w:bookmarkEnd w:id="14"/>
      <w:r>
        <w:rPr>
          <w:rFonts w:ascii="Times New Roman" w:hAnsi="Times New Roman" w:cs="Times New Roman"/>
          <w:kern w:val="0"/>
          <w:sz w:val="24"/>
          <w:szCs w:val="24"/>
        </w:rPr>
        <w:t xml:space="preserve">alculate the cut-off value for fluorescent outputs of the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MCFHCR</w:t>
      </w:r>
      <w:r>
        <w:rPr>
          <w:rFonts w:ascii="Times New Roman" w:hAnsi="Times New Roman" w:cs="Times New Roman"/>
          <w:kern w:val="0"/>
          <w:sz w:val="24"/>
          <w:szCs w:val="24"/>
        </w:rPr>
        <w:t>. X + 3SD calculates the cut-off value, X represents an average signal value of three replicates without using the target gene, and SD represents three standard deviations.</w:t>
      </w:r>
    </w:p>
    <w:p w14:paraId="19209479">
      <w:pPr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2F848F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2879725" cy="2203450"/>
            <wp:effectExtent l="0" t="0" r="635" b="6350"/>
            <wp:docPr id="1" name="图片 1" descr="无前扩展DNA检测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无前扩展DNA检测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CF2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Fig.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S4</w:t>
      </w:r>
      <w:r>
        <w:rPr>
          <w:rFonts w:hint="default" w:ascii="Times New Roman" w:hAnsi="Times New Roma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Sensitivity analysis of the MCFHCR method by different concentrations of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mecA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, ranging from 0 to 5×10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6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copies/μL. Error bars represent mean ± SD, where n = 3 replicates.</w:t>
      </w:r>
    </w:p>
    <w:p w14:paraId="4175EADC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AA5D8F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7E06D8EE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5274310" cy="2943860"/>
            <wp:effectExtent l="0" t="0" r="2540" b="8890"/>
            <wp:docPr id="1912581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81073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99F0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qPCR for the detection of clinical samples.</w:t>
      </w:r>
    </w:p>
    <w:p w14:paraId="3D01411D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26399B2">
      <w:pPr>
        <w:widowControl/>
        <w:jc w:val="center"/>
        <w:rPr>
          <w:rFonts w:hint="eastAsia"/>
          <w:sz w:val="24"/>
        </w:rPr>
      </w:pPr>
      <w:r>
        <w:drawing>
          <wp:inline distT="0" distB="0" distL="0" distR="0">
            <wp:extent cx="3239770" cy="2639060"/>
            <wp:effectExtent l="0" t="0" r="0" b="8890"/>
            <wp:docPr id="179891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1186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17C2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The instruments required for the </w:t>
      </w:r>
      <w:r>
        <w:rPr>
          <w:rFonts w:hint="eastAsia" w:ascii="Times New Roman" w:hAnsi="Times New Roman" w:cs="Times New Roman"/>
          <w:sz w:val="24"/>
          <w:szCs w:val="24"/>
        </w:rPr>
        <w:t>MCFHCR</w:t>
      </w:r>
      <w:r>
        <w:rPr>
          <w:rFonts w:ascii="Times New Roman" w:hAnsi="Times New Roman" w:cs="Times New Roman"/>
          <w:sz w:val="24"/>
          <w:szCs w:val="24"/>
        </w:rPr>
        <w:t xml:space="preserve"> method.</w:t>
      </w:r>
    </w:p>
    <w:p w14:paraId="7CFC8AEE">
      <w:pPr>
        <w:spacing w:line="480" w:lineRule="auto"/>
        <w:rPr>
          <w:rFonts w:hint="eastAsia"/>
          <w:sz w:val="24"/>
        </w:rPr>
      </w:pPr>
    </w:p>
    <w:p w14:paraId="0427C26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89B"/>
    <w:rsid w:val="000032E9"/>
    <w:rsid w:val="0001017A"/>
    <w:rsid w:val="0001444A"/>
    <w:rsid w:val="00055C8B"/>
    <w:rsid w:val="0006237B"/>
    <w:rsid w:val="000653CD"/>
    <w:rsid w:val="00093356"/>
    <w:rsid w:val="00096E05"/>
    <w:rsid w:val="000A57F9"/>
    <w:rsid w:val="000B2B42"/>
    <w:rsid w:val="000B424E"/>
    <w:rsid w:val="000D0FAB"/>
    <w:rsid w:val="000D570A"/>
    <w:rsid w:val="00177A35"/>
    <w:rsid w:val="00196BAF"/>
    <w:rsid w:val="001B26A0"/>
    <w:rsid w:val="001B748C"/>
    <w:rsid w:val="001C14F2"/>
    <w:rsid w:val="001C49EB"/>
    <w:rsid w:val="001D4379"/>
    <w:rsid w:val="001D4C17"/>
    <w:rsid w:val="00215B87"/>
    <w:rsid w:val="00226A93"/>
    <w:rsid w:val="0023276F"/>
    <w:rsid w:val="0025328A"/>
    <w:rsid w:val="0027460B"/>
    <w:rsid w:val="0027525E"/>
    <w:rsid w:val="0027717B"/>
    <w:rsid w:val="0029573C"/>
    <w:rsid w:val="002B7C15"/>
    <w:rsid w:val="002E51AA"/>
    <w:rsid w:val="002E65BC"/>
    <w:rsid w:val="0030541D"/>
    <w:rsid w:val="00343885"/>
    <w:rsid w:val="00375C89"/>
    <w:rsid w:val="00380067"/>
    <w:rsid w:val="00381251"/>
    <w:rsid w:val="00385718"/>
    <w:rsid w:val="003D5D3C"/>
    <w:rsid w:val="003D792D"/>
    <w:rsid w:val="00401189"/>
    <w:rsid w:val="00401280"/>
    <w:rsid w:val="00416941"/>
    <w:rsid w:val="00435DF1"/>
    <w:rsid w:val="0045675F"/>
    <w:rsid w:val="00481E08"/>
    <w:rsid w:val="004B3E68"/>
    <w:rsid w:val="004B46DD"/>
    <w:rsid w:val="004C2E05"/>
    <w:rsid w:val="004E3661"/>
    <w:rsid w:val="004F53AC"/>
    <w:rsid w:val="004F77F1"/>
    <w:rsid w:val="0050297C"/>
    <w:rsid w:val="00514AA6"/>
    <w:rsid w:val="00514C4C"/>
    <w:rsid w:val="00515CE9"/>
    <w:rsid w:val="00553D04"/>
    <w:rsid w:val="005659DA"/>
    <w:rsid w:val="005858DE"/>
    <w:rsid w:val="005B22E6"/>
    <w:rsid w:val="005B369F"/>
    <w:rsid w:val="005B4103"/>
    <w:rsid w:val="005E6735"/>
    <w:rsid w:val="005F5B83"/>
    <w:rsid w:val="0060763C"/>
    <w:rsid w:val="006242AE"/>
    <w:rsid w:val="00633994"/>
    <w:rsid w:val="006A78DF"/>
    <w:rsid w:val="006B389B"/>
    <w:rsid w:val="006B6BF9"/>
    <w:rsid w:val="006C7FD7"/>
    <w:rsid w:val="006D5B9B"/>
    <w:rsid w:val="00703501"/>
    <w:rsid w:val="007079A5"/>
    <w:rsid w:val="0072461D"/>
    <w:rsid w:val="0072680A"/>
    <w:rsid w:val="00730C90"/>
    <w:rsid w:val="00763A8B"/>
    <w:rsid w:val="00776F11"/>
    <w:rsid w:val="00777281"/>
    <w:rsid w:val="00784CF8"/>
    <w:rsid w:val="00786C53"/>
    <w:rsid w:val="00794F90"/>
    <w:rsid w:val="00797B09"/>
    <w:rsid w:val="007B6334"/>
    <w:rsid w:val="007D3B44"/>
    <w:rsid w:val="007D493D"/>
    <w:rsid w:val="007E5CCD"/>
    <w:rsid w:val="007F0476"/>
    <w:rsid w:val="007F355D"/>
    <w:rsid w:val="008134BC"/>
    <w:rsid w:val="00816AC1"/>
    <w:rsid w:val="00817D0A"/>
    <w:rsid w:val="00826DE2"/>
    <w:rsid w:val="00840480"/>
    <w:rsid w:val="00846141"/>
    <w:rsid w:val="00865174"/>
    <w:rsid w:val="008A1592"/>
    <w:rsid w:val="008E3523"/>
    <w:rsid w:val="008E4A4A"/>
    <w:rsid w:val="008E6939"/>
    <w:rsid w:val="00923372"/>
    <w:rsid w:val="009755F1"/>
    <w:rsid w:val="009B6CFD"/>
    <w:rsid w:val="009B75F6"/>
    <w:rsid w:val="009E728B"/>
    <w:rsid w:val="00A01CC8"/>
    <w:rsid w:val="00A33438"/>
    <w:rsid w:val="00A34CA4"/>
    <w:rsid w:val="00A4058E"/>
    <w:rsid w:val="00A436C5"/>
    <w:rsid w:val="00A65709"/>
    <w:rsid w:val="00A92734"/>
    <w:rsid w:val="00AB059F"/>
    <w:rsid w:val="00AE7E80"/>
    <w:rsid w:val="00AF006E"/>
    <w:rsid w:val="00B15CC5"/>
    <w:rsid w:val="00B161EC"/>
    <w:rsid w:val="00B2122E"/>
    <w:rsid w:val="00B320EE"/>
    <w:rsid w:val="00B3311A"/>
    <w:rsid w:val="00B56CB7"/>
    <w:rsid w:val="00B737A8"/>
    <w:rsid w:val="00B9129B"/>
    <w:rsid w:val="00BA7FC1"/>
    <w:rsid w:val="00BB4550"/>
    <w:rsid w:val="00BB5660"/>
    <w:rsid w:val="00BD36AC"/>
    <w:rsid w:val="00BD619B"/>
    <w:rsid w:val="00C848D8"/>
    <w:rsid w:val="00CB5EF4"/>
    <w:rsid w:val="00CE2565"/>
    <w:rsid w:val="00CE6786"/>
    <w:rsid w:val="00D11D0E"/>
    <w:rsid w:val="00D12660"/>
    <w:rsid w:val="00DC4CC1"/>
    <w:rsid w:val="00DF296E"/>
    <w:rsid w:val="00E00C88"/>
    <w:rsid w:val="00E014B4"/>
    <w:rsid w:val="00E31133"/>
    <w:rsid w:val="00E73C34"/>
    <w:rsid w:val="00EB5614"/>
    <w:rsid w:val="00EC0DA0"/>
    <w:rsid w:val="00EE0254"/>
    <w:rsid w:val="00F420D2"/>
    <w:rsid w:val="00F47C56"/>
    <w:rsid w:val="00F51B08"/>
    <w:rsid w:val="00F76242"/>
    <w:rsid w:val="00F84931"/>
    <w:rsid w:val="00FA221B"/>
    <w:rsid w:val="00FC0F9A"/>
    <w:rsid w:val="00FC30B8"/>
    <w:rsid w:val="00FE1BB5"/>
    <w:rsid w:val="00FE4D63"/>
    <w:rsid w:val="1027474A"/>
    <w:rsid w:val="1422095C"/>
    <w:rsid w:val="26F26979"/>
    <w:rsid w:val="59354B34"/>
    <w:rsid w:val="5C88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9">
    <w:name w:val="src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">
    <w:name w:val="Abstract"/>
    <w:basedOn w:val="1"/>
    <w:autoRedefine/>
    <w:qFormat/>
    <w:uiPriority w:val="0"/>
    <w:pPr>
      <w:widowControl/>
      <w:spacing w:line="360" w:lineRule="auto"/>
    </w:pPr>
    <w:rPr>
      <w:rFonts w:ascii="Times New Roman" w:hAnsi="Times New Roman" w:eastAsia="MS Mincho" w:cs="Times New Roman"/>
      <w:kern w:val="0"/>
      <w:sz w:val="24"/>
      <w:szCs w:val="24"/>
      <w:lang w:eastAsia="ja-JP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736</Words>
  <Characters>4106</Characters>
  <Lines>68</Lines>
  <Paragraphs>14</Paragraphs>
  <TotalTime>0</TotalTime>
  <ScaleCrop>false</ScaleCrop>
  <LinksUpToDate>false</LinksUpToDate>
  <CharactersWithSpaces>4495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2023-06-15T03:32:00Z</dcterms:created>
  <dc:creator>982289172@qq.com</dc:creator>
  <cp:lastModifiedBy>。。。。</cp:lastModifiedBy>
  <dcterms:modified xsi:type="dcterms:W3CDTF">2025-05-05T01:37:58Z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8861109c69a01f88cac44490390b066affc9c5159ab912064586c126a7cd86c1</vt:lpwstr>
  </property>
  <property fmtid="{D5CDD505-2E9C-101B-9397-08002B2CF9AE}" pid="3" name="KSOTemplateDocerSaveRecord">
    <vt:lpwstr>eyJoZGlkIjoiZTQ0NDIyYjdlMGMxMGZiOGU3MDM2ODY0YmQwMjc3ZGQiLCJ1c2VySWQiOiI1MjM2NTE1MTIifQ==</vt:lpwstr>
  </property>
  <property fmtid="{D5CDD505-2E9C-101B-9397-08002B2CF9AE}" pid="4" name="KSOProductBuildVer">
    <vt:lpwstr>2052-12.1.0.20784</vt:lpwstr>
  </property>
  <property fmtid="{D5CDD505-2E9C-101B-9397-08002B2CF9AE}" pid="5" name="ICV">
    <vt:lpwstr>731BF2EF2E95401493B2C84B93C87C09_12</vt:lpwstr>
  </property>
</Properties>
</file>