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20" w:rsidRPr="00B377CD" w:rsidRDefault="00032920" w:rsidP="00787C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="Cambria"/>
          <w:b w:val="0"/>
          <w:color w:val="000000" w:themeColor="text1"/>
          <w:sz w:val="20"/>
          <w:szCs w:val="20"/>
        </w:rPr>
      </w:pPr>
      <w:r w:rsidRPr="00B377CD">
        <w:rPr>
          <w:rStyle w:val="Strong"/>
          <w:rFonts w:eastAsia="Cambria"/>
          <w:color w:val="000000" w:themeColor="text1"/>
          <w:sz w:val="20"/>
          <w:szCs w:val="20"/>
        </w:rPr>
        <w:t xml:space="preserve">Table 1. </w:t>
      </w:r>
      <w:r w:rsidRPr="00B377CD">
        <w:rPr>
          <w:rStyle w:val="Strong"/>
          <w:rFonts w:eastAsia="Cambria"/>
          <w:b w:val="0"/>
          <w:color w:val="000000" w:themeColor="text1"/>
          <w:sz w:val="20"/>
          <w:szCs w:val="20"/>
        </w:rPr>
        <w:t xml:space="preserve">The </w:t>
      </w:r>
      <w:r w:rsidRPr="00B377CD">
        <w:rPr>
          <w:color w:val="000000" w:themeColor="text1"/>
          <w:sz w:val="20"/>
          <w:szCs w:val="20"/>
        </w:rPr>
        <w:t xml:space="preserve">Global Environmental Protection Laws in Different Regions   </w:t>
      </w:r>
      <w:bookmarkStart w:id="0" w:name="_GoBack"/>
      <w:bookmarkEnd w:id="0"/>
    </w:p>
    <w:p w:rsidR="00032920" w:rsidRPr="00D32B22" w:rsidRDefault="00032920" w:rsidP="000329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0000" w:themeColor="text1"/>
          <w:sz w:val="20"/>
          <w:szCs w:val="20"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2340"/>
        <w:gridCol w:w="3960"/>
      </w:tblGrid>
      <w:tr w:rsidR="00032920" w:rsidRPr="00DC55CD" w:rsidTr="00032920">
        <w:trPr>
          <w:jc w:val="center"/>
        </w:trPr>
        <w:tc>
          <w:tcPr>
            <w:tcW w:w="805" w:type="dxa"/>
            <w:shd w:val="clear" w:color="auto" w:fill="8EAADB" w:themeFill="accent1" w:themeFillTint="99"/>
            <w:vAlign w:val="center"/>
          </w:tcPr>
          <w:p w:rsidR="00032920" w:rsidRDefault="00032920" w:rsidP="00032920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032920" w:rsidRDefault="00032920" w:rsidP="00032920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C3218">
              <w:rPr>
                <w:rFonts w:cs="Times New Roman"/>
                <w:b/>
                <w:color w:val="000000" w:themeColor="text1"/>
                <w:sz w:val="20"/>
                <w:szCs w:val="20"/>
              </w:rPr>
              <w:t>Period</w:t>
            </w:r>
          </w:p>
          <w:p w:rsidR="00032920" w:rsidRPr="000C3218" w:rsidRDefault="00032920" w:rsidP="00032920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8EAADB" w:themeFill="accent1" w:themeFillTint="99"/>
            <w:vAlign w:val="center"/>
          </w:tcPr>
          <w:p w:rsidR="00032920" w:rsidRPr="000C3218" w:rsidRDefault="00032920" w:rsidP="00032920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3218">
              <w:rPr>
                <w:rFonts w:cs="Times New Roman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2340" w:type="dxa"/>
            <w:shd w:val="clear" w:color="auto" w:fill="8EAADB" w:themeFill="accent1" w:themeFillTint="99"/>
            <w:vAlign w:val="center"/>
          </w:tcPr>
          <w:p w:rsidR="00032920" w:rsidRPr="000C3218" w:rsidRDefault="00032920" w:rsidP="00032920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3218">
              <w:rPr>
                <w:rFonts w:cs="Times New Roman"/>
                <w:b/>
                <w:color w:val="000000" w:themeColor="text1"/>
                <w:sz w:val="20"/>
                <w:szCs w:val="20"/>
              </w:rPr>
              <w:t>Origin</w:t>
            </w:r>
          </w:p>
        </w:tc>
        <w:tc>
          <w:tcPr>
            <w:tcW w:w="3960" w:type="dxa"/>
            <w:shd w:val="clear" w:color="auto" w:fill="8EAADB" w:themeFill="accent1" w:themeFillTint="99"/>
            <w:vAlign w:val="center"/>
          </w:tcPr>
          <w:p w:rsidR="00032920" w:rsidRPr="000C3218" w:rsidRDefault="00032920" w:rsidP="00032920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C3218">
              <w:rPr>
                <w:rFonts w:cs="Times New Roman"/>
                <w:b/>
                <w:color w:val="000000" w:themeColor="text1"/>
                <w:sz w:val="20"/>
                <w:szCs w:val="20"/>
              </w:rPr>
              <w:t>Indications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International Environmental Law Organization (IELCO) – 1973 Convention on the Law of Seafood and Seafood Products, and the Law Against the Depletion of Resources.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IELCO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(1973)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WorldResourcesInstitute, InternationalEnvironmentalLawOrganization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United States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Clean Air Act, § 85,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The National Environmental Policy Act.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Department of Justice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U.S.-CleanAirAct 2014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https://www.law.cornell.edu/uscode/text/42/chapter-85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India 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Environmental Protection Act (EPA), Part III, Section 3.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Indian Government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Rules 1986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IndiaEnvironmentalProtection_Act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https://cpcb.nic.in/7thEditionPollutionControlLawSeries2021.pdf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Australia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2008–2009 Water Pollution Act.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Australian Government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AustraliaWater_Pollution_Act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https://www.dcceew.gov.au/water/policy/policy/water-laws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United States 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Clean Water and Pollution Act 43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The U.S.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Department of Health and Human Services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U.S.-CleanWaterAct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hyperlink r:id="rId5" w:tgtFrame="_blank" w:history="1">
              <w:r w:rsidRPr="00032920">
                <w:rPr>
                  <w:rFonts w:cs="Times New Roman"/>
                  <w:color w:val="000000" w:themeColor="text1"/>
                  <w:sz w:val="18"/>
                  <w:szCs w:val="18"/>
                </w:rPr>
                <w:t>EPA Clean Water Act Overview</w:t>
              </w:r>
            </w:hyperlink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https://www.epa.gov/laws-regulations/summary-clean-water-act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India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Environmental Protection Law (EPL), Chapter 2.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Indian Government Environment (Protection) Act, 1986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IndiaEnvironmentalProtection_Laws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https://www.indiacode.nic.in/bitstream/123456789/4316/1/ep_act_1986.pdf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United Kingdom 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Climate and Sustainability Strategy, Part 4.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The National Green Deal.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British government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2018 to 2019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UnitedKingdomClimateStrategy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https://www.ukri.org/wp-content/uploads/2020/10/UKRI-050920-SustainabilityStrategy.pdf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India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Environmental Protection Act (EPA), Chapter 7.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Indian Government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IndiaEnvironmentalProtection_Act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https://blog.ipleaders.in/environment-protection-act-1986-2/</w:t>
            </w:r>
          </w:p>
        </w:tc>
      </w:tr>
      <w:tr w:rsidR="00032920" w:rsidRPr="00DC55CD" w:rsidTr="00032920">
        <w:trPr>
          <w:jc w:val="center"/>
        </w:trPr>
        <w:tc>
          <w:tcPr>
            <w:tcW w:w="805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70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 xml:space="preserve">China 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Eighteen key areas of environmental protection law are in Chapter 7.</w:t>
            </w:r>
          </w:p>
        </w:tc>
        <w:tc>
          <w:tcPr>
            <w:tcW w:w="234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The Chinese National Council</w:t>
            </w:r>
          </w:p>
        </w:tc>
        <w:tc>
          <w:tcPr>
            <w:tcW w:w="3960" w:type="dxa"/>
            <w:vAlign w:val="center"/>
          </w:tcPr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ChinaEnvironmental_Protection_Laws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hyperlink r:id="rId6" w:history="1">
              <w:r w:rsidRPr="00032920">
                <w:rPr>
                  <w:rFonts w:cs="Times New Roman"/>
                  <w:color w:val="000000" w:themeColor="text1"/>
                  <w:sz w:val="18"/>
                  <w:szCs w:val="18"/>
                </w:rPr>
                <w:t>http://www.mee.gov.cn/</w:t>
              </w:r>
            </w:hyperlink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32920">
              <w:rPr>
                <w:rFonts w:cs="Times New Roman"/>
                <w:color w:val="000000" w:themeColor="text1"/>
                <w:sz w:val="18"/>
                <w:szCs w:val="18"/>
              </w:rPr>
              <w:t>https://www.chinalawtranslate.com/</w:t>
            </w:r>
          </w:p>
          <w:p w:rsidR="00032920" w:rsidRPr="00032920" w:rsidRDefault="00032920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032920" w:rsidTr="00032920">
        <w:trPr>
          <w:jc w:val="center"/>
        </w:trPr>
        <w:tc>
          <w:tcPr>
            <w:tcW w:w="9805" w:type="dxa"/>
            <w:gridSpan w:val="4"/>
          </w:tcPr>
          <w:p w:rsidR="00032920" w:rsidRPr="00032920" w:rsidRDefault="00032920" w:rsidP="006811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rFonts w:eastAsia="Cambria"/>
                <w:color w:val="000000" w:themeColor="text1"/>
                <w:sz w:val="18"/>
                <w:szCs w:val="18"/>
              </w:rPr>
            </w:pPr>
            <w:r w:rsidRPr="00032920">
              <w:rPr>
                <w:rStyle w:val="Strong"/>
                <w:rFonts w:eastAsia="Cambria"/>
                <w:color w:val="000000" w:themeColor="text1"/>
                <w:sz w:val="18"/>
                <w:szCs w:val="18"/>
              </w:rPr>
              <w:t xml:space="preserve">Source: </w:t>
            </w:r>
            <w:r w:rsidRPr="00032920">
              <w:rPr>
                <w:rStyle w:val="Strong"/>
                <w:rFonts w:eastAsia="Cambria"/>
                <w:b w:val="0"/>
                <w:color w:val="000000" w:themeColor="text1"/>
                <w:sz w:val="18"/>
                <w:szCs w:val="18"/>
              </w:rPr>
              <w:t>The table includes all the data created by the different country's official databases as the original, making it easy to access.</w:t>
            </w:r>
          </w:p>
        </w:tc>
      </w:tr>
    </w:tbl>
    <w:p w:rsidR="00B06C07" w:rsidRDefault="00B06C07" w:rsidP="00787CF5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Style w:val="Strong"/>
          <w:rFonts w:eastAsia="Cambria"/>
          <w:color w:val="000000" w:themeColor="text1"/>
        </w:rPr>
      </w:pPr>
    </w:p>
    <w:p w:rsidR="00787CF5" w:rsidRPr="00B377CD" w:rsidRDefault="00787CF5" w:rsidP="00B06C0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0000" w:themeColor="text1"/>
          <w:sz w:val="20"/>
          <w:szCs w:val="20"/>
        </w:rPr>
      </w:pPr>
      <w:r w:rsidRPr="00B377CD">
        <w:rPr>
          <w:rStyle w:val="Strong"/>
          <w:rFonts w:eastAsia="Cambria"/>
          <w:color w:val="000000" w:themeColor="text1"/>
          <w:sz w:val="20"/>
          <w:szCs w:val="20"/>
        </w:rPr>
        <w:lastRenderedPageBreak/>
        <w:t xml:space="preserve">Table 2. </w:t>
      </w:r>
      <w:r w:rsidRPr="00B377CD">
        <w:rPr>
          <w:rStyle w:val="Strong"/>
          <w:rFonts w:eastAsia="Cambria"/>
          <w:b w:val="0"/>
          <w:color w:val="000000" w:themeColor="text1"/>
          <w:sz w:val="20"/>
          <w:szCs w:val="20"/>
        </w:rPr>
        <w:t>Implement of Agreement</w:t>
      </w:r>
      <w:r w:rsidRPr="00B377CD">
        <w:rPr>
          <w:rStyle w:val="Strong"/>
          <w:rFonts w:eastAsia="Cambria"/>
          <w:color w:val="000000" w:themeColor="text1"/>
          <w:sz w:val="20"/>
          <w:szCs w:val="20"/>
        </w:rPr>
        <w:t xml:space="preserve">  </w:t>
      </w:r>
    </w:p>
    <w:p w:rsidR="00787CF5" w:rsidRPr="000C5B95" w:rsidRDefault="00787CF5" w:rsidP="00787CF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0000" w:themeColor="text1"/>
          <w:sz w:val="20"/>
          <w:szCs w:val="20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895"/>
        <w:gridCol w:w="3150"/>
        <w:gridCol w:w="3510"/>
        <w:gridCol w:w="2250"/>
      </w:tblGrid>
      <w:tr w:rsidR="00787CF5" w:rsidRPr="00DC55CD" w:rsidTr="00787CF5">
        <w:trPr>
          <w:jc w:val="center"/>
        </w:trPr>
        <w:tc>
          <w:tcPr>
            <w:tcW w:w="895" w:type="dxa"/>
            <w:shd w:val="clear" w:color="auto" w:fill="8EAADB" w:themeFill="accent1" w:themeFillTint="99"/>
            <w:vAlign w:val="center"/>
          </w:tcPr>
          <w:p w:rsidR="00787CF5" w:rsidRPr="00787CF5" w:rsidRDefault="00787CF5" w:rsidP="00787CF5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87CF5">
              <w:rPr>
                <w:rFonts w:cs="Times New Roman"/>
                <w:b/>
                <w:color w:val="000000" w:themeColor="text1"/>
                <w:sz w:val="20"/>
                <w:szCs w:val="20"/>
              </w:rPr>
              <w:t>Periods</w:t>
            </w:r>
          </w:p>
        </w:tc>
        <w:tc>
          <w:tcPr>
            <w:tcW w:w="3150" w:type="dxa"/>
            <w:shd w:val="clear" w:color="auto" w:fill="8EAADB" w:themeFill="accent1" w:themeFillTint="99"/>
            <w:vAlign w:val="center"/>
          </w:tcPr>
          <w:p w:rsidR="00787CF5" w:rsidRPr="00787CF5" w:rsidRDefault="00787CF5" w:rsidP="00787CF5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787CF5">
              <w:rPr>
                <w:rFonts w:cs="Times New Roman"/>
                <w:b/>
                <w:color w:val="000000" w:themeColor="text1"/>
                <w:sz w:val="20"/>
                <w:szCs w:val="20"/>
              </w:rPr>
              <w:t>Covenant</w:t>
            </w:r>
          </w:p>
        </w:tc>
        <w:tc>
          <w:tcPr>
            <w:tcW w:w="3510" w:type="dxa"/>
            <w:shd w:val="clear" w:color="auto" w:fill="8EAADB" w:themeFill="accent1" w:themeFillTint="99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787CF5">
              <w:rPr>
                <w:rFonts w:cs="Times New Roman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2250" w:type="dxa"/>
            <w:shd w:val="clear" w:color="auto" w:fill="8EAADB" w:themeFill="accent1" w:themeFillTint="99"/>
            <w:vAlign w:val="center"/>
          </w:tcPr>
          <w:p w:rsidR="00787CF5" w:rsidRDefault="00787CF5" w:rsidP="00681109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787CF5" w:rsidRDefault="00787CF5" w:rsidP="00681109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C3218">
              <w:rPr>
                <w:rFonts w:cs="Times New Roman"/>
                <w:b/>
                <w:color w:val="000000" w:themeColor="text1"/>
                <w:sz w:val="20"/>
                <w:szCs w:val="20"/>
              </w:rPr>
              <w:t>Indications</w:t>
            </w:r>
          </w:p>
          <w:p w:rsidR="00787CF5" w:rsidRPr="000C3218" w:rsidRDefault="00787CF5" w:rsidP="00681109">
            <w:pPr>
              <w:spacing w:before="0"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Stockholm Convention on Persistent Organic Pollutants (POPs)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global treaty to protect human health and the environment from chemicals that remain intact in the environment for extended periods (POPs).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Stockholm Convention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Johannesburg Declaration on Sustainable Development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Adopted at the World Summit on Sustainable Development, it reaffirmed global commitment to sustainable development and environmental protection.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 Johannesburg Summit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Kyoto Protocol (Entered into Force)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An international treaty extending the 1992 UNFCCC, committing industrialized countries to reduce greenhouse gas emissions.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Kyoto Protocol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Nagoya Protocol on Access and Benefit-Sharing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supplementary agreement to the Convention on Biological Diversity (CBD) focusing on fair and equitable sharing of benefits from genetic resources.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Nagoya Protocol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Paris Agreement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landmark agreement under the UNFCCC to limit global warming to well below 2°C, aiming for 1.5°C above pre-industrial levels.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Paris Agreement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Minamata Convention on Mercury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global treaty to protect human health and the environment from anthropogenic emissions and releases of mercury.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Minamata Convention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Regional Agreement on Access to Information, Public Participation, and Justice in Environmental Matters in Latin America and the Caribbean (Escazú Agreement)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The first regional environmental treaty in Latin America and the Caribbean, promoting environmental democracy.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Escazú Agreement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UN Climate Action Summit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global summit was held to accelerate action to implement the Paris Agreement and address climate change.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 Climate Action Summit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Kunming Declaration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Adopted at the UN Biodiversity Conference (COP15), it sets the stage for a post-2020 global biodiversity framework.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Style w:val="Hyperlink"/>
                <w:rFonts w:cs="Times New Roman"/>
                <w:color w:val="000000" w:themeColor="text1"/>
                <w:sz w:val="16"/>
                <w:szCs w:val="16"/>
                <w:u w:val="none"/>
              </w:rPr>
            </w:pPr>
            <w:hyperlink r:id="rId15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Kunming Declaration</w:t>
              </w:r>
            </w:hyperlink>
          </w:p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7CF5">
              <w:rPr>
                <w:rFonts w:cs="Times New Roman"/>
                <w:color w:val="000000" w:themeColor="text1"/>
                <w:sz w:val="16"/>
                <w:szCs w:val="16"/>
              </w:rPr>
              <w:t>adopted at COP15.</w:t>
            </w:r>
          </w:p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7CF5">
              <w:rPr>
                <w:rFonts w:cs="Times New Roman"/>
                <w:color w:val="000000" w:themeColor="text1"/>
                <w:sz w:val="16"/>
                <w:szCs w:val="16"/>
              </w:rPr>
              <w:t>Source: Xinhua</w:t>
            </w:r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Global Biodiversity Framework (GBF) - Adopted at COP15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framework to halt and reverse biodiversity loss by 2030, adopted in Montreal, Canada.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GBF COP15</w:t>
              </w:r>
            </w:hyperlink>
          </w:p>
        </w:tc>
      </w:tr>
      <w:tr w:rsidR="00787CF5" w:rsidRPr="00DC55CD" w:rsidTr="00787CF5">
        <w:trPr>
          <w:jc w:val="center"/>
        </w:trPr>
        <w:tc>
          <w:tcPr>
            <w:tcW w:w="895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31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b w:val="0"/>
                <w:color w:val="000000" w:themeColor="text1"/>
                <w:sz w:val="18"/>
                <w:szCs w:val="18"/>
              </w:rPr>
              <w:t>High Seas Treaty (Biodiversity Beyond National Jurisdiction - BBNJ)</w:t>
            </w:r>
          </w:p>
        </w:tc>
        <w:tc>
          <w:tcPr>
            <w:tcW w:w="351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7CF5">
              <w:rPr>
                <w:rFonts w:cs="Times New Roman"/>
                <w:color w:val="000000" w:themeColor="text1"/>
                <w:sz w:val="18"/>
                <w:szCs w:val="18"/>
              </w:rPr>
              <w:t>A legally binding treaty to protect marine biodiversity in areas beyond national jurisdiction.</w:t>
            </w:r>
          </w:p>
        </w:tc>
        <w:tc>
          <w:tcPr>
            <w:tcW w:w="2250" w:type="dxa"/>
            <w:vAlign w:val="center"/>
          </w:tcPr>
          <w:p w:rsidR="00787CF5" w:rsidRPr="00787CF5" w:rsidRDefault="00787CF5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787CF5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BBNJ Treaty</w:t>
              </w:r>
            </w:hyperlink>
          </w:p>
        </w:tc>
      </w:tr>
      <w:tr w:rsidR="00787CF5" w:rsidTr="00787CF5">
        <w:trPr>
          <w:jc w:val="center"/>
        </w:trPr>
        <w:tc>
          <w:tcPr>
            <w:tcW w:w="9805" w:type="dxa"/>
            <w:gridSpan w:val="4"/>
          </w:tcPr>
          <w:p w:rsidR="00787CF5" w:rsidRPr="00787CF5" w:rsidRDefault="00787CF5" w:rsidP="006811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eastAsia="Cambria"/>
                <w:color w:val="000000" w:themeColor="text1"/>
                <w:sz w:val="18"/>
                <w:szCs w:val="18"/>
              </w:rPr>
            </w:pPr>
            <w:r w:rsidRPr="00787CF5">
              <w:rPr>
                <w:rStyle w:val="Strong"/>
                <w:rFonts w:eastAsia="Cambria"/>
                <w:color w:val="000000" w:themeColor="text1"/>
                <w:sz w:val="18"/>
                <w:szCs w:val="18"/>
              </w:rPr>
              <w:t xml:space="preserve">Source: </w:t>
            </w:r>
            <w:r w:rsidRPr="00787CF5">
              <w:rPr>
                <w:rStyle w:val="Strong"/>
                <w:rFonts w:eastAsia="Cambria"/>
                <w:b w:val="0"/>
                <w:color w:val="000000" w:themeColor="text1"/>
                <w:sz w:val="18"/>
                <w:szCs w:val="18"/>
              </w:rPr>
              <w:t xml:space="preserve">The data from the UN and some countries' official databases have been added link to the table of availabilities </w:t>
            </w:r>
          </w:p>
        </w:tc>
      </w:tr>
    </w:tbl>
    <w:p w:rsidR="00B377CD" w:rsidRPr="00B377CD" w:rsidRDefault="00B377CD" w:rsidP="00B377C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B377CD">
        <w:rPr>
          <w:b/>
          <w:color w:val="000000" w:themeColor="text1"/>
          <w:sz w:val="20"/>
          <w:szCs w:val="20"/>
        </w:rPr>
        <w:lastRenderedPageBreak/>
        <w:t>Table 3.</w:t>
      </w:r>
      <w:r w:rsidRPr="00B377CD">
        <w:rPr>
          <w:color w:val="000000" w:themeColor="text1"/>
          <w:sz w:val="20"/>
          <w:szCs w:val="20"/>
        </w:rPr>
        <w:t xml:space="preserve"> </w:t>
      </w:r>
      <w:r w:rsidRPr="00B377CD">
        <w:rPr>
          <w:color w:val="000000" w:themeColor="text1"/>
          <w:sz w:val="20"/>
          <w:szCs w:val="20"/>
          <w:lang w:eastAsia="zh-CN"/>
        </w:rPr>
        <w:t xml:space="preserve">Laws </w:t>
      </w:r>
      <w:r w:rsidRPr="00B377CD">
        <w:rPr>
          <w:color w:val="000000" w:themeColor="text1"/>
          <w:sz w:val="20"/>
          <w:szCs w:val="20"/>
        </w:rPr>
        <w:t xml:space="preserve">Related to Maritime Affairs in </w:t>
      </w:r>
      <w:r w:rsidRPr="00B377CD">
        <w:rPr>
          <w:color w:val="000000" w:themeColor="text1"/>
          <w:sz w:val="20"/>
          <w:szCs w:val="20"/>
          <w:lang w:eastAsia="zh-CN"/>
        </w:rPr>
        <w:t>China</w:t>
      </w:r>
    </w:p>
    <w:p w:rsidR="00B377CD" w:rsidRPr="00DF71A6" w:rsidRDefault="00B377CD" w:rsidP="00B377C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0"/>
          <w:szCs w:val="20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1370"/>
        <w:gridCol w:w="3738"/>
        <w:gridCol w:w="2092"/>
        <w:gridCol w:w="1980"/>
      </w:tblGrid>
      <w:tr w:rsidR="00B377CD" w:rsidTr="00B377CD">
        <w:trPr>
          <w:jc w:val="center"/>
        </w:trPr>
        <w:tc>
          <w:tcPr>
            <w:tcW w:w="1370" w:type="dxa"/>
            <w:shd w:val="clear" w:color="auto" w:fill="8EAADB" w:themeFill="accent1" w:themeFillTint="99"/>
          </w:tcPr>
          <w:p w:rsidR="00B377CD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22720E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20E">
              <w:rPr>
                <w:rFonts w:cs="Times New Roman" w:hint="eastAsi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22720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738" w:type="dxa"/>
            <w:shd w:val="clear" w:color="auto" w:fill="8EAADB" w:themeFill="accent1" w:themeFillTint="99"/>
          </w:tcPr>
          <w:p w:rsidR="00B377CD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22720E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20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Name Of Laws</w:t>
            </w:r>
          </w:p>
        </w:tc>
        <w:tc>
          <w:tcPr>
            <w:tcW w:w="2092" w:type="dxa"/>
            <w:shd w:val="clear" w:color="auto" w:fill="8EAADB" w:themeFill="accent1" w:themeFillTint="99"/>
          </w:tcPr>
          <w:p w:rsidR="00B377CD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22720E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20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Legislative Time</w:t>
            </w:r>
          </w:p>
        </w:tc>
        <w:tc>
          <w:tcPr>
            <w:tcW w:w="1980" w:type="dxa"/>
            <w:shd w:val="clear" w:color="auto" w:fill="8EAADB" w:themeFill="accent1" w:themeFillTint="99"/>
          </w:tcPr>
          <w:p w:rsidR="00B377CD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720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Revised Time</w:t>
            </w:r>
          </w:p>
          <w:p w:rsidR="00B377CD" w:rsidRPr="0022720E" w:rsidRDefault="00B377CD" w:rsidP="00681109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38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Maritime Traffic Safety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1983-09-02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2021-04-29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Maritime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1992.11.07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N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ot Yet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Marine Environmental Protection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1982-08-23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2023-10-24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Water Pollution Prevention and Control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1984-05-11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2017-06-27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Port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2003-06-28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2018-12-29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Navigational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2014-12-28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2016-07-02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Coast Guard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2021-01-22</w:t>
            </w:r>
          </w:p>
        </w:tc>
        <w:tc>
          <w:tcPr>
            <w:tcW w:w="198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N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ot Yet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Maritime Procedure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1999-12-25</w:t>
            </w:r>
          </w:p>
        </w:tc>
        <w:tc>
          <w:tcPr>
            <w:tcW w:w="198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N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ot Yet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Sea Area Use Management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2001-10-27</w:t>
            </w:r>
          </w:p>
        </w:tc>
        <w:tc>
          <w:tcPr>
            <w:tcW w:w="198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N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ot Yet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8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Fisheries Law</w:t>
            </w:r>
          </w:p>
        </w:tc>
        <w:tc>
          <w:tcPr>
            <w:tcW w:w="2092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2013-12-28</w:t>
            </w:r>
          </w:p>
        </w:tc>
        <w:tc>
          <w:tcPr>
            <w:tcW w:w="1980" w:type="dxa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N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ot Yet</w:t>
            </w:r>
          </w:p>
        </w:tc>
      </w:tr>
      <w:tr w:rsidR="00B377CD" w:rsidTr="00B377CD">
        <w:trPr>
          <w:jc w:val="center"/>
        </w:trPr>
        <w:tc>
          <w:tcPr>
            <w:tcW w:w="1370" w:type="dxa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 w:hint="eastAsia"/>
                <w:color w:val="000000" w:themeColor="text1"/>
                <w:sz w:val="18"/>
                <w:szCs w:val="18"/>
              </w:rPr>
              <w:t>1</w:t>
            </w: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Water Law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1988-01-21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2016-07-02</w:t>
            </w:r>
          </w:p>
        </w:tc>
      </w:tr>
      <w:tr w:rsidR="00B377CD" w:rsidTr="00B377CD">
        <w:trPr>
          <w:jc w:val="center"/>
        </w:trPr>
        <w:tc>
          <w:tcPr>
            <w:tcW w:w="9180" w:type="dxa"/>
            <w:gridSpan w:val="4"/>
          </w:tcPr>
          <w:p w:rsidR="00B377CD" w:rsidRPr="00B377CD" w:rsidRDefault="00B377CD" w:rsidP="00681109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eastAsia="zh-CN"/>
              </w:rPr>
            </w:pPr>
            <w:r w:rsidRPr="00B377CD">
              <w:rPr>
                <w:b/>
                <w:sz w:val="20"/>
                <w:szCs w:val="20"/>
                <w:lang w:eastAsia="zh-CN"/>
              </w:rPr>
              <w:t xml:space="preserve">Source: </w:t>
            </w:r>
            <w:r w:rsidRPr="00B377CD">
              <w:rPr>
                <w:sz w:val="20"/>
                <w:szCs w:val="20"/>
                <w:lang w:eastAsia="zh-CN"/>
              </w:rPr>
              <w:t xml:space="preserve">PKULAW Legal and Regulatory Database </w:t>
            </w:r>
            <w:r w:rsidRPr="00B377CD">
              <w:rPr>
                <w:sz w:val="20"/>
                <w:szCs w:val="20"/>
                <w:lang w:eastAsia="zh-CN"/>
              </w:rPr>
              <w:fldChar w:fldCharType="begin"/>
            </w:r>
            <w:r w:rsidRPr="00B377CD">
              <w:rPr>
                <w:sz w:val="20"/>
                <w:szCs w:val="20"/>
                <w:lang w:eastAsia="zh-CN"/>
              </w:rPr>
              <w:instrText xml:space="preserve"> ADDIN ZOTERO_ITEM CSL_CITATION {"citationID":"LcHKAqLG","properties":{"formattedCitation":"(PKULAW, n.d.)","plainCitation":"(PKULAW, n.d.)","noteIndex":0},"citationItems":[{"id":"YgzGzWhP/QzYFxBr4","uris":["http://zotero.org/users/local/ayCpcDa1/items/3FN35BCB"],"itemData":{"id":1603,"type":"webpage","title":"Legal and Regulatory Database-Legal and Regulatory Retrieval System","URL":"https://www.pkulaw.com/","author":[{"literal":"PKULAW"}],"accessed":{"date-parts":[["2024",11,30]]}}}],"schema":"https://github.com/citation-style-language/schema/raw/master/csl-citation.json"} </w:instrText>
            </w:r>
            <w:r w:rsidRPr="00B377CD">
              <w:rPr>
                <w:sz w:val="20"/>
                <w:szCs w:val="20"/>
                <w:lang w:eastAsia="zh-CN"/>
              </w:rPr>
              <w:fldChar w:fldCharType="separate"/>
            </w:r>
            <w:r w:rsidRPr="00B377CD">
              <w:rPr>
                <w:sz w:val="20"/>
                <w:szCs w:val="20"/>
                <w:lang w:eastAsia="zh-CN"/>
              </w:rPr>
              <w:t xml:space="preserve">(PKULAW, </w:t>
            </w:r>
            <w:proofErr w:type="spellStart"/>
            <w:r w:rsidRPr="00B377CD">
              <w:rPr>
                <w:sz w:val="20"/>
                <w:szCs w:val="20"/>
                <w:lang w:eastAsia="zh-CN"/>
              </w:rPr>
              <w:t>n.d.</w:t>
            </w:r>
            <w:proofErr w:type="spellEnd"/>
            <w:r w:rsidRPr="00B377CD">
              <w:rPr>
                <w:sz w:val="20"/>
                <w:szCs w:val="20"/>
                <w:lang w:eastAsia="zh-CN"/>
              </w:rPr>
              <w:t>)</w:t>
            </w:r>
            <w:r w:rsidRPr="00B377CD">
              <w:rPr>
                <w:sz w:val="20"/>
                <w:szCs w:val="20"/>
                <w:lang w:eastAsia="zh-CN"/>
              </w:rPr>
              <w:fldChar w:fldCharType="end"/>
            </w:r>
          </w:p>
        </w:tc>
      </w:tr>
    </w:tbl>
    <w:p w:rsidR="00B377CD" w:rsidRDefault="00B377CD" w:rsidP="00B377C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sz w:val="20"/>
          <w:szCs w:val="20"/>
        </w:rPr>
      </w:pPr>
    </w:p>
    <w:p w:rsidR="00B377CD" w:rsidRPr="00B377CD" w:rsidRDefault="00B377CD" w:rsidP="00B377CD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B377CD">
        <w:rPr>
          <w:b/>
          <w:color w:val="000000" w:themeColor="text1"/>
          <w:sz w:val="20"/>
          <w:szCs w:val="20"/>
        </w:rPr>
        <w:t xml:space="preserve">Table 4. </w:t>
      </w:r>
      <w:r w:rsidRPr="00B377CD">
        <w:rPr>
          <w:rFonts w:hint="eastAsia"/>
          <w:color w:val="000000" w:themeColor="text1"/>
          <w:sz w:val="20"/>
          <w:szCs w:val="20"/>
        </w:rPr>
        <w:t>Regulation</w:t>
      </w:r>
      <w:r w:rsidRPr="00B377CD">
        <w:rPr>
          <w:color w:val="000000" w:themeColor="text1"/>
          <w:sz w:val="20"/>
          <w:szCs w:val="20"/>
        </w:rPr>
        <w:t>s Related to Maritime Affairs in China</w:t>
      </w:r>
    </w:p>
    <w:p w:rsidR="00B377CD" w:rsidRDefault="00B377CD" w:rsidP="00B377C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0"/>
          <w:szCs w:val="20"/>
        </w:rPr>
      </w:pPr>
    </w:p>
    <w:tbl>
      <w:tblPr>
        <w:tblStyle w:val="TableGrid"/>
        <w:tblW w:w="9327" w:type="dxa"/>
        <w:jc w:val="center"/>
        <w:tblLook w:val="04A0" w:firstRow="1" w:lastRow="0" w:firstColumn="1" w:lastColumn="0" w:noHBand="0" w:noVBand="1"/>
      </w:tblPr>
      <w:tblGrid>
        <w:gridCol w:w="630"/>
        <w:gridCol w:w="5670"/>
        <w:gridCol w:w="1265"/>
        <w:gridCol w:w="1762"/>
      </w:tblGrid>
      <w:tr w:rsidR="00B377CD" w:rsidRPr="00D550A3" w:rsidTr="00B377CD">
        <w:trPr>
          <w:jc w:val="center"/>
        </w:trPr>
        <w:tc>
          <w:tcPr>
            <w:tcW w:w="630" w:type="dxa"/>
            <w:shd w:val="clear" w:color="auto" w:fill="8EAADB" w:themeFill="accent1" w:themeFillTint="99"/>
          </w:tcPr>
          <w:p w:rsid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8EAADB" w:themeFill="accent1" w:themeFillTint="99"/>
          </w:tcPr>
          <w:p w:rsid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Name of Regulations</w:t>
            </w:r>
          </w:p>
        </w:tc>
        <w:tc>
          <w:tcPr>
            <w:tcW w:w="1265" w:type="dxa"/>
            <w:shd w:val="clear" w:color="auto" w:fill="8EAADB" w:themeFill="accent1" w:themeFillTint="99"/>
          </w:tcPr>
          <w:p w:rsid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P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Legislative</w:t>
            </w:r>
          </w:p>
        </w:tc>
        <w:tc>
          <w:tcPr>
            <w:tcW w:w="1762" w:type="dxa"/>
            <w:shd w:val="clear" w:color="auto" w:fill="8EAADB" w:themeFill="accent1" w:themeFillTint="99"/>
          </w:tcPr>
          <w:p w:rsid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Revised</w:t>
            </w:r>
          </w:p>
          <w:p w:rsidR="00B377CD" w:rsidRPr="00B377CD" w:rsidRDefault="00B377CD" w:rsidP="00B377CD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Management of Inland River Traffic Safety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1986-12-16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2019-03-02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Waterway Management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1987-08-22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2008-12-27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Implementation Rules for the Regulations on Waterway Management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1991-08-29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2009-06-23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Management of Foreign Nationality Ships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1979-09-18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Not Yet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Ship Registration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1994-06-02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2014-07-29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Measures for the Inspection of International Vessels Calling at or Leaving Ports of the People's Republic of China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1961-09-08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2019-03-02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International Cruise Ships Docking and Supplying at Ports in the People's Republic of China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2024-04-22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Not Yet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Crew Regulations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2007-04-14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2023-07-20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Prevention and Control of Marine Environmental Pollution from Ships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1983-12-29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2018-03-19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Environmental Management for Preventing Ship Dismantling Pollution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1988-05-18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2017-03-01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Management of Marine Waste Disposal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1985-03-06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2017-03-01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Prevention and Control of Pollution Damage to the Marine Environment by Land-based Pollutants</w:t>
            </w:r>
          </w:p>
        </w:tc>
        <w:tc>
          <w:tcPr>
            <w:tcW w:w="1265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1990-06-22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Not Yet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Management of Marine Environment Damage Caused by Pollution from Coastal Engineering Construction Projects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1990-06-25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2018-03-19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the Prevention and Control of Pollution Damage to the Marine Environment from Marine Engineering Construction Projects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2006-09-19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2018-03-19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Investigation and Handling of Maritime Traffic Accidents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1990-01-11</w:t>
            </w:r>
          </w:p>
        </w:tc>
        <w:tc>
          <w:tcPr>
            <w:tcW w:w="1762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Not Yet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International Maritime Regulations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2001-12-11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2023-07-20</w:t>
            </w:r>
          </w:p>
        </w:tc>
      </w:tr>
      <w:tr w:rsidR="00B377CD" w:rsidRPr="00B246F4" w:rsidTr="00B377CD">
        <w:trPr>
          <w:jc w:val="center"/>
        </w:trPr>
        <w:tc>
          <w:tcPr>
            <w:tcW w:w="630" w:type="dxa"/>
            <w:shd w:val="clear" w:color="auto" w:fill="auto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Regulations on Domestic Waterway Transportation Management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2012-10-13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377CD" w:rsidRPr="00B246F4" w:rsidRDefault="00B377CD" w:rsidP="00681109">
            <w:pPr>
              <w:spacing w:before="0" w:after="0" w:line="36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246F4">
              <w:rPr>
                <w:rFonts w:cs="Times New Roman"/>
                <w:color w:val="000000" w:themeColor="text1"/>
                <w:sz w:val="18"/>
                <w:szCs w:val="18"/>
              </w:rPr>
              <w:t>2023-07-20</w:t>
            </w:r>
          </w:p>
        </w:tc>
      </w:tr>
      <w:tr w:rsidR="00B377CD" w:rsidTr="00B377CD">
        <w:trPr>
          <w:jc w:val="center"/>
        </w:trPr>
        <w:tc>
          <w:tcPr>
            <w:tcW w:w="9327" w:type="dxa"/>
            <w:gridSpan w:val="4"/>
          </w:tcPr>
          <w:p w:rsidR="00B377CD" w:rsidRDefault="00B377CD" w:rsidP="006811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  <w:lang w:eastAsia="zh-CN"/>
              </w:rPr>
            </w:pPr>
            <w:r w:rsidRPr="00D550A3">
              <w:rPr>
                <w:b/>
                <w:sz w:val="18"/>
                <w:szCs w:val="18"/>
                <w:lang w:eastAsia="zh-CN"/>
              </w:rPr>
              <w:t xml:space="preserve">Source: </w:t>
            </w:r>
            <w:r w:rsidRPr="00D550A3">
              <w:rPr>
                <w:sz w:val="18"/>
                <w:szCs w:val="18"/>
                <w:lang w:eastAsia="zh-CN"/>
              </w:rPr>
              <w:t xml:space="preserve">PKULAW Legal and Regulatory Database </w:t>
            </w:r>
            <w:r w:rsidRPr="00D550A3">
              <w:rPr>
                <w:sz w:val="18"/>
                <w:szCs w:val="18"/>
                <w:lang w:eastAsia="zh-CN"/>
              </w:rPr>
              <w:fldChar w:fldCharType="begin"/>
            </w:r>
            <w:r>
              <w:rPr>
                <w:sz w:val="18"/>
                <w:szCs w:val="18"/>
                <w:lang w:eastAsia="zh-CN"/>
              </w:rPr>
              <w:instrText xml:space="preserve"> ADDIN ZOTERO_ITEM CSL_CITATION {"citationID":"1SY9V0q3","properties":{"formattedCitation":"(PKULAW, n.d.)","plainCitation":"(PKULAW, n.d.)","noteIndex":0},"citationItems":[{"id":"YgzGzWhP/QzYFxBr4","uris":["http://zotero.org/users/local/ayCpcDa1/items/3FN35BCB"],"itemData":{"id":1603,"type":"webpage","title":"Legal and Regulatory Database-Legal and Regulatory Retrieval System","URL":"https://www.pkulaw.com/","author":[{"literal":"PKULAW"}],"accessed":{"date-parts":[["2024",11,30]]}}}],"schema":"https://github.com/citation-style-language/schema/raw/master/csl-citation.json"} </w:instrText>
            </w:r>
            <w:r w:rsidRPr="00D550A3">
              <w:rPr>
                <w:sz w:val="18"/>
                <w:szCs w:val="18"/>
                <w:lang w:eastAsia="zh-CN"/>
              </w:rPr>
              <w:fldChar w:fldCharType="separate"/>
            </w:r>
            <w:r w:rsidRPr="00D550A3">
              <w:rPr>
                <w:sz w:val="18"/>
                <w:szCs w:val="18"/>
                <w:lang w:eastAsia="zh-CN"/>
              </w:rPr>
              <w:t xml:space="preserve">(PKULAW, </w:t>
            </w:r>
            <w:proofErr w:type="spellStart"/>
            <w:r w:rsidRPr="00D550A3">
              <w:rPr>
                <w:sz w:val="18"/>
                <w:szCs w:val="18"/>
                <w:lang w:eastAsia="zh-CN"/>
              </w:rPr>
              <w:t>n.d.</w:t>
            </w:r>
            <w:proofErr w:type="spellEnd"/>
            <w:r w:rsidRPr="00D550A3">
              <w:rPr>
                <w:sz w:val="18"/>
                <w:szCs w:val="18"/>
                <w:lang w:eastAsia="zh-CN"/>
              </w:rPr>
              <w:t>)</w:t>
            </w:r>
            <w:r w:rsidRPr="00D550A3">
              <w:rPr>
                <w:sz w:val="18"/>
                <w:szCs w:val="18"/>
                <w:lang w:eastAsia="zh-CN"/>
              </w:rPr>
              <w:fldChar w:fldCharType="end"/>
            </w:r>
            <w:r w:rsidRPr="00D550A3">
              <w:rPr>
                <w:sz w:val="18"/>
                <w:szCs w:val="18"/>
                <w:lang w:eastAsia="zh-CN"/>
              </w:rPr>
              <w:t>.</w:t>
            </w:r>
          </w:p>
        </w:tc>
      </w:tr>
    </w:tbl>
    <w:p w:rsidR="00B377CD" w:rsidRPr="00B377CD" w:rsidRDefault="00B377CD" w:rsidP="00B377CD">
      <w:pPr>
        <w:pStyle w:val="Heading1"/>
        <w:numPr>
          <w:ilvl w:val="0"/>
          <w:numId w:val="0"/>
        </w:numPr>
        <w:spacing w:line="276" w:lineRule="auto"/>
        <w:rPr>
          <w:rStyle w:val="Strong"/>
          <w:bCs w:val="0"/>
          <w:color w:val="000000" w:themeColor="text1"/>
          <w:sz w:val="20"/>
          <w:szCs w:val="20"/>
        </w:rPr>
      </w:pPr>
      <w:r w:rsidRPr="00B377CD">
        <w:rPr>
          <w:color w:val="000000" w:themeColor="text1"/>
          <w:sz w:val="20"/>
          <w:szCs w:val="20"/>
        </w:rPr>
        <w:t>Table 5.</w:t>
      </w:r>
      <w:r w:rsidRPr="00B377CD">
        <w:rPr>
          <w:b w:val="0"/>
          <w:color w:val="000000" w:themeColor="text1"/>
          <w:sz w:val="20"/>
          <w:szCs w:val="20"/>
        </w:rPr>
        <w:t xml:space="preserve"> Between 1947 to 2024, Pakistan Established the Following Marine Laws and Regulations</w:t>
      </w:r>
    </w:p>
    <w:tbl>
      <w:tblPr>
        <w:tblStyle w:val="TableGrid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1260"/>
        <w:gridCol w:w="4732"/>
      </w:tblGrid>
      <w:tr w:rsidR="00F46DED" w:rsidRPr="00B377CD" w:rsidTr="00F46DED">
        <w:trPr>
          <w:jc w:val="center"/>
        </w:trPr>
        <w:tc>
          <w:tcPr>
            <w:tcW w:w="630" w:type="dxa"/>
            <w:shd w:val="clear" w:color="auto" w:fill="8EAADB" w:themeFill="accent1" w:themeFillTint="99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377CD">
              <w:rPr>
                <w:rStyle w:val="Strong"/>
                <w:rFonts w:cs="Times New Roman"/>
                <w:color w:val="262626"/>
                <w:sz w:val="20"/>
                <w:szCs w:val="20"/>
              </w:rPr>
              <w:t>Year</w:t>
            </w:r>
          </w:p>
        </w:tc>
        <w:tc>
          <w:tcPr>
            <w:tcW w:w="1440" w:type="dxa"/>
            <w:shd w:val="clear" w:color="auto" w:fill="8EAADB" w:themeFill="accent1" w:themeFillTint="99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377CD">
              <w:rPr>
                <w:rStyle w:val="Strong"/>
                <w:rFonts w:cs="Times New Roman"/>
                <w:color w:val="262626"/>
                <w:sz w:val="20"/>
                <w:szCs w:val="20"/>
              </w:rPr>
              <w:t>Law/Regulation</w:t>
            </w:r>
          </w:p>
        </w:tc>
        <w:tc>
          <w:tcPr>
            <w:tcW w:w="1440" w:type="dxa"/>
            <w:shd w:val="clear" w:color="auto" w:fill="8EAADB" w:themeFill="accent1" w:themeFillTint="99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377CD">
              <w:rPr>
                <w:rStyle w:val="Strong"/>
                <w:rFonts w:cs="Times New Roman"/>
                <w:color w:val="262626"/>
                <w:sz w:val="20"/>
                <w:szCs w:val="20"/>
              </w:rPr>
              <w:t>Purpose</w:t>
            </w:r>
          </w:p>
        </w:tc>
        <w:tc>
          <w:tcPr>
            <w:tcW w:w="1260" w:type="dxa"/>
            <w:shd w:val="clear" w:color="auto" w:fill="8EAADB" w:themeFill="accent1" w:themeFillTint="99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B377CD">
              <w:rPr>
                <w:rStyle w:val="Strong"/>
                <w:rFonts w:cs="Times New Roman"/>
                <w:color w:val="262626"/>
                <w:sz w:val="20"/>
                <w:szCs w:val="20"/>
              </w:rPr>
              <w:t>Significance</w:t>
            </w:r>
          </w:p>
        </w:tc>
        <w:tc>
          <w:tcPr>
            <w:tcW w:w="4732" w:type="dxa"/>
            <w:shd w:val="clear" w:color="auto" w:fill="8EAADB" w:themeFill="accent1" w:themeFillTint="99"/>
            <w:vAlign w:val="center"/>
          </w:tcPr>
          <w:p w:rsidR="00B377CD" w:rsidRDefault="00B377CD" w:rsidP="00681109">
            <w:pPr>
              <w:spacing w:before="0" w:after="0"/>
              <w:jc w:val="center"/>
              <w:rPr>
                <w:rStyle w:val="Strong"/>
                <w:rFonts w:cs="Times New Roman"/>
                <w:color w:val="262626"/>
                <w:sz w:val="20"/>
                <w:szCs w:val="20"/>
              </w:rPr>
            </w:pPr>
          </w:p>
          <w:p w:rsidR="00B377CD" w:rsidRDefault="00B377CD" w:rsidP="00681109">
            <w:pPr>
              <w:spacing w:before="0" w:after="0"/>
              <w:jc w:val="center"/>
              <w:rPr>
                <w:rStyle w:val="Strong"/>
                <w:rFonts w:cs="Times New Roman"/>
                <w:color w:val="262626"/>
                <w:sz w:val="20"/>
                <w:szCs w:val="20"/>
              </w:rPr>
            </w:pPr>
            <w:r w:rsidRPr="00B377CD">
              <w:rPr>
                <w:rStyle w:val="Strong"/>
                <w:rFonts w:cs="Times New Roman"/>
                <w:color w:val="262626"/>
                <w:sz w:val="20"/>
                <w:szCs w:val="20"/>
              </w:rPr>
              <w:t>Orientations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1947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732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Territorial Waters and Maritime Zones Act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Defines territorial waters and exclusive economic zone (EEZ)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Establishes jurisdiction over marine resources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Government of Pakistan. 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(1976). </w:t>
            </w: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The Territorial Waters and Maritime Zones Act, 1976</w:t>
            </w:r>
            <w:r w:rsidRPr="00F46DED">
              <w:rPr>
                <w:rStyle w:val="Emphasis"/>
              </w:rPr>
              <w:t>.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Sindh Fisheries Ordinance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Regulates fisheries in the Sindh province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Promotes sustainable fishing practices in the region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Government of Pakistan. 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(1983).</w:t>
            </w:r>
            <w:r w:rsidRPr="00B377CD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Pakistan Marine Fisheries Ordinance</w:t>
            </w:r>
            <w:r w:rsidRPr="00F46DED">
              <w:rPr>
                <w:rStyle w:val="Emphasis"/>
              </w:rPr>
              <w:t>.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1983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Pakistan Marine Fisheries Ordinance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Regulates fishing activities, licensing, and </w:t>
            </w: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conservation of fish stocks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It aims to prevent overfishing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Khan, M. A. (2010). 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Marine Resource Management in Pakistan: Challenges and Opportunities</w:t>
            </w:r>
            <w:r w:rsidRPr="00F46DED">
              <w:rPr>
                <w:rStyle w:val="Emphasis"/>
              </w:rPr>
              <w:t>.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1994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Pakistan Maritime Security Agency Act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Establishes PMSA for maritime law enforcement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Enhances security in maritime zones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Pakistan Maritime Security Agency. </w:t>
            </w:r>
          </w:p>
          <w:p w:rsidR="00B377CD" w:rsidRPr="00F46DED" w:rsidRDefault="00B377CD" w:rsidP="00681109">
            <w:pPr>
              <w:spacing w:before="0" w:after="0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(2020). </w:t>
            </w: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Annual Report on Maritime Security and Fisheries Management</w:t>
            </w:r>
            <w:r w:rsidRPr="00F46DED">
              <w:rPr>
                <w:rFonts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https://dgps.gov.pk/SiteImage/Misc/files/Year%20Book%202020-21.pdf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Pakistan Environmental Protection Act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Provides a framework for environmental protection, including marine ecosystems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Ensures sustainable development and conservation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Government of Pakistan. 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(1997). </w:t>
            </w: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Pakistan Environmental Protection Act</w:t>
            </w:r>
            <w:r w:rsidRPr="00F46DED">
              <w:rPr>
                <w:rStyle w:val="Emphasis"/>
              </w:rPr>
              <w:t>.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Merchant Shipping Ordinance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Regulates shipping, navigation, and maritime safety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Aligns with international maritime conventions</w:t>
            </w:r>
          </w:p>
        </w:tc>
        <w:tc>
          <w:tcPr>
            <w:tcW w:w="4732" w:type="dxa"/>
            <w:vAlign w:val="center"/>
          </w:tcPr>
          <w:p w:rsid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Ali, S. </w:t>
            </w:r>
          </w:p>
          <w:p w:rsid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(2015). </w:t>
            </w:r>
            <w:r w:rsidR="00B377CD" w:rsidRPr="00B377CD">
              <w:rPr>
                <w:rFonts w:cs="Times New Roman"/>
                <w:color w:val="000000" w:themeColor="text1"/>
                <w:sz w:val="20"/>
                <w:szCs w:val="20"/>
              </w:rPr>
              <w:t>The Legal Framework for Marine Fis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heries Management in Pakistan.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Journal of Marine Policy</w:t>
            </w:r>
            <w:r w:rsidRPr="00F46DED">
              <w:rPr>
                <w:rStyle w:val="Emphasis"/>
              </w:rPr>
              <w:t>.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https://shippingoffice.gov.pk/pdfs/MSO-2001-UPDATED.pdf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National Climate Change Policy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Addresses impacts of climate change on marine and coastal environments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Enhances resilience and adaptive capacity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Nationa</w:t>
            </w:r>
            <w:r w:rsidR="00F46DED">
              <w:rPr>
                <w:rFonts w:cs="Times New Roman"/>
                <w:color w:val="000000" w:themeColor="text1"/>
                <w:sz w:val="20"/>
                <w:szCs w:val="20"/>
              </w:rPr>
              <w:t xml:space="preserve">l Climate Change Policy </w:t>
            </w:r>
          </w:p>
          <w:p w:rsidR="00B377CD" w:rsidRPr="00B377C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). </w:t>
            </w:r>
            <w:r w:rsidR="00B377CD" w:rsidRPr="00B377CD">
              <w:rPr>
                <w:rFonts w:cs="Times New Roman"/>
                <w:color w:val="000000" w:themeColor="text1"/>
                <w:sz w:val="20"/>
                <w:szCs w:val="20"/>
              </w:rPr>
              <w:t>Government of Pakistan of Climate Change Islamabad, Pakistan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Marine Pollution (Prevention and Control) Act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Addresses marine pollution from ships and land-based sources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Implements measures to protect marine ecosystems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World Bank.</w:t>
            </w:r>
          </w:p>
          <w:p w:rsidR="00B377CD" w:rsidRPr="00B377C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(2019). </w:t>
            </w:r>
            <w:r w:rsidR="00B377CD" w:rsidRPr="00B377CD">
              <w:rPr>
                <w:rFonts w:cs="Times New Roman"/>
                <w:color w:val="000000" w:themeColor="text1"/>
                <w:sz w:val="20"/>
                <w:szCs w:val="20"/>
              </w:rPr>
              <w:t>Pakistan: Marine Fi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sheries and Coastal Management.</w:t>
            </w:r>
          </w:p>
        </w:tc>
      </w:tr>
      <w:tr w:rsidR="00B377CD" w:rsidRPr="00B377CD" w:rsidTr="00F46DED">
        <w:trPr>
          <w:jc w:val="center"/>
        </w:trPr>
        <w:tc>
          <w:tcPr>
            <w:tcW w:w="63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Ongoing developments (e.g., alignment with UNCLOS)</w:t>
            </w:r>
          </w:p>
        </w:tc>
        <w:tc>
          <w:tcPr>
            <w:tcW w:w="144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Continuous efforts for sustainable fisheries management and marine biodiversity conservation</w:t>
            </w:r>
          </w:p>
        </w:tc>
        <w:tc>
          <w:tcPr>
            <w:tcW w:w="1260" w:type="dxa"/>
            <w:vAlign w:val="center"/>
          </w:tcPr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Reflects commitment to international maritime laws</w:t>
            </w:r>
          </w:p>
        </w:tc>
        <w:tc>
          <w:tcPr>
            <w:tcW w:w="4732" w:type="dxa"/>
            <w:vAlign w:val="center"/>
          </w:tcPr>
          <w:p w:rsidR="00F46DE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 xml:space="preserve">United Nations. </w:t>
            </w:r>
          </w:p>
          <w:p w:rsidR="00B377CD" w:rsidRPr="00B377CD" w:rsidRDefault="00B377C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377CD">
              <w:rPr>
                <w:rFonts w:cs="Times New Roman"/>
                <w:color w:val="000000" w:themeColor="text1"/>
                <w:sz w:val="20"/>
                <w:szCs w:val="20"/>
              </w:rPr>
              <w:t>(1982). </w:t>
            </w:r>
            <w:r w:rsidRPr="00F46DED">
              <w:rPr>
                <w:rStyle w:val="Emphasis"/>
                <w:rFonts w:cs="Times New Roman"/>
                <w:i w:val="0"/>
                <w:color w:val="000000" w:themeColor="text1"/>
                <w:sz w:val="20"/>
                <w:szCs w:val="20"/>
              </w:rPr>
              <w:t>United Nations Convention on the Law of the Sea (UNCLOS)</w:t>
            </w:r>
            <w:r w:rsidRPr="00F46DED">
              <w:rPr>
                <w:rStyle w:val="Emphasis"/>
              </w:rPr>
              <w:t>.</w:t>
            </w:r>
          </w:p>
        </w:tc>
      </w:tr>
      <w:tr w:rsidR="00B377CD" w:rsidRPr="00B377CD" w:rsidTr="00F46DED">
        <w:trPr>
          <w:jc w:val="center"/>
        </w:trPr>
        <w:tc>
          <w:tcPr>
            <w:tcW w:w="9502" w:type="dxa"/>
            <w:gridSpan w:val="5"/>
          </w:tcPr>
          <w:p w:rsidR="00B377CD" w:rsidRPr="00F46DED" w:rsidRDefault="00B377CD" w:rsidP="00F46D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eastAsia="Cambria"/>
                <w:b w:val="0"/>
                <w:sz w:val="18"/>
                <w:szCs w:val="18"/>
              </w:rPr>
            </w:pPr>
            <w:r w:rsidRPr="00F46DED">
              <w:rPr>
                <w:rStyle w:val="Strong"/>
                <w:rFonts w:eastAsia="Cambria"/>
                <w:sz w:val="18"/>
                <w:szCs w:val="18"/>
              </w:rPr>
              <w:t>Source:</w:t>
            </w:r>
            <w:r w:rsidRPr="00F46DED">
              <w:rPr>
                <w:rStyle w:val="Strong"/>
                <w:rFonts w:eastAsia="Cambria"/>
                <w:b w:val="0"/>
                <w:sz w:val="18"/>
                <w:szCs w:val="18"/>
              </w:rPr>
              <w:t xml:space="preserve">  Table of materials collected by the Government of Pakistan, ministries, official UNCLOS documents, and the World Bank.</w:t>
            </w:r>
          </w:p>
        </w:tc>
      </w:tr>
    </w:tbl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sz w:val="20"/>
          <w:szCs w:val="20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sz w:val="20"/>
          <w:szCs w:val="20"/>
        </w:rPr>
      </w:pPr>
    </w:p>
    <w:p w:rsidR="00F46DED" w:rsidRDefault="00F46DED" w:rsidP="00F46DED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Style w:val="Strong"/>
          <w:rFonts w:eastAsia="Cambria"/>
          <w:color w:val="000000" w:themeColor="text1"/>
          <w:sz w:val="20"/>
          <w:szCs w:val="20"/>
        </w:rPr>
      </w:pPr>
      <w:r w:rsidRPr="00BE12F2">
        <w:rPr>
          <w:rStyle w:val="Strong"/>
          <w:rFonts w:eastAsia="Cambria"/>
          <w:color w:val="000000" w:themeColor="text1"/>
          <w:sz w:val="20"/>
          <w:szCs w:val="20"/>
        </w:rPr>
        <w:lastRenderedPageBreak/>
        <w:t>Table 6.</w:t>
      </w:r>
      <w:r w:rsidRPr="00D32B22">
        <w:rPr>
          <w:rStyle w:val="Strong"/>
          <w:rFonts w:eastAsia="Cambria"/>
          <w:color w:val="000000" w:themeColor="text1"/>
          <w:sz w:val="20"/>
          <w:szCs w:val="20"/>
        </w:rPr>
        <w:t xml:space="preserve"> </w:t>
      </w:r>
      <w:r w:rsidRPr="00A92DAF">
        <w:rPr>
          <w:rStyle w:val="Strong"/>
          <w:rFonts w:eastAsia="Cambria"/>
          <w:b w:val="0"/>
          <w:color w:val="000000" w:themeColor="text1"/>
          <w:sz w:val="20"/>
          <w:szCs w:val="20"/>
        </w:rPr>
        <w:t>The Global Governance</w:t>
      </w:r>
      <w:r>
        <w:rPr>
          <w:rStyle w:val="Strong"/>
          <w:rFonts w:eastAsia="Cambria"/>
          <w:color w:val="000000" w:themeColor="text1"/>
          <w:sz w:val="20"/>
          <w:szCs w:val="20"/>
        </w:rPr>
        <w:t xml:space="preserve"> </w:t>
      </w:r>
      <w:r w:rsidRPr="000651B4">
        <w:rPr>
          <w:rStyle w:val="Strong"/>
          <w:rFonts w:eastAsia="Cambria"/>
          <w:b w:val="0"/>
          <w:color w:val="000000" w:themeColor="text1"/>
          <w:sz w:val="20"/>
          <w:szCs w:val="20"/>
        </w:rPr>
        <w:t xml:space="preserve">of </w:t>
      </w:r>
      <w:r>
        <w:rPr>
          <w:rStyle w:val="Strong"/>
          <w:rFonts w:eastAsia="Cambria"/>
          <w:b w:val="0"/>
          <w:color w:val="000000" w:themeColor="text1"/>
          <w:sz w:val="20"/>
          <w:szCs w:val="20"/>
        </w:rPr>
        <w:t xml:space="preserve">the </w:t>
      </w:r>
      <w:r w:rsidRPr="000651B4">
        <w:rPr>
          <w:rStyle w:val="Strong"/>
          <w:rFonts w:eastAsia="Cambria"/>
          <w:b w:val="0"/>
          <w:color w:val="000000" w:themeColor="text1"/>
          <w:sz w:val="20"/>
          <w:szCs w:val="20"/>
        </w:rPr>
        <w:t xml:space="preserve">United </w:t>
      </w:r>
      <w:r>
        <w:rPr>
          <w:rStyle w:val="Strong"/>
          <w:rFonts w:eastAsia="Cambria"/>
          <w:b w:val="0"/>
          <w:color w:val="000000" w:themeColor="text1"/>
          <w:sz w:val="20"/>
          <w:szCs w:val="20"/>
        </w:rPr>
        <w:t>Nations</w:t>
      </w:r>
      <w:r>
        <w:rPr>
          <w:rStyle w:val="Strong"/>
          <w:rFonts w:eastAsia="Cambria"/>
          <w:color w:val="000000" w:themeColor="text1"/>
          <w:sz w:val="20"/>
          <w:szCs w:val="20"/>
        </w:rPr>
        <w:t xml:space="preserve"> </w:t>
      </w:r>
    </w:p>
    <w:p w:rsidR="00F46DED" w:rsidRPr="00B47BF7" w:rsidRDefault="00F46DED" w:rsidP="00F46D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eastAsia="Cambria"/>
          <w:color w:val="000000" w:themeColor="text1"/>
          <w:sz w:val="20"/>
          <w:szCs w:val="20"/>
        </w:rPr>
      </w:pPr>
    </w:p>
    <w:tbl>
      <w:tblPr>
        <w:tblStyle w:val="TableGrid"/>
        <w:tblW w:w="9450" w:type="dxa"/>
        <w:tblInd w:w="-545" w:type="dxa"/>
        <w:tblLook w:val="04A0" w:firstRow="1" w:lastRow="0" w:firstColumn="1" w:lastColumn="0" w:noHBand="0" w:noVBand="1"/>
      </w:tblPr>
      <w:tblGrid>
        <w:gridCol w:w="900"/>
        <w:gridCol w:w="3229"/>
        <w:gridCol w:w="3791"/>
        <w:gridCol w:w="1530"/>
      </w:tblGrid>
      <w:tr w:rsidR="00F46DED" w:rsidRPr="00B47BF7" w:rsidTr="00F46DED">
        <w:tc>
          <w:tcPr>
            <w:tcW w:w="900" w:type="dxa"/>
            <w:shd w:val="clear" w:color="auto" w:fill="8EAADB" w:themeFill="accent1" w:themeFillTint="99"/>
            <w:vAlign w:val="center"/>
          </w:tcPr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7094">
              <w:rPr>
                <w:rFonts w:cs="Times New Roman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229" w:type="dxa"/>
            <w:shd w:val="clear" w:color="auto" w:fill="8EAADB" w:themeFill="accent1" w:themeFillTint="99"/>
            <w:vAlign w:val="center"/>
          </w:tcPr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7094">
              <w:rPr>
                <w:rFonts w:cs="Times New Roman"/>
                <w:b/>
                <w:color w:val="000000" w:themeColor="text1"/>
                <w:sz w:val="20"/>
                <w:szCs w:val="20"/>
              </w:rPr>
              <w:t>Framework/Document</w:t>
            </w:r>
          </w:p>
        </w:tc>
        <w:tc>
          <w:tcPr>
            <w:tcW w:w="3791" w:type="dxa"/>
            <w:shd w:val="clear" w:color="auto" w:fill="8EAADB" w:themeFill="accent1" w:themeFillTint="99"/>
            <w:vAlign w:val="center"/>
          </w:tcPr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87094">
              <w:rPr>
                <w:rFonts w:cs="Times New Roman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8EAADB" w:themeFill="accent1" w:themeFillTint="99"/>
            <w:vAlign w:val="center"/>
          </w:tcPr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187094">
              <w:rPr>
                <w:rFonts w:cs="Times New Roman"/>
                <w:b/>
                <w:color w:val="000000" w:themeColor="text1"/>
                <w:sz w:val="20"/>
                <w:szCs w:val="20"/>
              </w:rPr>
              <w:t>Orientation</w:t>
            </w:r>
          </w:p>
          <w:p w:rsidR="00F46DED" w:rsidRPr="00187094" w:rsidRDefault="00F46DED" w:rsidP="00F46DED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Millennium Declaration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Established global commitments to sustainable development.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World Summit on Sustainable Development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Resulted in the Johannesburg Plan of Implementation, emphasizing sustainable development.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UN Convention on Biological Diversity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Focused on conservation and sustainable use of biological diversity.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CBD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Aichi Biodiversity Targets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Set global biodiversity targets for 2020 to enhance ecosystem protection.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CBD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Paris Agreement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International treaty to combat climate change and limit global warming to below 2°C.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UNFCCC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2030 Agenda for Sustainable Development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A global framework to end poverty while protecting the planet, including 17 Sustainable Development Goals (SDGs).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United Nations Environment Assembly (UNEA)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Promotes global environmental governance and sustainable development.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UNA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Global Pact for the Environment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It aims to strengthen international environmental law and promote sustainable development.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</w:t>
              </w:r>
            </w:hyperlink>
          </w:p>
        </w:tc>
      </w:tr>
      <w:tr w:rsidR="00F46DED" w:rsidRPr="00B47BF7" w:rsidTr="00F46DED">
        <w:tc>
          <w:tcPr>
            <w:tcW w:w="90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Fonts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3229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6DED">
              <w:rPr>
                <w:rStyle w:val="Strong"/>
                <w:b w:val="0"/>
                <w:color w:val="000000" w:themeColor="text1"/>
                <w:sz w:val="18"/>
                <w:szCs w:val="18"/>
              </w:rPr>
              <w:t>UN Climate Change Conference (COP26)</w:t>
            </w:r>
          </w:p>
        </w:tc>
        <w:tc>
          <w:tcPr>
            <w:tcW w:w="3791" w:type="dxa"/>
            <w:vAlign w:val="center"/>
          </w:tcPr>
          <w:p w:rsidR="00F46DED" w:rsidRPr="00BE12F2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12F2">
              <w:rPr>
                <w:rFonts w:cs="Times New Roman"/>
                <w:color w:val="000000" w:themeColor="text1"/>
                <w:sz w:val="16"/>
                <w:szCs w:val="16"/>
              </w:rPr>
              <w:t>Focused on global climate action, reinforcing commitments from the Paris Agreement.</w:t>
            </w:r>
          </w:p>
        </w:tc>
        <w:tc>
          <w:tcPr>
            <w:tcW w:w="1530" w:type="dxa"/>
            <w:vAlign w:val="center"/>
          </w:tcPr>
          <w:p w:rsidR="00F46DED" w:rsidRPr="00F46DED" w:rsidRDefault="00F46DED" w:rsidP="00681109">
            <w:pPr>
              <w:spacing w:before="0"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F46DED">
                <w:rPr>
                  <w:rStyle w:val="Hyperlink"/>
                  <w:rFonts w:cs="Times New Roman"/>
                  <w:color w:val="000000" w:themeColor="text1"/>
                  <w:sz w:val="16"/>
                  <w:szCs w:val="16"/>
                  <w:u w:val="none"/>
                </w:rPr>
                <w:t>UNFCCC</w:t>
              </w:r>
            </w:hyperlink>
          </w:p>
        </w:tc>
      </w:tr>
      <w:tr w:rsidR="00F46DED" w:rsidTr="00F46DED">
        <w:tc>
          <w:tcPr>
            <w:tcW w:w="9450" w:type="dxa"/>
            <w:gridSpan w:val="4"/>
          </w:tcPr>
          <w:p w:rsidR="00F46DED" w:rsidRPr="00F46DED" w:rsidRDefault="00DD7C12" w:rsidP="00DD7C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eastAsia="Cambria"/>
                <w:b w:val="0"/>
                <w:sz w:val="18"/>
                <w:szCs w:val="18"/>
              </w:rPr>
            </w:pPr>
            <w:r w:rsidRPr="00F46DED">
              <w:rPr>
                <w:rStyle w:val="Strong"/>
                <w:rFonts w:eastAsia="Cambria"/>
                <w:sz w:val="18"/>
                <w:szCs w:val="18"/>
              </w:rPr>
              <w:t>S</w:t>
            </w:r>
            <w:r>
              <w:rPr>
                <w:rStyle w:val="Strong"/>
                <w:rFonts w:eastAsia="Cambria"/>
                <w:sz w:val="18"/>
                <w:szCs w:val="18"/>
              </w:rPr>
              <w:t>ource</w:t>
            </w:r>
            <w:r w:rsidR="00F46DED" w:rsidRPr="00F46DED">
              <w:rPr>
                <w:rStyle w:val="Strong"/>
                <w:rFonts w:eastAsia="Cambria"/>
                <w:sz w:val="18"/>
                <w:szCs w:val="18"/>
              </w:rPr>
              <w:t xml:space="preserve">: </w:t>
            </w:r>
            <w:r w:rsidR="00F46DED">
              <w:rPr>
                <w:rStyle w:val="Strong"/>
                <w:rFonts w:eastAsia="Cambria"/>
                <w:b w:val="0"/>
                <w:sz w:val="18"/>
                <w:szCs w:val="18"/>
              </w:rPr>
              <w:t>All</w:t>
            </w:r>
            <w:r w:rsidR="00F46DED" w:rsidRPr="00F46DED">
              <w:rPr>
                <w:rStyle w:val="Strong"/>
                <w:rFonts w:eastAsia="Cambria"/>
                <w:b w:val="0"/>
                <w:sz w:val="18"/>
                <w:szCs w:val="18"/>
              </w:rPr>
              <w:t xml:space="preserve"> datasets by the UN can be accessed through the official link https://www.un.org/en/observances/biological-diversity-day/convention</w:t>
            </w:r>
          </w:p>
        </w:tc>
      </w:tr>
    </w:tbl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b w:val="0"/>
          <w:sz w:val="22"/>
          <w:szCs w:val="22"/>
        </w:rPr>
      </w:pPr>
      <w:r w:rsidRPr="00D365EF">
        <w:rPr>
          <w:noProof/>
          <w:color w:val="FF0000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6FEBCD0F" wp14:editId="4426BD26">
            <wp:simplePos x="0" y="0"/>
            <wp:positionH relativeFrom="margin">
              <wp:align>center</wp:align>
            </wp:positionH>
            <wp:positionV relativeFrom="paragraph">
              <wp:posOffset>489494</wp:posOffset>
            </wp:positionV>
            <wp:extent cx="5440680" cy="3395980"/>
            <wp:effectExtent l="247650" t="266700" r="236220" b="261620"/>
            <wp:wrapThrough wrapText="bothSides">
              <wp:wrapPolygon edited="0">
                <wp:start x="454" y="-1696"/>
                <wp:lineTo x="-983" y="-1454"/>
                <wp:lineTo x="-908" y="21931"/>
                <wp:lineTo x="0" y="22901"/>
                <wp:lineTo x="76" y="23143"/>
                <wp:lineTo x="21403" y="23143"/>
                <wp:lineTo x="21479" y="22901"/>
                <wp:lineTo x="22387" y="21931"/>
                <wp:lineTo x="22462" y="242"/>
                <wp:lineTo x="21176" y="-1454"/>
                <wp:lineTo x="21025" y="-1696"/>
                <wp:lineTo x="454" y="-169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3959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CB8">
        <w:rPr>
          <w:rStyle w:val="Strong"/>
          <w:rFonts w:eastAsia="Cambria"/>
          <w:sz w:val="22"/>
          <w:szCs w:val="22"/>
        </w:rPr>
        <w:t xml:space="preserve">Figure 1: </w:t>
      </w:r>
      <w:r w:rsidRPr="00706CB8">
        <w:rPr>
          <w:rStyle w:val="Strong"/>
          <w:rFonts w:eastAsia="Cambria"/>
          <w:b w:val="0"/>
          <w:sz w:val="22"/>
          <w:szCs w:val="22"/>
        </w:rPr>
        <w:t>Describes the Main Research Tasks and Knowledge</w:t>
      </w: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b w:val="0"/>
          <w:sz w:val="22"/>
          <w:szCs w:val="22"/>
        </w:rPr>
      </w:pPr>
    </w:p>
    <w:p w:rsidR="001175DA" w:rsidRP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b w:val="0"/>
          <w:sz w:val="22"/>
          <w:szCs w:val="22"/>
        </w:rPr>
      </w:pPr>
      <w:r w:rsidRPr="00706CB8">
        <w:rPr>
          <w:rStyle w:val="Strong"/>
          <w:rFonts w:eastAsia="Cambria"/>
          <w:color w:val="000000" w:themeColor="text1"/>
          <w:sz w:val="22"/>
          <w:szCs w:val="22"/>
        </w:rPr>
        <w:t>Figure 2</w:t>
      </w:r>
      <w:r w:rsidRPr="00706CB8">
        <w:rPr>
          <w:rStyle w:val="Strong"/>
          <w:rFonts w:eastAsia="Cambria"/>
          <w:b w:val="0"/>
          <w:color w:val="000000" w:themeColor="text1"/>
          <w:sz w:val="22"/>
          <w:szCs w:val="22"/>
        </w:rPr>
        <w:t>.  The study emphasizes the research approach and highlights the principal elements of the investigation</w:t>
      </w: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mbria"/>
          <w:color w:val="000000" w:themeColor="text1"/>
        </w:rPr>
      </w:pPr>
      <w:r w:rsidRPr="00FA035B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7F296C30" wp14:editId="732870EF">
            <wp:simplePos x="0" y="0"/>
            <wp:positionH relativeFrom="column">
              <wp:posOffset>135709</wp:posOffset>
            </wp:positionH>
            <wp:positionV relativeFrom="paragraph">
              <wp:posOffset>436971</wp:posOffset>
            </wp:positionV>
            <wp:extent cx="4996180" cy="3321050"/>
            <wp:effectExtent l="228600" t="228600" r="223520" b="2222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3210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5DA" w:rsidRPr="00706CB8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b w:val="0"/>
          <w:color w:val="00B0F0"/>
          <w:sz w:val="22"/>
          <w:szCs w:val="22"/>
        </w:rPr>
      </w:pPr>
      <w:r>
        <w:rPr>
          <w:rStyle w:val="Strong"/>
          <w:rFonts w:eastAsia="Cambria"/>
          <w:b w:val="0"/>
          <w:bCs w:val="0"/>
          <w:noProof/>
          <w:color w:val="00B0F0"/>
          <w:sz w:val="22"/>
          <w:szCs w:val="22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3CC4FCA3" wp14:editId="6C1CE0C3">
            <wp:simplePos x="0" y="0"/>
            <wp:positionH relativeFrom="column">
              <wp:posOffset>70304</wp:posOffset>
            </wp:positionH>
            <wp:positionV relativeFrom="paragraph">
              <wp:posOffset>484233</wp:posOffset>
            </wp:positionV>
            <wp:extent cx="5117465" cy="3395980"/>
            <wp:effectExtent l="1028700" t="114300" r="121285" b="185420"/>
            <wp:wrapTight wrapText="bothSides">
              <wp:wrapPolygon edited="0">
                <wp:start x="-482" y="-727"/>
                <wp:lineTo x="-482" y="15025"/>
                <wp:lineTo x="-4342" y="15025"/>
                <wp:lineTo x="-4342" y="18902"/>
                <wp:lineTo x="-2975" y="18902"/>
                <wp:lineTo x="-2975" y="20841"/>
                <wp:lineTo x="-1528" y="20841"/>
                <wp:lineTo x="-1528" y="21810"/>
                <wp:lineTo x="-241" y="22658"/>
                <wp:lineTo x="21469" y="22658"/>
                <wp:lineTo x="21549" y="22416"/>
                <wp:lineTo x="22032" y="20962"/>
                <wp:lineTo x="22032" y="-727"/>
                <wp:lineTo x="-482" y="-727"/>
              </wp:wrapPolygon>
            </wp:wrapTight>
            <wp:docPr id="5" name="Picture 5" descr="C:\Users\Owner\AppData\Local\Microsoft\Windows\INetCache\Content.MSO\4F2E81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4F2E81A2.t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339598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CB8">
        <w:rPr>
          <w:rStyle w:val="Strong"/>
          <w:rFonts w:eastAsia="Cambria"/>
          <w:color w:val="000000" w:themeColor="text1"/>
          <w:sz w:val="22"/>
          <w:szCs w:val="22"/>
        </w:rPr>
        <w:t xml:space="preserve">Figure 3. </w:t>
      </w:r>
      <w:r w:rsidRPr="00706CB8">
        <w:rPr>
          <w:rStyle w:val="Strong"/>
          <w:rFonts w:eastAsia="Cambria"/>
          <w:b w:val="0"/>
          <w:color w:val="000000" w:themeColor="text1"/>
          <w:sz w:val="22"/>
          <w:szCs w:val="22"/>
        </w:rPr>
        <w:t xml:space="preserve">Transformations in Land Use and Agricultural Development </w:t>
      </w: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1175DA" w:rsidRDefault="001175DA" w:rsidP="001175D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="Cambria"/>
          <w:color w:val="00B0F0"/>
          <w:sz w:val="22"/>
          <w:szCs w:val="22"/>
        </w:rPr>
      </w:pPr>
    </w:p>
    <w:p w:rsidR="00AD71BA" w:rsidRPr="001175DA" w:rsidRDefault="00AD71BA" w:rsidP="001175DA"/>
    <w:sectPr w:rsidR="00AD71BA" w:rsidRPr="0011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MzYyMjE2MDexsDBS0lEKTi0uzszPAykwrAUA9nSlOSwAAAA="/>
  </w:docVars>
  <w:rsids>
    <w:rsidRoot w:val="002409FB"/>
    <w:rsid w:val="00003C79"/>
    <w:rsid w:val="00032920"/>
    <w:rsid w:val="001175DA"/>
    <w:rsid w:val="002409FB"/>
    <w:rsid w:val="00584385"/>
    <w:rsid w:val="00787CF5"/>
    <w:rsid w:val="00953F6A"/>
    <w:rsid w:val="00AD71BA"/>
    <w:rsid w:val="00B06C07"/>
    <w:rsid w:val="00B377CD"/>
    <w:rsid w:val="00BD4552"/>
    <w:rsid w:val="00CC34DB"/>
    <w:rsid w:val="00DD7C12"/>
    <w:rsid w:val="00F46DED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51F1E"/>
  <w15:chartTrackingRefBased/>
  <w15:docId w15:val="{7BD460EE-0416-4074-8317-54A37C4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8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584385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8438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58438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58438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8438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4385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584385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rsid w:val="00584385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58438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8438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8438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8438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8438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58438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5843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438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87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" TargetMode="External"/><Relationship Id="rId13" Type="http://schemas.openxmlformats.org/officeDocument/2006/relationships/hyperlink" Target="https://www.cepal.org/en/escazu-agreement" TargetMode="External"/><Relationship Id="rId18" Type="http://schemas.openxmlformats.org/officeDocument/2006/relationships/hyperlink" Target="https://www.un.org/millennium/declaration/ares552e.htm" TargetMode="External"/><Relationship Id="rId26" Type="http://schemas.openxmlformats.org/officeDocument/2006/relationships/hyperlink" Target="https://ukcop26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d.int/sp/targets/" TargetMode="External"/><Relationship Id="rId7" Type="http://schemas.openxmlformats.org/officeDocument/2006/relationships/hyperlink" Target="https://www.pops.int/" TargetMode="External"/><Relationship Id="rId12" Type="http://schemas.openxmlformats.org/officeDocument/2006/relationships/hyperlink" Target="https://www.mercuryconvention.org/" TargetMode="External"/><Relationship Id="rId17" Type="http://schemas.openxmlformats.org/officeDocument/2006/relationships/hyperlink" Target="https://www.un.org/bbnj/" TargetMode="External"/><Relationship Id="rId25" Type="http://schemas.openxmlformats.org/officeDocument/2006/relationships/hyperlink" Target="https://www.un.org/en/ga/search/view_doc.asp?symbol=A/73/4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d.int/gbf/" TargetMode="External"/><Relationship Id="rId20" Type="http://schemas.openxmlformats.org/officeDocument/2006/relationships/hyperlink" Target="https://www.cbd.int/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mee.gov.cn/" TargetMode="External"/><Relationship Id="rId11" Type="http://schemas.openxmlformats.org/officeDocument/2006/relationships/hyperlink" Target="https://unfccc.int/paris-agreement" TargetMode="External"/><Relationship Id="rId24" Type="http://schemas.openxmlformats.org/officeDocument/2006/relationships/hyperlink" Target="https://www.unep.org/environmentassembly" TargetMode="External"/><Relationship Id="rId5" Type="http://schemas.openxmlformats.org/officeDocument/2006/relationships/hyperlink" Target="https://www.epa.gov/laws-regulations/summary-clean-water-act" TargetMode="External"/><Relationship Id="rId15" Type="http://schemas.openxmlformats.org/officeDocument/2006/relationships/hyperlink" Target="https://www.cbd.int/article/kunming-declaration" TargetMode="External"/><Relationship Id="rId23" Type="http://schemas.openxmlformats.org/officeDocument/2006/relationships/hyperlink" Target="https://sdgs.un.org/2030agenda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cbd.int/abs/" TargetMode="External"/><Relationship Id="rId19" Type="http://schemas.openxmlformats.org/officeDocument/2006/relationships/hyperlink" Target="https://www.un.org/esa/sustdev/documents/WSSD_POI_PD/English/POI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fccc.int/kyoto_protocol" TargetMode="External"/><Relationship Id="rId14" Type="http://schemas.openxmlformats.org/officeDocument/2006/relationships/hyperlink" Target="https://www.un.org/en/climatechange/" TargetMode="External"/><Relationship Id="rId22" Type="http://schemas.openxmlformats.org/officeDocument/2006/relationships/hyperlink" Target="https://unfccc.int/process-and-meetings/the-paris-agreement/the-paris-agreement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1755</Words>
  <Characters>12080</Characters>
  <Application>Microsoft Office Word</Application>
  <DocSecurity>0</DocSecurity>
  <Lines>862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2025-02-04T21:40:00Z</dcterms:created>
  <dcterms:modified xsi:type="dcterms:W3CDTF">2025-03-21T21:06:00Z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0d11248c8658b280ec661dd8d1df4fb85943e02c855c64f427c7ffd7759e22fc</vt:lpwstr>
  </property>
</Properties>
</file>