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6BE14C49" w14:textId="4B9753EA" w:rsidR="00EF4C72" w:rsidRPr="00081F28" w:rsidRDefault="00EF4C72" w:rsidP="00081F28">
      <w:pPr>
        <w:pStyle w:val="Heading1"/>
      </w:pPr>
      <w:r w:rsidRPr="00081F28">
        <w:rPr>
          <w:bCs/>
        </w:rPr>
        <w:t>Supplemental Materials and Methods</w:t>
      </w:r>
    </w:p>
    <w:p w14:paraId="75B5DE02" w14:textId="77777777" w:rsidR="00EF4C72" w:rsidRDefault="00EF4C72" w:rsidP="00EF4C72">
      <w:pPr>
        <w:spacing w:before="0" w:after="0" w:line="480" w:lineRule="auto"/>
        <w:jc w:val="both"/>
        <w:rPr>
          <w:rFonts w:cs="Times New Roman"/>
          <w:b/>
          <w:bCs/>
          <w:szCs w:val="24"/>
        </w:rPr>
      </w:pPr>
      <w:r w:rsidRPr="001F56BB">
        <w:rPr>
          <w:rFonts w:cs="Times New Roman"/>
          <w:b/>
          <w:bCs/>
          <w:szCs w:val="24"/>
        </w:rPr>
        <w:t>Genotyping</w:t>
      </w:r>
    </w:p>
    <w:p w14:paraId="3CD78E67" w14:textId="51B707DF" w:rsidR="00EF4C72" w:rsidRPr="00EF4C72" w:rsidRDefault="00EF4C72" w:rsidP="00EF4C72">
      <w:pPr>
        <w:spacing w:before="0" w:after="0" w:line="480" w:lineRule="auto"/>
        <w:jc w:val="both"/>
        <w:rPr>
          <w:rFonts w:cs="Times New Roman"/>
          <w:b/>
          <w:bCs/>
          <w:szCs w:val="24"/>
        </w:rPr>
      </w:pPr>
      <w:r w:rsidRPr="001F56BB">
        <w:rPr>
          <w:rFonts w:cs="Times New Roman"/>
          <w:szCs w:val="24"/>
        </w:rPr>
        <w:t xml:space="preserve">Genotyping of </w:t>
      </w:r>
      <w:r w:rsidRPr="001F56BB">
        <w:rPr>
          <w:rFonts w:cs="Times New Roman"/>
          <w:i/>
          <w:iCs/>
          <w:szCs w:val="24"/>
        </w:rPr>
        <w:t>Cd11c</w:t>
      </w:r>
      <w:r w:rsidRPr="001F56BB">
        <w:rPr>
          <w:rFonts w:cs="Times New Roman"/>
          <w:i/>
          <w:iCs/>
          <w:szCs w:val="24"/>
          <w:vertAlign w:val="superscript"/>
        </w:rPr>
        <w:t>Cre</w:t>
      </w:r>
      <w:r w:rsidRPr="001F56BB">
        <w:rPr>
          <w:rFonts w:cs="Times New Roman"/>
          <w:szCs w:val="24"/>
        </w:rPr>
        <w:t xml:space="preserve"> and </w:t>
      </w:r>
      <w:proofErr w:type="spellStart"/>
      <w:r w:rsidRPr="001F56BB">
        <w:rPr>
          <w:rFonts w:cs="Times New Roman"/>
          <w:i/>
          <w:iCs/>
          <w:szCs w:val="24"/>
        </w:rPr>
        <w:t>Dicer</w:t>
      </w:r>
      <w:r w:rsidRPr="001F56BB">
        <w:rPr>
          <w:rFonts w:cs="Times New Roman"/>
          <w:i/>
          <w:iCs/>
          <w:szCs w:val="24"/>
          <w:vertAlign w:val="superscript"/>
        </w:rPr>
        <w:t>fl</w:t>
      </w:r>
      <w:proofErr w:type="spellEnd"/>
      <w:r w:rsidRPr="001F56BB">
        <w:rPr>
          <w:rFonts w:cs="Times New Roman"/>
          <w:i/>
          <w:iCs/>
          <w:szCs w:val="24"/>
          <w:vertAlign w:val="superscript"/>
        </w:rPr>
        <w:t>/</w:t>
      </w:r>
      <w:proofErr w:type="spellStart"/>
      <w:r w:rsidRPr="001F56BB">
        <w:rPr>
          <w:rFonts w:cs="Times New Roman"/>
          <w:i/>
          <w:iCs/>
          <w:szCs w:val="24"/>
          <w:vertAlign w:val="superscript"/>
        </w:rPr>
        <w:t>fl</w:t>
      </w:r>
      <w:proofErr w:type="spellEnd"/>
      <w:r w:rsidRPr="001F56BB">
        <w:rPr>
          <w:rFonts w:cs="Times New Roman"/>
          <w:szCs w:val="24"/>
        </w:rPr>
        <w:t xml:space="preserve"> mice was performed in adherence to the standard PCR-based procedure. The following primers were used for each mouse strain: </w:t>
      </w:r>
      <w:r w:rsidRPr="001F56BB">
        <w:rPr>
          <w:rFonts w:cs="Times New Roman"/>
          <w:i/>
          <w:iCs/>
          <w:szCs w:val="24"/>
        </w:rPr>
        <w:t>Cd11c</w:t>
      </w:r>
      <w:r w:rsidRPr="001F56BB">
        <w:rPr>
          <w:rFonts w:cs="Times New Roman"/>
          <w:i/>
          <w:iCs/>
          <w:szCs w:val="24"/>
          <w:vertAlign w:val="superscript"/>
        </w:rPr>
        <w:t>Cre</w:t>
      </w:r>
      <w:r w:rsidRPr="001F56BB">
        <w:rPr>
          <w:rFonts w:cs="Times New Roman"/>
          <w:szCs w:val="24"/>
        </w:rPr>
        <w:t xml:space="preserve">: forward 5′-ACTTGGCAGCTGTCTCCAAG-3′ and reverse 5′-GCGAACATCTTCAGGTTCTG-3′; </w:t>
      </w:r>
      <w:proofErr w:type="spellStart"/>
      <w:r w:rsidRPr="001F56BB">
        <w:rPr>
          <w:rFonts w:cs="Times New Roman"/>
          <w:i/>
          <w:iCs/>
          <w:szCs w:val="24"/>
        </w:rPr>
        <w:t>Dicer</w:t>
      </w:r>
      <w:r w:rsidRPr="001F56BB">
        <w:rPr>
          <w:rFonts w:cs="Times New Roman"/>
          <w:i/>
          <w:iCs/>
          <w:szCs w:val="24"/>
          <w:vertAlign w:val="superscript"/>
        </w:rPr>
        <w:t>fl</w:t>
      </w:r>
      <w:proofErr w:type="spellEnd"/>
      <w:r w:rsidRPr="001F56BB">
        <w:rPr>
          <w:rFonts w:cs="Times New Roman"/>
          <w:i/>
          <w:iCs/>
          <w:szCs w:val="24"/>
          <w:vertAlign w:val="superscript"/>
        </w:rPr>
        <w:t>/</w:t>
      </w:r>
      <w:proofErr w:type="spellStart"/>
      <w:r w:rsidRPr="001F56BB">
        <w:rPr>
          <w:rFonts w:cs="Times New Roman"/>
          <w:i/>
          <w:iCs/>
          <w:szCs w:val="24"/>
          <w:vertAlign w:val="superscript"/>
        </w:rPr>
        <w:t>fl</w:t>
      </w:r>
      <w:proofErr w:type="spellEnd"/>
      <w:r w:rsidRPr="001F56BB">
        <w:rPr>
          <w:rFonts w:cs="Times New Roman"/>
          <w:szCs w:val="24"/>
        </w:rPr>
        <w:t xml:space="preserve">: forward 5′-CCTGACAGTGACGGTCCAAAG-3′ and reverse 5′-CATGACTCTTCAACTCAAACT-3′. The </w:t>
      </w:r>
      <w:proofErr w:type="spellStart"/>
      <w:r w:rsidRPr="001F56BB">
        <w:rPr>
          <w:rFonts w:cs="Times New Roman"/>
          <w:szCs w:val="24"/>
        </w:rPr>
        <w:t>floxed</w:t>
      </w:r>
      <w:proofErr w:type="spellEnd"/>
      <w:r w:rsidRPr="001F56BB">
        <w:rPr>
          <w:rFonts w:cs="Times New Roman"/>
          <w:szCs w:val="24"/>
        </w:rPr>
        <w:t xml:space="preserve"> allele of </w:t>
      </w:r>
      <w:proofErr w:type="spellStart"/>
      <w:r w:rsidRPr="001F56BB">
        <w:rPr>
          <w:rFonts w:cs="Times New Roman"/>
          <w:i/>
          <w:iCs/>
          <w:szCs w:val="24"/>
        </w:rPr>
        <w:t>Dicer</w:t>
      </w:r>
      <w:r w:rsidRPr="001F56BB">
        <w:rPr>
          <w:rFonts w:cs="Times New Roman"/>
          <w:i/>
          <w:iCs/>
          <w:szCs w:val="24"/>
          <w:vertAlign w:val="superscript"/>
        </w:rPr>
        <w:t>fl</w:t>
      </w:r>
      <w:proofErr w:type="spellEnd"/>
      <w:r w:rsidRPr="001F56BB">
        <w:rPr>
          <w:rFonts w:cs="Times New Roman"/>
          <w:i/>
          <w:iCs/>
          <w:szCs w:val="24"/>
          <w:vertAlign w:val="superscript"/>
        </w:rPr>
        <w:t>/</w:t>
      </w:r>
      <w:proofErr w:type="spellStart"/>
      <w:r w:rsidRPr="001F56BB">
        <w:rPr>
          <w:rFonts w:cs="Times New Roman"/>
          <w:i/>
          <w:iCs/>
          <w:szCs w:val="24"/>
          <w:vertAlign w:val="superscript"/>
        </w:rPr>
        <w:t>fl</w:t>
      </w:r>
      <w:proofErr w:type="spellEnd"/>
      <w:r w:rsidRPr="001F56BB">
        <w:rPr>
          <w:rFonts w:cs="Times New Roman"/>
          <w:szCs w:val="24"/>
        </w:rPr>
        <w:t xml:space="preserve"> mice generated a 420bp PCR product while the wild type allele created a 351bp PCR product.</w:t>
      </w:r>
    </w:p>
    <w:p w14:paraId="7F427B6F" w14:textId="77777777" w:rsidR="00EF4C72" w:rsidRPr="001F56BB" w:rsidRDefault="00EF4C72" w:rsidP="00EF4C72">
      <w:pPr>
        <w:spacing w:before="0" w:after="0" w:line="480" w:lineRule="auto"/>
        <w:jc w:val="both"/>
        <w:rPr>
          <w:rFonts w:cs="Times New Roman"/>
          <w:b/>
          <w:bCs/>
          <w:szCs w:val="24"/>
        </w:rPr>
      </w:pPr>
      <w:r w:rsidRPr="001F56BB">
        <w:rPr>
          <w:rFonts w:cs="Times New Roman"/>
          <w:b/>
          <w:bCs/>
          <w:szCs w:val="24"/>
        </w:rPr>
        <w:t>Tissue preparation</w:t>
      </w:r>
    </w:p>
    <w:p w14:paraId="34864D1B" w14:textId="77777777" w:rsidR="00EF4C72" w:rsidRPr="001F56BB" w:rsidRDefault="00EF4C72" w:rsidP="00EF4C72">
      <w:pPr>
        <w:spacing w:before="0" w:after="0" w:line="480" w:lineRule="auto"/>
        <w:jc w:val="both"/>
        <w:rPr>
          <w:rFonts w:cs="Times New Roman"/>
          <w:szCs w:val="24"/>
        </w:rPr>
      </w:pPr>
      <w:r w:rsidRPr="001F56BB">
        <w:rPr>
          <w:rFonts w:cs="Times New Roman"/>
          <w:szCs w:val="24"/>
        </w:rPr>
        <w:t>Two weeks following bleomycin injury, mice were sacrificed by CO</w:t>
      </w:r>
      <w:r w:rsidRPr="001F56BB">
        <w:rPr>
          <w:rFonts w:cs="Times New Roman"/>
          <w:szCs w:val="24"/>
          <w:vertAlign w:val="subscript"/>
        </w:rPr>
        <w:t>2</w:t>
      </w:r>
      <w:r w:rsidRPr="001F56BB">
        <w:rPr>
          <w:rFonts w:cs="Times New Roman"/>
          <w:szCs w:val="24"/>
        </w:rPr>
        <w:t xml:space="preserve"> inhalation and a standard bronchoalveolar lavage was performed. Briefly, the trachea was </w:t>
      </w:r>
      <w:proofErr w:type="gramStart"/>
      <w:r w:rsidRPr="001F56BB">
        <w:rPr>
          <w:rFonts w:cs="Times New Roman"/>
          <w:szCs w:val="24"/>
        </w:rPr>
        <w:t>exposed</w:t>
      </w:r>
      <w:proofErr w:type="gramEnd"/>
      <w:r w:rsidRPr="001F56BB">
        <w:rPr>
          <w:rFonts w:cs="Times New Roman"/>
          <w:szCs w:val="24"/>
        </w:rPr>
        <w:t xml:space="preserve"> and a small incision was made to allow catheter placement. The catheter, attached to a 1 mL syringe loaded with 1 mL of 1× PBS, was inserted 0.5 cm into the trachea, and the PBS was injected into the lungs. The solution was aspirated and re-injected for a total of 3 times, then collected. The samples were then centrifuged at 450 × g for 7 min at 4 ºC. The supernatant was frozen at -80 ºC for ELISA assay, and erythrocytes were lysed by incubation in 0.83% NH</w:t>
      </w:r>
      <w:r w:rsidRPr="001F56BB">
        <w:rPr>
          <w:rFonts w:cs="Times New Roman"/>
          <w:szCs w:val="24"/>
          <w:vertAlign w:val="subscript"/>
        </w:rPr>
        <w:t>4</w:t>
      </w:r>
      <w:r w:rsidRPr="001F56BB">
        <w:rPr>
          <w:rFonts w:cs="Times New Roman"/>
          <w:szCs w:val="24"/>
        </w:rPr>
        <w:t>Cl buffer for 4 min at room temperature.</w:t>
      </w:r>
    </w:p>
    <w:p w14:paraId="49F9D352" w14:textId="77777777" w:rsidR="00EF4C72" w:rsidRPr="001F56BB" w:rsidRDefault="00EF4C72" w:rsidP="00EF4C72">
      <w:pPr>
        <w:spacing w:before="0" w:after="0" w:line="480" w:lineRule="auto"/>
        <w:jc w:val="both"/>
        <w:rPr>
          <w:rFonts w:cs="Times New Roman"/>
          <w:szCs w:val="24"/>
        </w:rPr>
      </w:pPr>
      <w:r>
        <w:rPr>
          <w:rFonts w:cs="Times New Roman"/>
          <w:szCs w:val="24"/>
        </w:rPr>
        <w:t>L</w:t>
      </w:r>
      <w:r w:rsidRPr="001F56BB">
        <w:rPr>
          <w:rFonts w:cs="Times New Roman"/>
          <w:szCs w:val="24"/>
        </w:rPr>
        <w:t>ungs were perfused with 1× PBS and harvested for H&amp;E and trichome staining, hydroxyproline and protein quantification, RNA extraction, and flow cytometry. For flow cytometry, samples were minced into small pieces and incubated in PBS containing 1 mg/mL collagenase D (Roche, Basel, Switzerland), 0.01% DNase I (Worthington Biochemical Corp., Lakewood, NJ), and 3% FBS (</w:t>
      </w:r>
      <w:proofErr w:type="spellStart"/>
      <w:r w:rsidRPr="001F56BB">
        <w:rPr>
          <w:rFonts w:cs="Times New Roman"/>
          <w:szCs w:val="24"/>
        </w:rPr>
        <w:t>Hyclone</w:t>
      </w:r>
      <w:proofErr w:type="spellEnd"/>
      <w:r w:rsidRPr="001F56BB">
        <w:rPr>
          <w:rFonts w:cs="Times New Roman"/>
          <w:szCs w:val="24"/>
        </w:rPr>
        <w:t xml:space="preserve">, San Angelo, TX) for 45 min at 37 °C, then passed through a 70 µm cell strainer. Erythrocytes </w:t>
      </w:r>
      <w:r w:rsidRPr="001F56BB">
        <w:rPr>
          <w:rFonts w:cs="Times New Roman"/>
          <w:szCs w:val="24"/>
        </w:rPr>
        <w:lastRenderedPageBreak/>
        <w:t>were lysed by incubation in 0.83% NH</w:t>
      </w:r>
      <w:r w:rsidRPr="001F56BB">
        <w:rPr>
          <w:rFonts w:cs="Times New Roman"/>
          <w:szCs w:val="24"/>
          <w:vertAlign w:val="subscript"/>
        </w:rPr>
        <w:t>4</w:t>
      </w:r>
      <w:r w:rsidRPr="001F56BB">
        <w:rPr>
          <w:rFonts w:cs="Times New Roman"/>
          <w:szCs w:val="24"/>
        </w:rPr>
        <w:t xml:space="preserve">Cl buffer for 4 min at room temperature, then passed through a 40 µm cell strainer. </w:t>
      </w:r>
    </w:p>
    <w:p w14:paraId="22188C25" w14:textId="77777777" w:rsidR="00EF4C72" w:rsidRPr="001F56BB" w:rsidRDefault="00EF4C72" w:rsidP="00EF4C72">
      <w:pPr>
        <w:spacing w:before="0" w:after="0" w:line="480" w:lineRule="auto"/>
        <w:jc w:val="both"/>
        <w:rPr>
          <w:rFonts w:cs="Times New Roman"/>
          <w:b/>
          <w:bCs/>
          <w:szCs w:val="24"/>
        </w:rPr>
      </w:pPr>
      <w:r w:rsidRPr="001F56BB">
        <w:rPr>
          <w:rFonts w:cs="Times New Roman"/>
          <w:b/>
          <w:bCs/>
          <w:szCs w:val="24"/>
        </w:rPr>
        <w:t>Flow cytometry and cell sorting</w:t>
      </w:r>
    </w:p>
    <w:p w14:paraId="22C52782" w14:textId="77777777" w:rsidR="00EF4C72" w:rsidRPr="001F56BB" w:rsidRDefault="00EF4C72" w:rsidP="00EF4C72">
      <w:pPr>
        <w:spacing w:before="0" w:after="0" w:line="480" w:lineRule="auto"/>
        <w:jc w:val="both"/>
        <w:rPr>
          <w:rFonts w:cs="Times New Roman"/>
          <w:szCs w:val="24"/>
        </w:rPr>
      </w:pPr>
      <w:r w:rsidRPr="001F56BB">
        <w:rPr>
          <w:rFonts w:cs="Times New Roman"/>
          <w:szCs w:val="24"/>
        </w:rPr>
        <w:t>Single-cell suspensions were centrifuged at 450 × g for 7 min at 4 ºC and resuspended in ice-cold staining buffer (1× PBS containing 2% FBS). Cells were incubated with purified anti-</w:t>
      </w:r>
      <w:proofErr w:type="spellStart"/>
      <w:r w:rsidRPr="001F56BB">
        <w:rPr>
          <w:rFonts w:cs="Times New Roman"/>
          <w:szCs w:val="24"/>
        </w:rPr>
        <w:t>FcγRII</w:t>
      </w:r>
      <w:proofErr w:type="spellEnd"/>
      <w:r w:rsidRPr="001F56BB">
        <w:rPr>
          <w:rFonts w:cs="Times New Roman"/>
          <w:szCs w:val="24"/>
        </w:rPr>
        <w:t xml:space="preserve">/III antibody (clone 2.4G2) for 15 min at 4 °C, then incubated with a mixture of fluorescent surface antibodies for 30 min at 4 °C. A full list of antibodies used can be found in the Supplemental Table 6. Stained cells were analyzed by flow cytometry using the BD </w:t>
      </w:r>
      <w:proofErr w:type="spellStart"/>
      <w:r w:rsidRPr="001F56BB">
        <w:rPr>
          <w:rFonts w:cs="Times New Roman"/>
          <w:szCs w:val="24"/>
        </w:rPr>
        <w:t>FACSCelesta</w:t>
      </w:r>
      <w:proofErr w:type="spellEnd"/>
      <w:r w:rsidRPr="001F56BB">
        <w:rPr>
          <w:rFonts w:cs="Times New Roman"/>
          <w:szCs w:val="24"/>
        </w:rPr>
        <w:t xml:space="preserve">™ flow cytometer in coordination with the BD </w:t>
      </w:r>
      <w:proofErr w:type="spellStart"/>
      <w:r w:rsidRPr="001F56BB">
        <w:rPr>
          <w:rFonts w:cs="Times New Roman"/>
          <w:szCs w:val="24"/>
        </w:rPr>
        <w:t>FACSDiva</w:t>
      </w:r>
      <w:proofErr w:type="spellEnd"/>
      <w:r w:rsidRPr="001F56BB">
        <w:rPr>
          <w:rFonts w:cs="Times New Roman"/>
          <w:szCs w:val="24"/>
        </w:rPr>
        <w:t xml:space="preserve"> software v.8.0.2 (BD Biosciences). Data were analyzed using </w:t>
      </w:r>
      <w:proofErr w:type="spellStart"/>
      <w:r w:rsidRPr="001F56BB">
        <w:rPr>
          <w:rFonts w:cs="Times New Roman"/>
          <w:szCs w:val="24"/>
        </w:rPr>
        <w:t>FlowJo</w:t>
      </w:r>
      <w:proofErr w:type="spellEnd"/>
      <w:r w:rsidRPr="001F56BB">
        <w:rPr>
          <w:rFonts w:cs="Times New Roman"/>
          <w:szCs w:val="24"/>
        </w:rPr>
        <w:t xml:space="preserve"> software v.10.5.3 (BD Biosciences). TR-AMs (CD45</w:t>
      </w:r>
      <w:r w:rsidRPr="001F56BB">
        <w:rPr>
          <w:rFonts w:cs="Times New Roman"/>
          <w:szCs w:val="24"/>
          <w:vertAlign w:val="superscript"/>
        </w:rPr>
        <w:t>+</w:t>
      </w:r>
      <w:r w:rsidRPr="001F56BB">
        <w:rPr>
          <w:rFonts w:cs="Times New Roman"/>
          <w:color w:val="000000" w:themeColor="text1"/>
          <w:szCs w:val="24"/>
        </w:rPr>
        <w:t>CD64</w:t>
      </w:r>
      <w:r w:rsidRPr="001F56BB">
        <w:rPr>
          <w:rFonts w:cs="Times New Roman"/>
          <w:color w:val="000000" w:themeColor="text1"/>
          <w:szCs w:val="24"/>
          <w:vertAlign w:val="superscript"/>
        </w:rPr>
        <w:t>+</w:t>
      </w:r>
      <w:r w:rsidRPr="001F56BB">
        <w:rPr>
          <w:rFonts w:cs="Times New Roman"/>
          <w:szCs w:val="24"/>
        </w:rPr>
        <w:t>Siglec-F</w:t>
      </w:r>
      <w:r w:rsidRPr="001F56BB">
        <w:rPr>
          <w:rFonts w:cs="Times New Roman"/>
          <w:szCs w:val="24"/>
          <w:vertAlign w:val="superscript"/>
        </w:rPr>
        <w:t>hi</w:t>
      </w:r>
      <w:r w:rsidRPr="001F56BB">
        <w:rPr>
          <w:rFonts w:cs="Times New Roman"/>
          <w:szCs w:val="24"/>
        </w:rPr>
        <w:t>CD11b</w:t>
      </w:r>
      <w:r w:rsidRPr="001F56BB">
        <w:rPr>
          <w:rFonts w:cs="Times New Roman"/>
          <w:szCs w:val="24"/>
          <w:vertAlign w:val="superscript"/>
        </w:rPr>
        <w:t>lo</w:t>
      </w:r>
      <w:r w:rsidRPr="001F56BB">
        <w:rPr>
          <w:rFonts w:cs="Times New Roman"/>
          <w:szCs w:val="24"/>
        </w:rPr>
        <w:t>) and Mo-AMs (CD45</w:t>
      </w:r>
      <w:r w:rsidRPr="001F56BB">
        <w:rPr>
          <w:rFonts w:cs="Times New Roman"/>
          <w:szCs w:val="24"/>
          <w:vertAlign w:val="superscript"/>
        </w:rPr>
        <w:t>+</w:t>
      </w:r>
      <w:r w:rsidRPr="001F56BB">
        <w:rPr>
          <w:rFonts w:cs="Times New Roman"/>
          <w:color w:val="000000" w:themeColor="text1"/>
          <w:szCs w:val="24"/>
        </w:rPr>
        <w:t>CD64</w:t>
      </w:r>
      <w:r w:rsidRPr="001F56BB">
        <w:rPr>
          <w:rFonts w:cs="Times New Roman"/>
          <w:color w:val="000000" w:themeColor="text1"/>
          <w:szCs w:val="24"/>
          <w:vertAlign w:val="superscript"/>
        </w:rPr>
        <w:t>+</w:t>
      </w:r>
      <w:r w:rsidRPr="001F56BB">
        <w:rPr>
          <w:rFonts w:cs="Times New Roman"/>
          <w:szCs w:val="24"/>
        </w:rPr>
        <w:t>Siglec-F</w:t>
      </w:r>
      <w:r w:rsidRPr="001F56BB">
        <w:rPr>
          <w:rFonts w:cs="Times New Roman"/>
          <w:szCs w:val="24"/>
          <w:vertAlign w:val="superscript"/>
        </w:rPr>
        <w:t>lo</w:t>
      </w:r>
      <w:r w:rsidRPr="001F56BB">
        <w:rPr>
          <w:rFonts w:cs="Times New Roman"/>
          <w:szCs w:val="24"/>
        </w:rPr>
        <w:t>CD11b</w:t>
      </w:r>
      <w:r w:rsidRPr="001F56BB">
        <w:rPr>
          <w:rFonts w:cs="Times New Roman"/>
          <w:szCs w:val="24"/>
          <w:vertAlign w:val="superscript"/>
        </w:rPr>
        <w:t>hi</w:t>
      </w:r>
      <w:r w:rsidRPr="001F56BB">
        <w:rPr>
          <w:rFonts w:cs="Times New Roman"/>
          <w:szCs w:val="24"/>
        </w:rPr>
        <w:t xml:space="preserve">) from bleomycin-treated mice were sorted using the BD </w:t>
      </w:r>
      <w:proofErr w:type="spellStart"/>
      <w:r w:rsidRPr="001F56BB">
        <w:rPr>
          <w:rFonts w:cs="Times New Roman"/>
          <w:szCs w:val="24"/>
        </w:rPr>
        <w:t>FACSAria</w:t>
      </w:r>
      <w:proofErr w:type="spellEnd"/>
      <w:r w:rsidRPr="001F56BB">
        <w:rPr>
          <w:rFonts w:cs="Times New Roman"/>
          <w:szCs w:val="24"/>
        </w:rPr>
        <w:t xml:space="preserve">™ II cell sorter in coordination with the BD </w:t>
      </w:r>
      <w:proofErr w:type="spellStart"/>
      <w:r w:rsidRPr="001F56BB">
        <w:rPr>
          <w:rFonts w:cs="Times New Roman"/>
          <w:szCs w:val="24"/>
        </w:rPr>
        <w:t>FACSDiva</w:t>
      </w:r>
      <w:proofErr w:type="spellEnd"/>
      <w:r w:rsidRPr="001F56BB">
        <w:rPr>
          <w:rFonts w:cs="Times New Roman"/>
          <w:szCs w:val="24"/>
        </w:rPr>
        <w:t xml:space="preserve"> software. The purity of the isolated populations was &gt;95%.</w:t>
      </w:r>
    </w:p>
    <w:p w14:paraId="3200AC05" w14:textId="77777777" w:rsidR="00EF4C72" w:rsidRPr="001F56BB" w:rsidRDefault="00EF4C72" w:rsidP="00EF4C72">
      <w:pPr>
        <w:spacing w:before="0" w:after="0" w:line="480" w:lineRule="auto"/>
        <w:jc w:val="both"/>
        <w:rPr>
          <w:rFonts w:cs="Times New Roman"/>
          <w:b/>
          <w:bCs/>
          <w:szCs w:val="24"/>
        </w:rPr>
      </w:pPr>
      <w:r w:rsidRPr="001F56BB">
        <w:rPr>
          <w:rFonts w:cs="Times New Roman"/>
          <w:b/>
          <w:bCs/>
          <w:szCs w:val="24"/>
        </w:rPr>
        <w:t>RNA extraction and quantitative RT-PCR</w:t>
      </w:r>
    </w:p>
    <w:p w14:paraId="5ED3FC41" w14:textId="77777777" w:rsidR="00EF4C72" w:rsidRPr="001F56BB" w:rsidRDefault="00EF4C72" w:rsidP="00EF4C72">
      <w:pPr>
        <w:spacing w:before="0" w:after="0" w:line="480" w:lineRule="auto"/>
        <w:jc w:val="both"/>
        <w:rPr>
          <w:rFonts w:cs="Times New Roman"/>
          <w:szCs w:val="24"/>
        </w:rPr>
      </w:pPr>
      <w:r w:rsidRPr="001F56BB">
        <w:rPr>
          <w:rFonts w:cs="Times New Roman"/>
          <w:szCs w:val="24"/>
        </w:rPr>
        <w:t xml:space="preserve">Total RNA was extracted from purified AM cells using the </w:t>
      </w:r>
      <w:proofErr w:type="spellStart"/>
      <w:r w:rsidRPr="001F56BB">
        <w:rPr>
          <w:rFonts w:cs="Times New Roman"/>
          <w:szCs w:val="24"/>
        </w:rPr>
        <w:t>miRNeasy</w:t>
      </w:r>
      <w:proofErr w:type="spellEnd"/>
      <w:r w:rsidRPr="001F56BB">
        <w:rPr>
          <w:rFonts w:cs="Times New Roman"/>
          <w:szCs w:val="24"/>
        </w:rPr>
        <w:t xml:space="preserve"> Mini Kit (QIAGEN) and was reverse transcribed to cDNA using the </w:t>
      </w:r>
      <w:proofErr w:type="spellStart"/>
      <w:r w:rsidRPr="001F56BB">
        <w:rPr>
          <w:rFonts w:cs="Times New Roman"/>
          <w:szCs w:val="24"/>
        </w:rPr>
        <w:t>miRCURY</w:t>
      </w:r>
      <w:proofErr w:type="spellEnd"/>
      <w:r w:rsidRPr="001F56BB">
        <w:rPr>
          <w:rFonts w:cs="Times New Roman"/>
          <w:szCs w:val="24"/>
        </w:rPr>
        <w:t xml:space="preserve"> LNA™ RT Kit (QIAGEN). Quantitative real-time PCR reactions were prepared using </w:t>
      </w:r>
      <w:proofErr w:type="spellStart"/>
      <w:r w:rsidRPr="001F56BB">
        <w:rPr>
          <w:rFonts w:cs="Times New Roman"/>
          <w:szCs w:val="24"/>
        </w:rPr>
        <w:t>miRCURY</w:t>
      </w:r>
      <w:proofErr w:type="spellEnd"/>
      <w:r w:rsidRPr="001F56BB">
        <w:rPr>
          <w:rFonts w:cs="Times New Roman"/>
          <w:szCs w:val="24"/>
        </w:rPr>
        <w:t xml:space="preserve"> LNA SYBR Green PCR Kit (QIAGEN) and were performed using the </w:t>
      </w:r>
      <w:proofErr w:type="spellStart"/>
      <w:r w:rsidRPr="001F56BB">
        <w:rPr>
          <w:rFonts w:cs="Times New Roman"/>
          <w:szCs w:val="24"/>
        </w:rPr>
        <w:t>QuantStudio</w:t>
      </w:r>
      <w:proofErr w:type="spellEnd"/>
      <w:r w:rsidRPr="001F56BB">
        <w:rPr>
          <w:rFonts w:cs="Times New Roman"/>
          <w:szCs w:val="24"/>
        </w:rPr>
        <w:t xml:space="preserve"> 7 Flex Real-Time PCR System (Applied Biosystems). Data were collected using the </w:t>
      </w:r>
      <w:proofErr w:type="spellStart"/>
      <w:r w:rsidRPr="001F56BB">
        <w:rPr>
          <w:rFonts w:cs="Times New Roman"/>
          <w:szCs w:val="24"/>
        </w:rPr>
        <w:t>QuantStudio</w:t>
      </w:r>
      <w:proofErr w:type="spellEnd"/>
      <w:r w:rsidRPr="001F56BB">
        <w:rPr>
          <w:rFonts w:cs="Times New Roman"/>
          <w:szCs w:val="24"/>
        </w:rPr>
        <w:t xml:space="preserve"> 7 Flex Real-Time PCR System software v.1.2 (Applied Biosystems) and were analyzed using Microsoft Excel 2016 (Microsoft, Redmond, Washington).  </w:t>
      </w:r>
      <w:r w:rsidRPr="001F56BB">
        <w:rPr>
          <w:rFonts w:cs="Times New Roman"/>
          <w:color w:val="000000" w:themeColor="text1"/>
          <w:szCs w:val="24"/>
        </w:rPr>
        <w:t xml:space="preserve">U6 primers were purchased from </w:t>
      </w:r>
      <w:proofErr w:type="spellStart"/>
      <w:r w:rsidRPr="001F56BB">
        <w:rPr>
          <w:rFonts w:cs="Times New Roman"/>
          <w:color w:val="000000" w:themeColor="text1"/>
          <w:szCs w:val="24"/>
        </w:rPr>
        <w:t>Exiqon</w:t>
      </w:r>
      <w:proofErr w:type="spellEnd"/>
      <w:r w:rsidRPr="001F56BB">
        <w:rPr>
          <w:rFonts w:cs="Times New Roman"/>
          <w:color w:val="000000" w:themeColor="text1"/>
          <w:szCs w:val="24"/>
        </w:rPr>
        <w:t xml:space="preserve"> (product #203907</w:t>
      </w:r>
      <w:proofErr w:type="gramStart"/>
      <w:r w:rsidRPr="001F56BB">
        <w:rPr>
          <w:rFonts w:cs="Times New Roman"/>
          <w:color w:val="000000" w:themeColor="text1"/>
          <w:szCs w:val="24"/>
        </w:rPr>
        <w:t>)</w:t>
      </w:r>
      <w:proofErr w:type="gramEnd"/>
      <w:r w:rsidRPr="001F56BB">
        <w:rPr>
          <w:rFonts w:cs="Times New Roman"/>
          <w:color w:val="000000" w:themeColor="text1"/>
          <w:szCs w:val="24"/>
        </w:rPr>
        <w:t xml:space="preserve"> and all other miRNA primers were purchased from QIAGEN. Relative miRNA expression was normalized to U6 expression. Mouse </w:t>
      </w:r>
      <w:r w:rsidRPr="001F56BB">
        <w:rPr>
          <w:rFonts w:cs="Times New Roman"/>
          <w:i/>
          <w:iCs/>
          <w:color w:val="000000" w:themeColor="text1"/>
          <w:szCs w:val="24"/>
        </w:rPr>
        <w:t>Dicer1</w:t>
      </w:r>
      <w:r w:rsidRPr="001F56BB">
        <w:rPr>
          <w:rFonts w:cs="Times New Roman"/>
          <w:color w:val="000000" w:themeColor="text1"/>
          <w:szCs w:val="24"/>
        </w:rPr>
        <w:t xml:space="preserve"> primers: forward </w:t>
      </w:r>
      <w:r w:rsidRPr="001F56BB">
        <w:rPr>
          <w:rFonts w:cs="Times New Roman"/>
          <w:szCs w:val="24"/>
        </w:rPr>
        <w:t>5’-</w:t>
      </w:r>
      <w:r w:rsidRPr="001F56BB">
        <w:rPr>
          <w:rFonts w:cs="Times New Roman"/>
          <w:color w:val="000000"/>
          <w:szCs w:val="24"/>
        </w:rPr>
        <w:t>AGGACGACTTCCTGGAGTAT</w:t>
      </w:r>
      <w:r w:rsidRPr="001F56BB">
        <w:rPr>
          <w:rFonts w:cs="Times New Roman"/>
          <w:szCs w:val="24"/>
        </w:rPr>
        <w:t>-3’ and reverse 5’-</w:t>
      </w:r>
      <w:r w:rsidRPr="001F56BB">
        <w:rPr>
          <w:rFonts w:cs="Times New Roman"/>
          <w:color w:val="000000"/>
          <w:szCs w:val="24"/>
        </w:rPr>
        <w:t>GAAGGGCGACAGAGAGATTT</w:t>
      </w:r>
      <w:r w:rsidRPr="001F56BB">
        <w:rPr>
          <w:rFonts w:cs="Times New Roman"/>
          <w:szCs w:val="24"/>
        </w:rPr>
        <w:t>-3’</w:t>
      </w:r>
      <w:r w:rsidRPr="001F56BB">
        <w:rPr>
          <w:rFonts w:cs="Times New Roman" w:hint="eastAsia"/>
          <w:szCs w:val="24"/>
        </w:rPr>
        <w:t xml:space="preserve">. </w:t>
      </w:r>
      <w:r w:rsidRPr="001F56BB">
        <w:rPr>
          <w:rFonts w:cs="Times New Roman"/>
          <w:szCs w:val="24"/>
        </w:rPr>
        <w:t xml:space="preserve">Mouse </w:t>
      </w:r>
      <w:proofErr w:type="spellStart"/>
      <w:r w:rsidRPr="001F56BB">
        <w:rPr>
          <w:rFonts w:cs="Times New Roman"/>
          <w:i/>
          <w:iCs/>
          <w:szCs w:val="24"/>
        </w:rPr>
        <w:t>Gapdh</w:t>
      </w:r>
      <w:proofErr w:type="spellEnd"/>
      <w:r w:rsidRPr="001F56BB">
        <w:rPr>
          <w:rFonts w:cs="Times New Roman"/>
          <w:i/>
          <w:iCs/>
          <w:szCs w:val="24"/>
        </w:rPr>
        <w:t xml:space="preserve"> </w:t>
      </w:r>
      <w:r w:rsidRPr="001F56BB">
        <w:rPr>
          <w:rFonts w:cs="Times New Roman"/>
          <w:szCs w:val="24"/>
        </w:rPr>
        <w:t>primers: forward 5’-</w:t>
      </w:r>
      <w:r w:rsidRPr="001F56BB">
        <w:rPr>
          <w:szCs w:val="24"/>
        </w:rPr>
        <w:t xml:space="preserve"> GGTGAAGGTCGGTGTGAACG-3’ and reverse 5’- </w:t>
      </w:r>
      <w:r w:rsidRPr="001F56BB">
        <w:rPr>
          <w:szCs w:val="24"/>
        </w:rPr>
        <w:lastRenderedPageBreak/>
        <w:t xml:space="preserve">TGTAGACCATGTAGTTGAGGTCA-3’. Relative mRNA expression was normalized to GAPDH expression. </w:t>
      </w:r>
    </w:p>
    <w:p w14:paraId="64F8812A" w14:textId="77777777" w:rsidR="00A17BA2" w:rsidRDefault="00654E8F" w:rsidP="00081F28">
      <w:pPr>
        <w:pStyle w:val="Heading1"/>
      </w:pPr>
      <w:r w:rsidRPr="00994A3D">
        <w:t xml:space="preserve">Supplementary Figures </w:t>
      </w:r>
    </w:p>
    <w:p w14:paraId="4916FCC9" w14:textId="3D118A6E" w:rsidR="00994A3D" w:rsidRPr="001549D3" w:rsidRDefault="00A17BA2" w:rsidP="00A17BA2">
      <w:pPr>
        <w:pStyle w:val="Heading1"/>
        <w:numPr>
          <w:ilvl w:val="0"/>
          <w:numId w:val="0"/>
        </w:numPr>
        <w:ind w:left="567"/>
      </w:pPr>
      <w:r>
        <w:rPr>
          <w:noProof/>
        </w:rPr>
        <w:drawing>
          <wp:inline distT="0" distB="0" distL="0" distR="0" wp14:anchorId="46797E4C" wp14:editId="6610E125">
            <wp:extent cx="5379720" cy="1767840"/>
            <wp:effectExtent l="0" t="0" r="0" b="3810"/>
            <wp:docPr id="42856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720" cy="1767840"/>
                    </a:xfrm>
                    <a:prstGeom prst="rect">
                      <a:avLst/>
                    </a:prstGeom>
                    <a:noFill/>
                  </pic:spPr>
                </pic:pic>
              </a:graphicData>
            </a:graphic>
          </wp:inline>
        </w:drawing>
      </w:r>
    </w:p>
    <w:p w14:paraId="11EC8DA1" w14:textId="68FC95F3" w:rsidR="00994A3D" w:rsidRPr="001549D3" w:rsidRDefault="00994A3D" w:rsidP="00994A3D">
      <w:pPr>
        <w:keepNext/>
        <w:jc w:val="center"/>
        <w:rPr>
          <w:rFonts w:cs="Times New Roman"/>
          <w:szCs w:val="24"/>
        </w:rPr>
      </w:pPr>
    </w:p>
    <w:p w14:paraId="1EDD4E73" w14:textId="2CE45CF2" w:rsidR="00EF4C72" w:rsidRPr="00EF4C72" w:rsidRDefault="00EF4C72" w:rsidP="00081F28">
      <w:pPr>
        <w:spacing w:before="240"/>
        <w:jc w:val="both"/>
        <w:rPr>
          <w:rFonts w:cs="Times New Roman"/>
          <w:bCs/>
          <w:szCs w:val="24"/>
        </w:rPr>
      </w:pPr>
      <w:r w:rsidRPr="00EF4C72">
        <w:rPr>
          <w:rFonts w:cs="Times New Roman"/>
          <w:b/>
          <w:bCs/>
          <w:szCs w:val="24"/>
        </w:rPr>
        <w:t>Supplemental Figure 1</w:t>
      </w:r>
      <w:r w:rsidR="00081F28">
        <w:rPr>
          <w:rFonts w:cs="Times New Roman"/>
          <w:b/>
          <w:bCs/>
          <w:szCs w:val="24"/>
        </w:rPr>
        <w:t>.</w:t>
      </w:r>
      <w:r>
        <w:rPr>
          <w:rFonts w:cs="Times New Roman"/>
          <w:b/>
          <w:szCs w:val="24"/>
        </w:rPr>
        <w:t xml:space="preserve"> </w:t>
      </w:r>
      <w:bookmarkStart w:id="0" w:name="_Hlk197696697"/>
      <w:r w:rsidRPr="00EF4C72">
        <w:rPr>
          <w:rFonts w:cs="Times New Roman"/>
          <w:b/>
          <w:bCs/>
          <w:szCs w:val="24"/>
        </w:rPr>
        <w:t>Deletion of Dicer and miRNAs in AMs from CD11c-DicerKO mice.</w:t>
      </w:r>
      <w:r>
        <w:rPr>
          <w:rFonts w:cs="Times New Roman"/>
          <w:b/>
          <w:szCs w:val="24"/>
        </w:rPr>
        <w:t xml:space="preserve"> </w:t>
      </w:r>
      <w:proofErr w:type="gramStart"/>
      <w:r w:rsidRPr="00EF4C72">
        <w:rPr>
          <w:rFonts w:cs="Times New Roman"/>
          <w:bCs/>
          <w:szCs w:val="24"/>
        </w:rPr>
        <w:t xml:space="preserve">( </w:t>
      </w:r>
      <w:bookmarkEnd w:id="0"/>
      <w:r w:rsidRPr="00EF4C72">
        <w:rPr>
          <w:rFonts w:cs="Times New Roman"/>
          <w:bCs/>
          <w:szCs w:val="24"/>
        </w:rPr>
        <w:t>(</w:t>
      </w:r>
      <w:proofErr w:type="gramEnd"/>
      <w:r w:rsidR="00A17BA2">
        <w:rPr>
          <w:rFonts w:cs="Times New Roman"/>
          <w:bCs/>
          <w:szCs w:val="24"/>
        </w:rPr>
        <w:t>A</w:t>
      </w:r>
      <w:r w:rsidRPr="00EF4C72">
        <w:rPr>
          <w:rFonts w:cs="Times New Roman"/>
          <w:bCs/>
          <w:szCs w:val="24"/>
        </w:rPr>
        <w:t xml:space="preserve">) mRNA expression of </w:t>
      </w:r>
      <w:r w:rsidRPr="00EF4C72">
        <w:rPr>
          <w:rFonts w:cs="Times New Roman"/>
          <w:bCs/>
          <w:i/>
          <w:iCs/>
          <w:szCs w:val="24"/>
        </w:rPr>
        <w:t xml:space="preserve">Dicer </w:t>
      </w:r>
      <w:r w:rsidRPr="00EF4C72">
        <w:rPr>
          <w:rFonts w:cs="Times New Roman"/>
          <w:bCs/>
          <w:szCs w:val="24"/>
        </w:rPr>
        <w:t xml:space="preserve">in TR-AMs and Mo-AMs from bleomycin (BLM)-treated WT and </w:t>
      </w:r>
      <w:proofErr w:type="spellStart"/>
      <w:r w:rsidRPr="00EF4C72">
        <w:rPr>
          <w:rFonts w:cs="Times New Roman"/>
          <w:bCs/>
          <w:szCs w:val="24"/>
        </w:rPr>
        <w:t>DicerKO</w:t>
      </w:r>
      <w:proofErr w:type="spellEnd"/>
      <w:r w:rsidRPr="00EF4C72">
        <w:rPr>
          <w:rFonts w:cs="Times New Roman"/>
          <w:bCs/>
          <w:szCs w:val="24"/>
        </w:rPr>
        <w:t xml:space="preserve"> mice analyzed by bulk RNA-seq. (</w:t>
      </w:r>
      <w:r w:rsidR="00A17BA2">
        <w:rPr>
          <w:rFonts w:cs="Times New Roman"/>
          <w:bCs/>
          <w:szCs w:val="24"/>
        </w:rPr>
        <w:t>B</w:t>
      </w:r>
      <w:r w:rsidRPr="00EF4C72">
        <w:rPr>
          <w:rFonts w:cs="Times New Roman"/>
          <w:bCs/>
          <w:szCs w:val="24"/>
        </w:rPr>
        <w:t xml:space="preserve">) Representative miRNA expression in TR-AMs and Mo-AMs from BLM-treated WT and Dicer KO mice analyzed by </w:t>
      </w:r>
      <w:proofErr w:type="spellStart"/>
      <w:r w:rsidRPr="00EF4C72">
        <w:rPr>
          <w:rFonts w:cs="Times New Roman"/>
          <w:bCs/>
          <w:szCs w:val="24"/>
        </w:rPr>
        <w:t>qRT</w:t>
      </w:r>
      <w:proofErr w:type="spellEnd"/>
      <w:r w:rsidRPr="00EF4C72">
        <w:rPr>
          <w:rFonts w:cs="Times New Roman"/>
          <w:bCs/>
          <w:szCs w:val="24"/>
        </w:rPr>
        <w:t xml:space="preserve">-PCR. Bars represent mean ± SEM of biologically independent samples. All </w:t>
      </w:r>
      <w:r w:rsidRPr="00EF4C72">
        <w:rPr>
          <w:rFonts w:cs="Times New Roman"/>
          <w:bCs/>
          <w:i/>
          <w:iCs/>
          <w:szCs w:val="24"/>
        </w:rPr>
        <w:t>P</w:t>
      </w:r>
      <w:r w:rsidRPr="00EF4C72">
        <w:rPr>
          <w:rFonts w:cs="Times New Roman"/>
          <w:bCs/>
          <w:szCs w:val="24"/>
        </w:rPr>
        <w:t xml:space="preserve"> values were obtained by the </w:t>
      </w:r>
      <w:proofErr w:type="gramStart"/>
      <w:r w:rsidRPr="00EF4C72">
        <w:rPr>
          <w:rFonts w:cs="Times New Roman"/>
          <w:bCs/>
          <w:szCs w:val="24"/>
        </w:rPr>
        <w:t>Student’s</w:t>
      </w:r>
      <w:proofErr w:type="gramEnd"/>
      <w:r w:rsidRPr="00EF4C72">
        <w:rPr>
          <w:rFonts w:cs="Times New Roman"/>
          <w:bCs/>
          <w:szCs w:val="24"/>
        </w:rPr>
        <w:t xml:space="preserve"> two-tailed unpaired </w:t>
      </w:r>
      <w:r w:rsidRPr="00EF4C72">
        <w:rPr>
          <w:rFonts w:cs="Times New Roman"/>
          <w:bCs/>
          <w:i/>
          <w:iCs/>
          <w:szCs w:val="24"/>
        </w:rPr>
        <w:t>t</w:t>
      </w:r>
      <w:r w:rsidRPr="00EF4C72">
        <w:rPr>
          <w:rFonts w:cs="Times New Roman"/>
          <w:bCs/>
          <w:szCs w:val="24"/>
        </w:rPr>
        <w:t xml:space="preserve"> test. *</w:t>
      </w:r>
      <w:r w:rsidRPr="00EF4C72">
        <w:rPr>
          <w:rFonts w:cs="Times New Roman"/>
          <w:bCs/>
          <w:i/>
          <w:iCs/>
          <w:szCs w:val="24"/>
        </w:rPr>
        <w:t>P</w:t>
      </w:r>
      <w:r w:rsidRPr="00EF4C72">
        <w:rPr>
          <w:rFonts w:cs="Times New Roman"/>
          <w:bCs/>
          <w:szCs w:val="24"/>
        </w:rPr>
        <w:t xml:space="preserve"> &lt; 0.05. **</w:t>
      </w:r>
      <w:r w:rsidRPr="00EF4C72">
        <w:rPr>
          <w:rFonts w:cs="Times New Roman"/>
          <w:bCs/>
          <w:i/>
          <w:iCs/>
          <w:szCs w:val="24"/>
        </w:rPr>
        <w:t>P</w:t>
      </w:r>
      <w:r w:rsidRPr="00EF4C72">
        <w:rPr>
          <w:rFonts w:cs="Times New Roman"/>
          <w:bCs/>
          <w:szCs w:val="24"/>
        </w:rPr>
        <w:t xml:space="preserve"> &lt; 0.01. </w:t>
      </w:r>
    </w:p>
    <w:p w14:paraId="58F1AED1" w14:textId="1ED8D59E" w:rsidR="00081F28" w:rsidRDefault="00081F28">
      <w:pPr>
        <w:spacing w:before="0" w:after="200" w:line="276" w:lineRule="auto"/>
      </w:pPr>
      <w:r>
        <w:br w:type="page"/>
      </w:r>
    </w:p>
    <w:p w14:paraId="7F87BF2C" w14:textId="1F34D230" w:rsidR="00DE23E8" w:rsidRDefault="00081F28" w:rsidP="00654E8F">
      <w:pPr>
        <w:spacing w:before="240"/>
      </w:pPr>
      <w:r>
        <w:rPr>
          <w:noProof/>
        </w:rPr>
        <w:lastRenderedPageBreak/>
        <w:drawing>
          <wp:inline distT="0" distB="0" distL="0" distR="0" wp14:anchorId="35C741D6" wp14:editId="22B28C67">
            <wp:extent cx="6316208" cy="4763386"/>
            <wp:effectExtent l="0" t="0" r="8890" b="0"/>
            <wp:docPr id="567123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9720" cy="4766035"/>
                    </a:xfrm>
                    <a:prstGeom prst="rect">
                      <a:avLst/>
                    </a:prstGeom>
                    <a:noFill/>
                  </pic:spPr>
                </pic:pic>
              </a:graphicData>
            </a:graphic>
          </wp:inline>
        </w:drawing>
      </w:r>
    </w:p>
    <w:p w14:paraId="2732CF84" w14:textId="77777777" w:rsidR="00081F28" w:rsidRDefault="00081F28" w:rsidP="00654E8F">
      <w:pPr>
        <w:spacing w:before="240"/>
      </w:pPr>
    </w:p>
    <w:p w14:paraId="1331CD02" w14:textId="1ABC3457" w:rsidR="00081F28" w:rsidRDefault="00081F28" w:rsidP="00081F28">
      <w:pPr>
        <w:spacing w:before="240"/>
        <w:jc w:val="both"/>
      </w:pPr>
      <w:r w:rsidRPr="00081F28">
        <w:rPr>
          <w:b/>
          <w:bCs/>
        </w:rPr>
        <w:t>Supplemental Figure 2</w:t>
      </w:r>
      <w:r>
        <w:rPr>
          <w:b/>
          <w:bCs/>
        </w:rPr>
        <w:t>.</w:t>
      </w:r>
      <w:r>
        <w:t xml:space="preserve"> </w:t>
      </w:r>
      <w:r w:rsidRPr="00081F28">
        <w:rPr>
          <w:b/>
          <w:bCs/>
        </w:rPr>
        <w:t xml:space="preserve">Flow cytometry gating strategy for immune cells in BAL and lungs. </w:t>
      </w:r>
      <w:r>
        <w:t xml:space="preserve"> </w:t>
      </w:r>
      <w:r w:rsidRPr="00081F28">
        <w:t xml:space="preserve">(A) Lung single-cell suspensions were prepared from </w:t>
      </w:r>
      <w:proofErr w:type="spellStart"/>
      <w:r w:rsidRPr="00081F28">
        <w:rPr>
          <w:i/>
          <w:iCs/>
        </w:rPr>
        <w:t>Dicer</w:t>
      </w:r>
      <w:r w:rsidRPr="00081F28">
        <w:rPr>
          <w:i/>
          <w:iCs/>
          <w:vertAlign w:val="superscript"/>
        </w:rPr>
        <w:t>l</w:t>
      </w:r>
      <w:proofErr w:type="spellEnd"/>
      <w:r w:rsidRPr="00081F28">
        <w:rPr>
          <w:i/>
          <w:iCs/>
          <w:vertAlign w:val="superscript"/>
        </w:rPr>
        <w:t>/</w:t>
      </w:r>
      <w:proofErr w:type="spellStart"/>
      <w:r w:rsidRPr="00081F28">
        <w:rPr>
          <w:i/>
          <w:iCs/>
          <w:vertAlign w:val="superscript"/>
        </w:rPr>
        <w:t>fl</w:t>
      </w:r>
      <w:proofErr w:type="spellEnd"/>
      <w:r w:rsidRPr="00081F28">
        <w:t xml:space="preserve"> adult naïve mice. After excluding debris (FSC-A vs. SSC-A) and doublets (FSC-A vs. FSC-H), and dead cells (DAPI</w:t>
      </w:r>
      <w:r w:rsidRPr="00081F28">
        <w:rPr>
          <w:vertAlign w:val="superscript"/>
        </w:rPr>
        <w:t>+</w:t>
      </w:r>
      <w:r w:rsidRPr="00081F28">
        <w:t xml:space="preserve">), CD11c and </w:t>
      </w:r>
      <w:proofErr w:type="spellStart"/>
      <w:r w:rsidRPr="00081F28">
        <w:t>Siglec</w:t>
      </w:r>
      <w:proofErr w:type="spellEnd"/>
      <w:r w:rsidRPr="00081F28">
        <w:t xml:space="preserve"> F expression was analyzed for TR-AMs (CD11c</w:t>
      </w:r>
      <w:r w:rsidRPr="00081F28">
        <w:rPr>
          <w:vertAlign w:val="superscript"/>
        </w:rPr>
        <w:t>hi</w:t>
      </w:r>
      <w:r w:rsidRPr="00081F28">
        <w:t xml:space="preserve">Siglec </w:t>
      </w:r>
      <w:proofErr w:type="spellStart"/>
      <w:r w:rsidRPr="00081F28">
        <w:t>F</w:t>
      </w:r>
      <w:r w:rsidRPr="00081F28">
        <w:rPr>
          <w:vertAlign w:val="superscript"/>
        </w:rPr>
        <w:t>hi</w:t>
      </w:r>
      <w:proofErr w:type="spellEnd"/>
      <w:r w:rsidRPr="00081F28">
        <w:t>) within CD45</w:t>
      </w:r>
      <w:r w:rsidRPr="00081F28">
        <w:rPr>
          <w:vertAlign w:val="superscript"/>
        </w:rPr>
        <w:t>+</w:t>
      </w:r>
      <w:r w:rsidRPr="00081F28">
        <w:t xml:space="preserve"> cells. (B) Gating strategy for myeloid cells analyzed from BAL or lungs of saline- or BLM-treated mice, including neutrophils (Neu, Ly6G</w:t>
      </w:r>
      <w:r w:rsidRPr="00081F28">
        <w:rPr>
          <w:vertAlign w:val="superscript"/>
        </w:rPr>
        <w:t>+</w:t>
      </w:r>
      <w:r w:rsidRPr="00081F28">
        <w:t>Ly6C</w:t>
      </w:r>
      <w:r w:rsidRPr="00081F28">
        <w:rPr>
          <w:vertAlign w:val="superscript"/>
        </w:rPr>
        <w:t>+</w:t>
      </w:r>
      <w:r w:rsidRPr="00081F28">
        <w:t>), monocytes (MO, Ly6G</w:t>
      </w:r>
      <w:r w:rsidRPr="00081F28">
        <w:rPr>
          <w:vertAlign w:val="superscript"/>
        </w:rPr>
        <w:t>‒</w:t>
      </w:r>
      <w:r w:rsidRPr="00081F28">
        <w:t>Ly6C</w:t>
      </w:r>
      <w:r w:rsidRPr="00081F28">
        <w:rPr>
          <w:vertAlign w:val="superscript"/>
        </w:rPr>
        <w:t>+</w:t>
      </w:r>
      <w:r w:rsidRPr="00081F28">
        <w:t>CD64</w:t>
      </w:r>
      <w:r w:rsidRPr="00081F28">
        <w:rPr>
          <w:vertAlign w:val="superscript"/>
        </w:rPr>
        <w:t>‒</w:t>
      </w:r>
      <w:r w:rsidRPr="00081F28">
        <w:t>), eosinophils (Eos, Ly6G</w:t>
      </w:r>
      <w:r w:rsidRPr="00081F28">
        <w:rPr>
          <w:vertAlign w:val="superscript"/>
        </w:rPr>
        <w:t>‒</w:t>
      </w:r>
      <w:r w:rsidRPr="00081F28">
        <w:t>Ly6C</w:t>
      </w:r>
      <w:r w:rsidRPr="00081F28">
        <w:rPr>
          <w:vertAlign w:val="superscript"/>
        </w:rPr>
        <w:t>‒</w:t>
      </w:r>
      <w:r w:rsidRPr="00081F28">
        <w:t>CD64</w:t>
      </w:r>
      <w:r w:rsidRPr="00081F28">
        <w:rPr>
          <w:vertAlign w:val="superscript"/>
        </w:rPr>
        <w:t>‒</w:t>
      </w:r>
      <w:r w:rsidRPr="00081F28">
        <w:t>Siglec-F</w:t>
      </w:r>
      <w:r w:rsidRPr="00081F28">
        <w:rPr>
          <w:vertAlign w:val="superscript"/>
        </w:rPr>
        <w:t>+</w:t>
      </w:r>
      <w:r w:rsidRPr="00081F28">
        <w:t>), TR-AMs (CD64</w:t>
      </w:r>
      <w:r w:rsidRPr="00081F28">
        <w:rPr>
          <w:vertAlign w:val="superscript"/>
        </w:rPr>
        <w:t>+</w:t>
      </w:r>
      <w:r w:rsidRPr="00081F28">
        <w:t>Siglec-F</w:t>
      </w:r>
      <w:r w:rsidRPr="00081F28">
        <w:rPr>
          <w:vertAlign w:val="superscript"/>
        </w:rPr>
        <w:t>hi</w:t>
      </w:r>
      <w:r w:rsidRPr="00081F28">
        <w:t>CD11b</w:t>
      </w:r>
      <w:r w:rsidRPr="00081F28">
        <w:rPr>
          <w:vertAlign w:val="superscript"/>
        </w:rPr>
        <w:t>lo</w:t>
      </w:r>
      <w:r w:rsidRPr="00081F28">
        <w:t>), Mo-AMs (CD64</w:t>
      </w:r>
      <w:r w:rsidRPr="00081F28">
        <w:rPr>
          <w:vertAlign w:val="superscript"/>
        </w:rPr>
        <w:t>+</w:t>
      </w:r>
      <w:r w:rsidRPr="00081F28">
        <w:t>Siglec-F</w:t>
      </w:r>
      <w:r w:rsidRPr="00081F28">
        <w:rPr>
          <w:vertAlign w:val="superscript"/>
        </w:rPr>
        <w:t>lo</w:t>
      </w:r>
      <w:r w:rsidRPr="00081F28">
        <w:t>CD11b</w:t>
      </w:r>
      <w:r w:rsidRPr="00081F28">
        <w:rPr>
          <w:vertAlign w:val="superscript"/>
        </w:rPr>
        <w:t>hi</w:t>
      </w:r>
      <w:r w:rsidRPr="00081F28">
        <w:t>), interstitial macrophages (IM, CD64</w:t>
      </w:r>
      <w:r w:rsidRPr="00081F28">
        <w:rPr>
          <w:vertAlign w:val="superscript"/>
        </w:rPr>
        <w:t>‒</w:t>
      </w:r>
      <w:r w:rsidRPr="00081F28">
        <w:t>Siglec-F</w:t>
      </w:r>
      <w:r w:rsidRPr="00081F28">
        <w:rPr>
          <w:vertAlign w:val="superscript"/>
        </w:rPr>
        <w:t>‒</w:t>
      </w:r>
      <w:r w:rsidRPr="00081F28">
        <w:t>F4/80</w:t>
      </w:r>
      <w:r w:rsidRPr="00081F28">
        <w:rPr>
          <w:vertAlign w:val="superscript"/>
        </w:rPr>
        <w:t>+</w:t>
      </w:r>
      <w:r w:rsidRPr="00081F28">
        <w:t>), and dendritic cells (DCs, CD64</w:t>
      </w:r>
      <w:r w:rsidRPr="00081F28">
        <w:rPr>
          <w:vertAlign w:val="superscript"/>
        </w:rPr>
        <w:t>‒</w:t>
      </w:r>
      <w:r w:rsidRPr="00081F28">
        <w:t>Siglec-F</w:t>
      </w:r>
      <w:r w:rsidRPr="00081F28">
        <w:rPr>
          <w:vertAlign w:val="superscript"/>
        </w:rPr>
        <w:t>‒</w:t>
      </w:r>
      <w:r w:rsidRPr="00081F28">
        <w:t>F4/80</w:t>
      </w:r>
      <w:r w:rsidRPr="00081F28">
        <w:rPr>
          <w:vertAlign w:val="superscript"/>
        </w:rPr>
        <w:t>‒</w:t>
      </w:r>
      <w:r w:rsidRPr="00081F28">
        <w:t>CD11c</w:t>
      </w:r>
      <w:r w:rsidRPr="00081F28">
        <w:rPr>
          <w:vertAlign w:val="superscript"/>
        </w:rPr>
        <w:t>+</w:t>
      </w:r>
      <w:r w:rsidRPr="00081F28">
        <w:t>MHC-II</w:t>
      </w:r>
      <w:r w:rsidRPr="00081F28">
        <w:rPr>
          <w:vertAlign w:val="superscript"/>
        </w:rPr>
        <w:t>+</w:t>
      </w:r>
      <w:r w:rsidRPr="00081F28">
        <w:t>). (C) Gating strategy for lymphocytes analyzed from BAL or lungs of saline- or BLM-treated mice, including CD4 T (TCR</w:t>
      </w:r>
      <w:r w:rsidRPr="00081F28">
        <w:rPr>
          <w:lang w:val="el-GR"/>
        </w:rPr>
        <w:t>β</w:t>
      </w:r>
      <w:r w:rsidRPr="00081F28">
        <w:rPr>
          <w:vertAlign w:val="superscript"/>
        </w:rPr>
        <w:t>+</w:t>
      </w:r>
      <w:r w:rsidRPr="00081F28">
        <w:t>CD4</w:t>
      </w:r>
      <w:r w:rsidRPr="00081F28">
        <w:rPr>
          <w:vertAlign w:val="superscript"/>
        </w:rPr>
        <w:t>+</w:t>
      </w:r>
      <w:r w:rsidRPr="00081F28">
        <w:t>), CD8 T (TCR</w:t>
      </w:r>
      <w:r w:rsidRPr="00081F28">
        <w:rPr>
          <w:lang w:val="el-GR"/>
        </w:rPr>
        <w:t>β</w:t>
      </w:r>
      <w:r w:rsidRPr="00081F28">
        <w:rPr>
          <w:vertAlign w:val="superscript"/>
        </w:rPr>
        <w:t>+</w:t>
      </w:r>
      <w:r w:rsidRPr="00081F28">
        <w:t>CD8</w:t>
      </w:r>
      <w:r w:rsidRPr="00081F28">
        <w:rPr>
          <w:vertAlign w:val="superscript"/>
        </w:rPr>
        <w:t>+</w:t>
      </w:r>
      <w:r w:rsidRPr="00081F28">
        <w:t>), Treg (TCR</w:t>
      </w:r>
      <w:r w:rsidRPr="00081F28">
        <w:rPr>
          <w:lang w:val="el-GR"/>
        </w:rPr>
        <w:t>β</w:t>
      </w:r>
      <w:r w:rsidRPr="00081F28">
        <w:rPr>
          <w:vertAlign w:val="superscript"/>
        </w:rPr>
        <w:t>+</w:t>
      </w:r>
      <w:r w:rsidRPr="00081F28">
        <w:t>CD4</w:t>
      </w:r>
      <w:r w:rsidRPr="00081F28">
        <w:rPr>
          <w:vertAlign w:val="superscript"/>
        </w:rPr>
        <w:t>+</w:t>
      </w:r>
      <w:r w:rsidRPr="00081F28">
        <w:t>CD25</w:t>
      </w:r>
      <w:r w:rsidRPr="00081F28">
        <w:rPr>
          <w:vertAlign w:val="superscript"/>
        </w:rPr>
        <w:t>+</w:t>
      </w:r>
      <w:r w:rsidRPr="00081F28">
        <w:t>Foxp3</w:t>
      </w:r>
      <w:r w:rsidRPr="00081F28">
        <w:rPr>
          <w:vertAlign w:val="superscript"/>
        </w:rPr>
        <w:t>+</w:t>
      </w:r>
      <w:r w:rsidRPr="00081F28">
        <w:t>), NKT (TCR</w:t>
      </w:r>
      <w:r w:rsidRPr="00081F28">
        <w:rPr>
          <w:lang w:val="el-GR"/>
        </w:rPr>
        <w:t>β</w:t>
      </w:r>
      <w:r w:rsidRPr="00081F28">
        <w:rPr>
          <w:vertAlign w:val="superscript"/>
        </w:rPr>
        <w:t>+</w:t>
      </w:r>
      <w:r w:rsidRPr="00081F28">
        <w:t>CD1d-tetramer</w:t>
      </w:r>
      <w:r w:rsidRPr="00081F28">
        <w:rPr>
          <w:vertAlign w:val="superscript"/>
        </w:rPr>
        <w:t>+</w:t>
      </w:r>
      <w:r w:rsidRPr="00081F28">
        <w:t>), MAIT (TCR</w:t>
      </w:r>
      <w:r w:rsidRPr="00081F28">
        <w:rPr>
          <w:lang w:val="el-GR"/>
        </w:rPr>
        <w:t>β</w:t>
      </w:r>
      <w:r w:rsidRPr="00081F28">
        <w:rPr>
          <w:vertAlign w:val="superscript"/>
        </w:rPr>
        <w:t>+</w:t>
      </w:r>
      <w:r w:rsidRPr="00081F28">
        <w:t>MR1-tetramer</w:t>
      </w:r>
      <w:r w:rsidRPr="00081F28">
        <w:rPr>
          <w:vertAlign w:val="superscript"/>
        </w:rPr>
        <w:t>+</w:t>
      </w:r>
      <w:r w:rsidRPr="00081F28">
        <w:t xml:space="preserve">), </w:t>
      </w:r>
      <w:r w:rsidRPr="00081F28">
        <w:rPr>
          <w:lang w:val="el-GR"/>
        </w:rPr>
        <w:t xml:space="preserve">γδ </w:t>
      </w:r>
      <w:r w:rsidRPr="00081F28">
        <w:t>T (TCR</w:t>
      </w:r>
      <w:r w:rsidRPr="00081F28">
        <w:rPr>
          <w:lang w:val="el-GR"/>
        </w:rPr>
        <w:t>β</w:t>
      </w:r>
      <w:r w:rsidRPr="00081F28">
        <w:rPr>
          <w:vertAlign w:val="superscript"/>
          <w:lang w:val="el-GR"/>
        </w:rPr>
        <w:t>‒</w:t>
      </w:r>
      <w:r w:rsidRPr="00081F28">
        <w:t>TCR</w:t>
      </w:r>
      <w:r w:rsidRPr="00081F28">
        <w:rPr>
          <w:lang w:val="el-GR"/>
        </w:rPr>
        <w:t>γδ</w:t>
      </w:r>
      <w:r w:rsidRPr="00081F28">
        <w:rPr>
          <w:vertAlign w:val="superscript"/>
        </w:rPr>
        <w:t>+</w:t>
      </w:r>
      <w:r w:rsidRPr="00081F28">
        <w:t>) and B cells (TCR</w:t>
      </w:r>
      <w:r w:rsidRPr="00081F28">
        <w:rPr>
          <w:lang w:val="el-GR"/>
        </w:rPr>
        <w:t>β</w:t>
      </w:r>
      <w:r w:rsidRPr="00081F28">
        <w:rPr>
          <w:vertAlign w:val="superscript"/>
          <w:lang w:val="el-GR"/>
        </w:rPr>
        <w:t>‒</w:t>
      </w:r>
      <w:r w:rsidRPr="00081F28">
        <w:t>TCR</w:t>
      </w:r>
      <w:r w:rsidRPr="00081F28">
        <w:rPr>
          <w:lang w:val="el-GR"/>
        </w:rPr>
        <w:t>γδ</w:t>
      </w:r>
      <w:r w:rsidRPr="00081F28">
        <w:rPr>
          <w:vertAlign w:val="superscript"/>
          <w:lang w:val="el-GR"/>
        </w:rPr>
        <w:t>‒</w:t>
      </w:r>
      <w:r w:rsidRPr="00081F28">
        <w:t>B220</w:t>
      </w:r>
      <w:r w:rsidRPr="00081F28">
        <w:rPr>
          <w:vertAlign w:val="superscript"/>
        </w:rPr>
        <w:t>+</w:t>
      </w:r>
      <w:r w:rsidRPr="00081F28">
        <w:t xml:space="preserve">). </w:t>
      </w:r>
    </w:p>
    <w:p w14:paraId="41309B2A" w14:textId="77777777" w:rsidR="00081F28" w:rsidRDefault="00081F28">
      <w:pPr>
        <w:spacing w:before="0" w:after="200" w:line="276" w:lineRule="auto"/>
      </w:pPr>
      <w:r>
        <w:br w:type="page"/>
      </w:r>
    </w:p>
    <w:p w14:paraId="697A7A8C" w14:textId="2A62183B" w:rsidR="00081F28" w:rsidRPr="00081F28" w:rsidRDefault="00081F28" w:rsidP="00081F28">
      <w:pPr>
        <w:spacing w:before="240"/>
        <w:jc w:val="both"/>
      </w:pPr>
      <w:r w:rsidRPr="00081F28">
        <w:rPr>
          <w:noProof/>
        </w:rPr>
        <w:lastRenderedPageBreak/>
        <mc:AlternateContent>
          <mc:Choice Requires="wps">
            <w:drawing>
              <wp:anchor distT="0" distB="0" distL="114300" distR="114300" simplePos="0" relativeHeight="251659264" behindDoc="0" locked="0" layoutInCell="1" allowOverlap="1" wp14:anchorId="10484A55" wp14:editId="40584983">
                <wp:simplePos x="0" y="0"/>
                <wp:positionH relativeFrom="column">
                  <wp:posOffset>8255</wp:posOffset>
                </wp:positionH>
                <wp:positionV relativeFrom="paragraph">
                  <wp:posOffset>10160</wp:posOffset>
                </wp:positionV>
                <wp:extent cx="295508" cy="307777"/>
                <wp:effectExtent l="0" t="0" r="0" b="0"/>
                <wp:wrapNone/>
                <wp:docPr id="49" name="TextBox 48">
                  <a:extLst xmlns:a="http://schemas.openxmlformats.org/drawingml/2006/main">
                    <a:ext uri="{FF2B5EF4-FFF2-40B4-BE49-F238E27FC236}">
                      <a16:creationId xmlns:a16="http://schemas.microsoft.com/office/drawing/2014/main" id="{276749E7-FCEB-4F7F-9BB0-8781185F39A7}"/>
                    </a:ext>
                  </a:extLst>
                </wp:docPr>
                <wp:cNvGraphicFramePr/>
                <a:graphic xmlns:a="http://schemas.openxmlformats.org/drawingml/2006/main">
                  <a:graphicData uri="http://schemas.microsoft.com/office/word/2010/wordprocessingShape">
                    <wps:wsp>
                      <wps:cNvSpPr txBox="1"/>
                      <wps:spPr>
                        <a:xfrm>
                          <a:off x="0" y="0"/>
                          <a:ext cx="295508" cy="307777"/>
                        </a:xfrm>
                        <a:prstGeom prst="rect">
                          <a:avLst/>
                        </a:prstGeom>
                        <a:noFill/>
                      </wps:spPr>
                      <wps:txbx>
                        <w:txbxContent>
                          <w:p w14:paraId="070B8E42" w14:textId="77777777" w:rsidR="00081F28" w:rsidRDefault="00081F28" w:rsidP="00081F28">
                            <w:pPr>
                              <w:rPr>
                                <w:rFonts w:ascii="Arial" w:hAnsi="Arial" w:cs="Arial"/>
                                <w:b/>
                                <w:bCs/>
                                <w:color w:val="000000" w:themeColor="text1"/>
                                <w:kern w:val="24"/>
                                <w:sz w:val="28"/>
                                <w:szCs w:val="28"/>
                              </w:rPr>
                            </w:pPr>
                            <w:r>
                              <w:rPr>
                                <w:rFonts w:ascii="Arial" w:hAnsi="Arial" w:cs="Arial"/>
                                <w:b/>
                                <w:bCs/>
                                <w:color w:val="000000" w:themeColor="text1"/>
                                <w:kern w:val="24"/>
                                <w:sz w:val="28"/>
                                <w:szCs w:val="28"/>
                              </w:rPr>
                              <w:t>A</w:t>
                            </w:r>
                          </w:p>
                        </w:txbxContent>
                      </wps:txbx>
                      <wps:bodyPr wrap="square" rtlCol="0">
                        <a:spAutoFit/>
                      </wps:bodyPr>
                    </wps:wsp>
                  </a:graphicData>
                </a:graphic>
              </wp:anchor>
            </w:drawing>
          </mc:Choice>
          <mc:Fallback>
            <w:pict>
              <v:shapetype w14:anchorId="10484A55" id="_x0000_t202" coordsize="21600,21600" o:spt="202" path="m,l,21600r21600,l21600,xe">
                <v:stroke joinstyle="miter"/>
                <v:path gradientshapeok="t" o:connecttype="rect"/>
              </v:shapetype>
              <v:shape id="TextBox 48" o:spid="_x0000_s1026" type="#_x0000_t202" style="position:absolute;left:0;text-align:left;margin-left:.65pt;margin-top:.8pt;width:23.25pt;height:2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" filled="f" stroked="f">
                <v:textbox style="mso-fit-shape-to-text:t">
                  <w:txbxContent>
                    <w:p w14:paraId="070B8E42" w14:textId="77777777" w:rsidR="00081F28" w:rsidRDefault="00081F28" w:rsidP="00081F28">
                      <w:pPr>
                        <w:rPr>
                          <w:rFonts w:ascii="Arial" w:hAnsi="Arial" w:cs="Arial"/>
                          <w:b/>
                          <w:bCs/>
                          <w:color w:val="000000" w:themeColor="text1"/>
                          <w:kern w:val="24"/>
                          <w:sz w:val="28"/>
                          <w:szCs w:val="28"/>
                        </w:rPr>
                      </w:pPr>
                      <w:r>
                        <w:rPr>
                          <w:rFonts w:ascii="Arial" w:hAnsi="Arial" w:cs="Arial"/>
                          <w:b/>
                          <w:bCs/>
                          <w:color w:val="000000" w:themeColor="text1"/>
                          <w:kern w:val="24"/>
                          <w:sz w:val="28"/>
                          <w:szCs w:val="28"/>
                        </w:rPr>
                        <w:t>A</w:t>
                      </w:r>
                    </w:p>
                  </w:txbxContent>
                </v:textbox>
              </v:shape>
            </w:pict>
          </mc:Fallback>
        </mc:AlternateContent>
      </w:r>
      <w:r w:rsidRPr="00081F28">
        <w:rPr>
          <w:noProof/>
        </w:rPr>
        <mc:AlternateContent>
          <mc:Choice Requires="wps">
            <w:drawing>
              <wp:anchor distT="0" distB="0" distL="114300" distR="114300" simplePos="0" relativeHeight="251660288" behindDoc="0" locked="0" layoutInCell="1" allowOverlap="1" wp14:anchorId="16090DFE" wp14:editId="746A9639">
                <wp:simplePos x="0" y="0"/>
                <wp:positionH relativeFrom="column">
                  <wp:posOffset>1967865</wp:posOffset>
                </wp:positionH>
                <wp:positionV relativeFrom="paragraph">
                  <wp:posOffset>-21590</wp:posOffset>
                </wp:positionV>
                <wp:extent cx="295508" cy="307777"/>
                <wp:effectExtent l="0" t="0" r="0" b="0"/>
                <wp:wrapNone/>
                <wp:docPr id="60" name="TextBox 59">
                  <a:extLst xmlns:a="http://schemas.openxmlformats.org/drawingml/2006/main">
                    <a:ext uri="{FF2B5EF4-FFF2-40B4-BE49-F238E27FC236}">
                      <a16:creationId xmlns:a16="http://schemas.microsoft.com/office/drawing/2014/main" id="{94F64101-5825-4323-BFA8-DF8EA45FC7E8}"/>
                    </a:ext>
                  </a:extLst>
                </wp:docPr>
                <wp:cNvGraphicFramePr/>
                <a:graphic xmlns:a="http://schemas.openxmlformats.org/drawingml/2006/main">
                  <a:graphicData uri="http://schemas.microsoft.com/office/word/2010/wordprocessingShape">
                    <wps:wsp>
                      <wps:cNvSpPr txBox="1"/>
                      <wps:spPr>
                        <a:xfrm>
                          <a:off x="0" y="0"/>
                          <a:ext cx="295508" cy="307777"/>
                        </a:xfrm>
                        <a:prstGeom prst="rect">
                          <a:avLst/>
                        </a:prstGeom>
                        <a:noFill/>
                      </wps:spPr>
                      <wps:txbx>
                        <w:txbxContent>
                          <w:p w14:paraId="4DDF35BC" w14:textId="77777777" w:rsidR="00081F28" w:rsidRDefault="00081F28" w:rsidP="00081F28">
                            <w:pPr>
                              <w:rPr>
                                <w:rFonts w:ascii="Arial" w:hAnsi="Arial" w:cs="Arial"/>
                                <w:b/>
                                <w:bCs/>
                                <w:color w:val="000000" w:themeColor="text1"/>
                                <w:kern w:val="24"/>
                                <w:sz w:val="28"/>
                                <w:szCs w:val="28"/>
                              </w:rPr>
                            </w:pPr>
                            <w:r>
                              <w:rPr>
                                <w:rFonts w:ascii="Arial" w:hAnsi="Arial" w:cs="Arial"/>
                                <w:b/>
                                <w:bCs/>
                                <w:color w:val="000000" w:themeColor="text1"/>
                                <w:kern w:val="24"/>
                                <w:sz w:val="28"/>
                                <w:szCs w:val="28"/>
                              </w:rPr>
                              <w:t>B</w:t>
                            </w:r>
                          </w:p>
                        </w:txbxContent>
                      </wps:txbx>
                      <wps:bodyPr wrap="square" rtlCol="0">
                        <a:spAutoFit/>
                      </wps:bodyPr>
                    </wps:wsp>
                  </a:graphicData>
                </a:graphic>
              </wp:anchor>
            </w:drawing>
          </mc:Choice>
          <mc:Fallback>
            <w:pict>
              <v:shape w14:anchorId="16090DFE" id="TextBox 59" o:spid="_x0000_s1027" type="#_x0000_t202" style="position:absolute;left:0;text-align:left;margin-left:154.95pt;margin-top:-1.7pt;width:23.25pt;height:2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" filled="f" stroked="f">
                <v:textbox style="mso-fit-shape-to-text:t">
                  <w:txbxContent>
                    <w:p w14:paraId="4DDF35BC" w14:textId="77777777" w:rsidR="00081F28" w:rsidRDefault="00081F28" w:rsidP="00081F28">
                      <w:pPr>
                        <w:rPr>
                          <w:rFonts w:ascii="Arial" w:hAnsi="Arial" w:cs="Arial"/>
                          <w:b/>
                          <w:bCs/>
                          <w:color w:val="000000" w:themeColor="text1"/>
                          <w:kern w:val="24"/>
                          <w:sz w:val="28"/>
                          <w:szCs w:val="28"/>
                        </w:rPr>
                      </w:pPr>
                      <w:r>
                        <w:rPr>
                          <w:rFonts w:ascii="Arial" w:hAnsi="Arial" w:cs="Arial"/>
                          <w:b/>
                          <w:bCs/>
                          <w:color w:val="000000" w:themeColor="text1"/>
                          <w:kern w:val="24"/>
                          <w:sz w:val="28"/>
                          <w:szCs w:val="28"/>
                        </w:rPr>
                        <w:t>B</w:t>
                      </w:r>
                    </w:p>
                  </w:txbxContent>
                </v:textbox>
              </v:shape>
            </w:pict>
          </mc:Fallback>
        </mc:AlternateContent>
      </w:r>
      <w:r w:rsidRPr="00081F28">
        <w:rPr>
          <w:noProof/>
        </w:rPr>
        <mc:AlternateContent>
          <mc:Choice Requires="wps">
            <w:drawing>
              <wp:anchor distT="0" distB="0" distL="114300" distR="114300" simplePos="0" relativeHeight="251661312" behindDoc="0" locked="0" layoutInCell="1" allowOverlap="1" wp14:anchorId="3811F774" wp14:editId="244EE29A">
                <wp:simplePos x="0" y="0"/>
                <wp:positionH relativeFrom="column">
                  <wp:posOffset>3509645</wp:posOffset>
                </wp:positionH>
                <wp:positionV relativeFrom="paragraph">
                  <wp:posOffset>-6350</wp:posOffset>
                </wp:positionV>
                <wp:extent cx="295508" cy="307777"/>
                <wp:effectExtent l="0" t="0" r="0" b="0"/>
                <wp:wrapNone/>
                <wp:docPr id="62" name="TextBox 61">
                  <a:extLst xmlns:a="http://schemas.openxmlformats.org/drawingml/2006/main">
                    <a:ext uri="{FF2B5EF4-FFF2-40B4-BE49-F238E27FC236}">
                      <a16:creationId xmlns:a16="http://schemas.microsoft.com/office/drawing/2014/main" id="{3A5BBD8B-E12F-4C97-A5CD-A69E8814331F}"/>
                    </a:ext>
                  </a:extLst>
                </wp:docPr>
                <wp:cNvGraphicFramePr/>
                <a:graphic xmlns:a="http://schemas.openxmlformats.org/drawingml/2006/main">
                  <a:graphicData uri="http://schemas.microsoft.com/office/word/2010/wordprocessingShape">
                    <wps:wsp>
                      <wps:cNvSpPr txBox="1"/>
                      <wps:spPr>
                        <a:xfrm>
                          <a:off x="0" y="0"/>
                          <a:ext cx="295508" cy="307777"/>
                        </a:xfrm>
                        <a:prstGeom prst="rect">
                          <a:avLst/>
                        </a:prstGeom>
                        <a:noFill/>
                      </wps:spPr>
                      <wps:txbx>
                        <w:txbxContent>
                          <w:p w14:paraId="0B8C20E1" w14:textId="77777777" w:rsidR="00081F28" w:rsidRDefault="00081F28" w:rsidP="00081F28">
                            <w:pPr>
                              <w:rPr>
                                <w:rFonts w:ascii="Arial" w:hAnsi="Arial" w:cs="Arial"/>
                                <w:b/>
                                <w:bCs/>
                                <w:color w:val="000000" w:themeColor="text1"/>
                                <w:kern w:val="24"/>
                                <w:sz w:val="28"/>
                                <w:szCs w:val="28"/>
                              </w:rPr>
                            </w:pPr>
                            <w:r>
                              <w:rPr>
                                <w:rFonts w:ascii="Arial" w:hAnsi="Arial" w:cs="Arial"/>
                                <w:b/>
                                <w:bCs/>
                                <w:color w:val="000000" w:themeColor="text1"/>
                                <w:kern w:val="24"/>
                                <w:sz w:val="28"/>
                                <w:szCs w:val="28"/>
                              </w:rPr>
                              <w:t>C</w:t>
                            </w:r>
                          </w:p>
                        </w:txbxContent>
                      </wps:txbx>
                      <wps:bodyPr wrap="square" rtlCol="0">
                        <a:spAutoFit/>
                      </wps:bodyPr>
                    </wps:wsp>
                  </a:graphicData>
                </a:graphic>
              </wp:anchor>
            </w:drawing>
          </mc:Choice>
          <mc:Fallback>
            <w:pict>
              <v:shape w14:anchorId="3811F774" id="TextBox 61" o:spid="_x0000_s1028" type="#_x0000_t202" style="position:absolute;left:0;text-align:left;margin-left:276.35pt;margin-top:-.5pt;width:23.25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" filled="f" stroked="f">
                <v:textbox style="mso-fit-shape-to-text:t">
                  <w:txbxContent>
                    <w:p w14:paraId="0B8C20E1" w14:textId="77777777" w:rsidR="00081F28" w:rsidRDefault="00081F28" w:rsidP="00081F28">
                      <w:pPr>
                        <w:rPr>
                          <w:rFonts w:ascii="Arial" w:hAnsi="Arial" w:cs="Arial"/>
                          <w:b/>
                          <w:bCs/>
                          <w:color w:val="000000" w:themeColor="text1"/>
                          <w:kern w:val="24"/>
                          <w:sz w:val="28"/>
                          <w:szCs w:val="28"/>
                        </w:rPr>
                      </w:pPr>
                      <w:r>
                        <w:rPr>
                          <w:rFonts w:ascii="Arial" w:hAnsi="Arial" w:cs="Arial"/>
                          <w:b/>
                          <w:bCs/>
                          <w:color w:val="000000" w:themeColor="text1"/>
                          <w:kern w:val="24"/>
                          <w:sz w:val="28"/>
                          <w:szCs w:val="28"/>
                        </w:rPr>
                        <w:t>C</w:t>
                      </w:r>
                    </w:p>
                  </w:txbxContent>
                </v:textbox>
              </v:shape>
            </w:pict>
          </mc:Fallback>
        </mc:AlternateContent>
      </w:r>
      <w:r w:rsidRPr="00081F28">
        <w:rPr>
          <w:noProof/>
        </w:rPr>
        <w:drawing>
          <wp:anchor distT="0" distB="0" distL="114300" distR="114300" simplePos="0" relativeHeight="251662336" behindDoc="0" locked="0" layoutInCell="1" allowOverlap="1" wp14:anchorId="0157F009" wp14:editId="25A044B1">
            <wp:simplePos x="0" y="0"/>
            <wp:positionH relativeFrom="column">
              <wp:posOffset>3573145</wp:posOffset>
            </wp:positionH>
            <wp:positionV relativeFrom="paragraph">
              <wp:posOffset>162560</wp:posOffset>
            </wp:positionV>
            <wp:extent cx="1477962" cy="1225550"/>
            <wp:effectExtent l="0" t="0" r="0" b="0"/>
            <wp:wrapNone/>
            <wp:docPr id="1339752160" name="Picture 1"/>
            <wp:cNvGraphicFramePr/>
            <a:graphic xmlns:a="http://schemas.openxmlformats.org/drawingml/2006/main">
              <a:graphicData uri="http://schemas.openxmlformats.org/drawingml/2006/picture">
                <pic:pic xmlns:pic="http://schemas.openxmlformats.org/drawingml/2006/picture">
                  <pic:nvPicPr>
                    <pic:cNvPr id="1339752160" name=""/>
                    <pic:cNvPicPr/>
                  </pic:nvPicPr>
                  <pic:blipFill>
                    <a:blip r:embed="rId14"/>
                    <a:stretch>
                      <a:fillRect/>
                    </a:stretch>
                  </pic:blipFill>
                  <pic:spPr>
                    <a:xfrm>
                      <a:off x="0" y="0"/>
                      <a:ext cx="1477962" cy="1225550"/>
                    </a:xfrm>
                    <a:prstGeom prst="rect">
                      <a:avLst/>
                    </a:prstGeom>
                  </pic:spPr>
                </pic:pic>
              </a:graphicData>
            </a:graphic>
          </wp:anchor>
        </w:drawing>
      </w:r>
      <w:r w:rsidRPr="00081F28">
        <w:rPr>
          <w:noProof/>
        </w:rPr>
        <w:drawing>
          <wp:anchor distT="0" distB="0" distL="114300" distR="114300" simplePos="0" relativeHeight="251663360" behindDoc="0" locked="0" layoutInCell="1" allowOverlap="1" wp14:anchorId="1077EF5B" wp14:editId="642625C0">
            <wp:simplePos x="0" y="0"/>
            <wp:positionH relativeFrom="column">
              <wp:posOffset>2125980</wp:posOffset>
            </wp:positionH>
            <wp:positionV relativeFrom="paragraph">
              <wp:posOffset>162560</wp:posOffset>
            </wp:positionV>
            <wp:extent cx="1377950" cy="1262062"/>
            <wp:effectExtent l="0" t="0" r="0" b="0"/>
            <wp:wrapNone/>
            <wp:docPr id="1752543205" name="Picture 2"/>
            <wp:cNvGraphicFramePr/>
            <a:graphic xmlns:a="http://schemas.openxmlformats.org/drawingml/2006/main">
              <a:graphicData uri="http://schemas.openxmlformats.org/drawingml/2006/picture">
                <pic:pic xmlns:pic="http://schemas.openxmlformats.org/drawingml/2006/picture">
                  <pic:nvPicPr>
                    <pic:cNvPr id="1752543205" name=""/>
                    <pic:cNvPicPr/>
                  </pic:nvPicPr>
                  <pic:blipFill>
                    <a:blip r:embed="rId15"/>
                    <a:stretch>
                      <a:fillRect/>
                    </a:stretch>
                  </pic:blipFill>
                  <pic:spPr>
                    <a:xfrm>
                      <a:off x="0" y="0"/>
                      <a:ext cx="1377950" cy="1262062"/>
                    </a:xfrm>
                    <a:prstGeom prst="rect">
                      <a:avLst/>
                    </a:prstGeom>
                  </pic:spPr>
                </pic:pic>
              </a:graphicData>
            </a:graphic>
          </wp:anchor>
        </w:drawing>
      </w:r>
      <w:r w:rsidRPr="00081F28">
        <w:rPr>
          <w:noProof/>
        </w:rPr>
        <w:drawing>
          <wp:anchor distT="0" distB="0" distL="114300" distR="114300" simplePos="0" relativeHeight="251664384" behindDoc="0" locked="0" layoutInCell="1" allowOverlap="1" wp14:anchorId="268314F9" wp14:editId="0DC86AED">
            <wp:simplePos x="0" y="0"/>
            <wp:positionH relativeFrom="column">
              <wp:posOffset>364490</wp:posOffset>
            </wp:positionH>
            <wp:positionV relativeFrom="paragraph">
              <wp:posOffset>394335</wp:posOffset>
            </wp:positionV>
            <wp:extent cx="1557488" cy="777474"/>
            <wp:effectExtent l="0" t="0" r="5080" b="3810"/>
            <wp:wrapNone/>
            <wp:docPr id="4" name="Picture 3">
              <a:extLst xmlns:a="http://schemas.openxmlformats.org/drawingml/2006/main">
                <a:ext uri="{FF2B5EF4-FFF2-40B4-BE49-F238E27FC236}">
                  <a16:creationId xmlns:a16="http://schemas.microsoft.com/office/drawing/2014/main" id="{4990AFE9-33ED-471B-95BF-A61E63E9E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990AFE9-33ED-471B-95BF-A61E63E9E045}"/>
                        </a:ext>
                      </a:extLst>
                    </pic:cNvPr>
                    <pic:cNvPicPr>
                      <a:picLocks noChangeAspect="1"/>
                    </pic:cNvPicPr>
                  </pic:nvPicPr>
                  <pic:blipFill>
                    <a:blip r:embed="rId16"/>
                    <a:stretch>
                      <a:fillRect/>
                    </a:stretch>
                  </pic:blipFill>
                  <pic:spPr>
                    <a:xfrm>
                      <a:off x="0" y="0"/>
                      <a:ext cx="1557488" cy="777474"/>
                    </a:xfrm>
                    <a:prstGeom prst="rect">
                      <a:avLst/>
                    </a:prstGeom>
                  </pic:spPr>
                </pic:pic>
              </a:graphicData>
            </a:graphic>
          </wp:anchor>
        </w:drawing>
      </w:r>
      <w:r w:rsidRPr="00081F28">
        <w:rPr>
          <w:noProof/>
        </w:rPr>
        <mc:AlternateContent>
          <mc:Choice Requires="wps">
            <w:drawing>
              <wp:anchor distT="0" distB="0" distL="114300" distR="114300" simplePos="0" relativeHeight="251665408" behindDoc="0" locked="0" layoutInCell="1" allowOverlap="1" wp14:anchorId="5CBAD119" wp14:editId="05F4A578">
                <wp:simplePos x="0" y="0"/>
                <wp:positionH relativeFrom="column">
                  <wp:posOffset>0</wp:posOffset>
                </wp:positionH>
                <wp:positionV relativeFrom="paragraph">
                  <wp:posOffset>679450</wp:posOffset>
                </wp:positionV>
                <wp:extent cx="566036" cy="200055"/>
                <wp:effectExtent l="0" t="0" r="0" b="0"/>
                <wp:wrapNone/>
                <wp:docPr id="51" name="TextBox 50">
                  <a:extLst xmlns:a="http://schemas.openxmlformats.org/drawingml/2006/main">
                    <a:ext uri="{FF2B5EF4-FFF2-40B4-BE49-F238E27FC236}">
                      <a16:creationId xmlns:a16="http://schemas.microsoft.com/office/drawing/2014/main" id="{5A6B3151-2F2F-4C92-8138-C5076D6C55FD}"/>
                    </a:ext>
                  </a:extLst>
                </wp:docPr>
                <wp:cNvGraphicFramePr/>
                <a:graphic xmlns:a="http://schemas.openxmlformats.org/drawingml/2006/main">
                  <a:graphicData uri="http://schemas.microsoft.com/office/word/2010/wordprocessingShape">
                    <wps:wsp>
                      <wps:cNvSpPr txBox="1"/>
                      <wps:spPr>
                        <a:xfrm>
                          <a:off x="0" y="0"/>
                          <a:ext cx="566036" cy="200055"/>
                        </a:xfrm>
                        <a:prstGeom prst="rect">
                          <a:avLst/>
                        </a:prstGeom>
                        <a:noFill/>
                      </wps:spPr>
                      <wps:txbx>
                        <w:txbxContent>
                          <w:p w14:paraId="434830DA" w14:textId="77777777" w:rsidR="00081F28" w:rsidRDefault="00081F28" w:rsidP="00081F28">
                            <w:pPr>
                              <w:rPr>
                                <w:rFonts w:ascii="Arial" w:hAnsi="Arial" w:cs="Arial"/>
                                <w:b/>
                                <w:bCs/>
                                <w:color w:val="000000" w:themeColor="text1"/>
                                <w:kern w:val="24"/>
                                <w:sz w:val="14"/>
                                <w:szCs w:val="14"/>
                              </w:rPr>
                            </w:pPr>
                            <w:r>
                              <w:rPr>
                                <w:rFonts w:ascii="Arial" w:hAnsi="Arial" w:cs="Arial"/>
                                <w:b/>
                                <w:bCs/>
                                <w:color w:val="000000" w:themeColor="text1"/>
                                <w:kern w:val="24"/>
                                <w:sz w:val="14"/>
                                <w:szCs w:val="14"/>
                              </w:rPr>
                              <w:t>C57BL/6</w:t>
                            </w:r>
                          </w:p>
                        </w:txbxContent>
                      </wps:txbx>
                      <wps:bodyPr wrap="square" rtlCol="0">
                        <a:spAutoFit/>
                      </wps:bodyPr>
                    </wps:wsp>
                  </a:graphicData>
                </a:graphic>
              </wp:anchor>
            </w:drawing>
          </mc:Choice>
          <mc:Fallback>
            <w:pict>
              <v:shape w14:anchorId="5CBAD119" id="TextBox 50" o:spid="_x0000_s1029" type="#_x0000_t202" style="position:absolute;left:0;text-align:left;margin-left:0;margin-top:53.5pt;width:44.5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" filled="f" stroked="f">
                <v:textbox style="mso-fit-shape-to-text:t">
                  <w:txbxContent>
                    <w:p w14:paraId="434830DA" w14:textId="77777777" w:rsidR="00081F28" w:rsidRDefault="00081F28" w:rsidP="00081F28">
                      <w:pPr>
                        <w:rPr>
                          <w:rFonts w:ascii="Arial" w:hAnsi="Arial" w:cs="Arial"/>
                          <w:b/>
                          <w:bCs/>
                          <w:color w:val="000000" w:themeColor="text1"/>
                          <w:kern w:val="24"/>
                          <w:sz w:val="14"/>
                          <w:szCs w:val="14"/>
                        </w:rPr>
                      </w:pPr>
                      <w:r>
                        <w:rPr>
                          <w:rFonts w:ascii="Arial" w:hAnsi="Arial" w:cs="Arial"/>
                          <w:b/>
                          <w:bCs/>
                          <w:color w:val="000000" w:themeColor="text1"/>
                          <w:kern w:val="24"/>
                          <w:sz w:val="14"/>
                          <w:szCs w:val="14"/>
                        </w:rPr>
                        <w:t>C57BL/6</w:t>
                      </w:r>
                    </w:p>
                  </w:txbxContent>
                </v:textbox>
              </v:shape>
            </w:pict>
          </mc:Fallback>
        </mc:AlternateContent>
      </w:r>
    </w:p>
    <w:p w14:paraId="084185D2" w14:textId="77777777" w:rsidR="00081F28" w:rsidRDefault="00081F28" w:rsidP="00654E8F">
      <w:pPr>
        <w:spacing w:before="240"/>
      </w:pPr>
    </w:p>
    <w:p w14:paraId="368D48BB" w14:textId="77777777" w:rsidR="00081F28" w:rsidRDefault="00081F28" w:rsidP="00654E8F">
      <w:pPr>
        <w:spacing w:before="240"/>
      </w:pPr>
    </w:p>
    <w:p w14:paraId="6424D4C2" w14:textId="77777777" w:rsidR="00081F28" w:rsidRDefault="00081F28" w:rsidP="00654E8F">
      <w:pPr>
        <w:spacing w:before="240"/>
      </w:pPr>
    </w:p>
    <w:p w14:paraId="30489F69" w14:textId="77777777" w:rsidR="00081F28" w:rsidRDefault="00081F28" w:rsidP="00654E8F">
      <w:pPr>
        <w:spacing w:before="240"/>
      </w:pPr>
    </w:p>
    <w:p w14:paraId="6C8CBD78" w14:textId="242544A6" w:rsidR="00081F28" w:rsidRDefault="00081F28">
      <w:pPr>
        <w:spacing w:before="0" w:after="200" w:line="276" w:lineRule="auto"/>
      </w:pPr>
      <w:r w:rsidRPr="00081F28">
        <w:rPr>
          <w:noProof/>
        </w:rPr>
        <mc:AlternateContent>
          <mc:Choice Requires="wps">
            <w:drawing>
              <wp:anchor distT="0" distB="0" distL="114300" distR="114300" simplePos="0" relativeHeight="251667456" behindDoc="0" locked="0" layoutInCell="1" allowOverlap="1" wp14:anchorId="485836C8" wp14:editId="0B49113A">
                <wp:simplePos x="0" y="0"/>
                <wp:positionH relativeFrom="margin">
                  <wp:align>left</wp:align>
                </wp:positionH>
                <wp:positionV relativeFrom="paragraph">
                  <wp:posOffset>9023</wp:posOffset>
                </wp:positionV>
                <wp:extent cx="6407171" cy="1969770"/>
                <wp:effectExtent l="0" t="0" r="0" b="0"/>
                <wp:wrapNone/>
                <wp:docPr id="10" name="TextBox 9">
                  <a:extLst xmlns:a="http://schemas.openxmlformats.org/drawingml/2006/main">
                    <a:ext uri="{FF2B5EF4-FFF2-40B4-BE49-F238E27FC236}">
                      <a16:creationId xmlns:a16="http://schemas.microsoft.com/office/drawing/2014/main" id="{BC1FB242-F594-4BF3-9F73-3AC96C5C507A}"/>
                    </a:ext>
                  </a:extLst>
                </wp:docPr>
                <wp:cNvGraphicFramePr/>
                <a:graphic xmlns:a="http://schemas.openxmlformats.org/drawingml/2006/main">
                  <a:graphicData uri="http://schemas.microsoft.com/office/word/2010/wordprocessingShape">
                    <wps:wsp>
                      <wps:cNvSpPr txBox="1"/>
                      <wps:spPr>
                        <a:xfrm>
                          <a:off x="0" y="0"/>
                          <a:ext cx="6407171" cy="1969770"/>
                        </a:xfrm>
                        <a:prstGeom prst="rect">
                          <a:avLst/>
                        </a:prstGeom>
                        <a:noFill/>
                      </wps:spPr>
                      <wps:txbx>
                        <w:txbxContent>
                          <w:p w14:paraId="4B299C4E" w14:textId="10CA6CC4" w:rsidR="00081F28" w:rsidRPr="00081F28" w:rsidRDefault="00081F28" w:rsidP="00081F28">
                            <w:pPr>
                              <w:jc w:val="both"/>
                              <w:rPr>
                                <w:b/>
                                <w:bCs/>
                                <w:color w:val="000000" w:themeColor="text1"/>
                                <w:kern w:val="24"/>
                                <w:sz w:val="28"/>
                                <w:szCs w:val="28"/>
                              </w:rPr>
                            </w:pPr>
                            <w:r>
                              <w:rPr>
                                <w:b/>
                                <w:bCs/>
                                <w:color w:val="000000" w:themeColor="text1"/>
                                <w:kern w:val="24"/>
                                <w:sz w:val="28"/>
                                <w:szCs w:val="28"/>
                              </w:rPr>
                              <w:t xml:space="preserve">Supplemental Figure 3. </w:t>
                            </w:r>
                            <w:r>
                              <w:rPr>
                                <w:b/>
                                <w:bCs/>
                                <w:color w:val="000000" w:themeColor="text1"/>
                                <w:kern w:val="24"/>
                              </w:rPr>
                              <w:t>Optimization of bleomycin-induced pulmonary fibrosis mouse model.</w:t>
                            </w:r>
                            <w:r>
                              <w:rPr>
                                <w:b/>
                                <w:bCs/>
                                <w:color w:val="000000" w:themeColor="text1"/>
                                <w:kern w:val="24"/>
                                <w:sz w:val="28"/>
                                <w:szCs w:val="28"/>
                              </w:rPr>
                              <w:t xml:space="preserve"> </w:t>
                            </w:r>
                            <w:r>
                              <w:rPr>
                                <w:color w:val="000000" w:themeColor="text1"/>
                                <w:kern w:val="24"/>
                              </w:rPr>
                              <w:t>(</w:t>
                            </w:r>
                            <w:r>
                              <w:rPr>
                                <w:b/>
                                <w:bCs/>
                                <w:color w:val="000000" w:themeColor="text1"/>
                                <w:kern w:val="24"/>
                              </w:rPr>
                              <w:t>A</w:t>
                            </w:r>
                            <w:r>
                              <w:rPr>
                                <w:color w:val="000000" w:themeColor="text1"/>
                                <w:kern w:val="24"/>
                              </w:rPr>
                              <w:t xml:space="preserve">) </w:t>
                            </w:r>
                            <w:r>
                              <w:rPr>
                                <w:rFonts w:eastAsia="SimSun"/>
                                <w:color w:val="000000" w:themeColor="text1"/>
                                <w:kern w:val="24"/>
                              </w:rPr>
                              <w:t>Schematic representation of the BLM-induced lung fibrosis model. (</w:t>
                            </w:r>
                            <w:r>
                              <w:rPr>
                                <w:rFonts w:eastAsia="SimSun"/>
                                <w:b/>
                                <w:bCs/>
                                <w:color w:val="000000" w:themeColor="text1"/>
                                <w:kern w:val="24"/>
                              </w:rPr>
                              <w:t>B</w:t>
                            </w:r>
                            <w:r>
                              <w:rPr>
                                <w:rFonts w:eastAsia="SimSun"/>
                                <w:color w:val="000000" w:themeColor="text1"/>
                                <w:kern w:val="24"/>
                              </w:rPr>
                              <w:t>) Survival rates of C57BL/6 mice given the indicated doses of BLM or saline control for 2 weeks after treatment. (</w:t>
                            </w:r>
                            <w:r>
                              <w:rPr>
                                <w:rFonts w:eastAsia="SimSun"/>
                                <w:b/>
                                <w:bCs/>
                                <w:color w:val="000000" w:themeColor="text1"/>
                                <w:kern w:val="24"/>
                              </w:rPr>
                              <w:t>C</w:t>
                            </w:r>
                            <w:r>
                              <w:rPr>
                                <w:rFonts w:eastAsia="SimSun"/>
                                <w:color w:val="000000" w:themeColor="text1"/>
                                <w:kern w:val="24"/>
                              </w:rPr>
                              <w:t xml:space="preserve">) Mouse lungs were collected to assess hydroxyproline levels at day 14 after BLM injury. </w:t>
                            </w:r>
                            <w:r>
                              <w:rPr>
                                <w:rFonts w:eastAsia="Times New Roman"/>
                                <w:color w:val="000000" w:themeColor="text1"/>
                                <w:kern w:val="24"/>
                              </w:rPr>
                              <w:t xml:space="preserve">Bars represent mean ± </w:t>
                            </w:r>
                            <w:r>
                              <w:rPr>
                                <w:rFonts w:eastAsia="Times New Roman"/>
                                <w:color w:val="000000"/>
                                <w:kern w:val="24"/>
                              </w:rPr>
                              <w:t xml:space="preserve">SEM of </w:t>
                            </w:r>
                            <w:r>
                              <w:rPr>
                                <w:rFonts w:eastAsia="SimSun"/>
                                <w:color w:val="000000" w:themeColor="text1"/>
                                <w:kern w:val="24"/>
                              </w:rPr>
                              <w:t>biologically independent samples</w:t>
                            </w:r>
                            <w:r>
                              <w:rPr>
                                <w:rFonts w:eastAsia="Times New Roman"/>
                                <w:color w:val="000000" w:themeColor="text1"/>
                                <w:kern w:val="24"/>
                              </w:rPr>
                              <w:t xml:space="preserve">. All </w:t>
                            </w:r>
                            <w:r>
                              <w:rPr>
                                <w:rFonts w:eastAsia="Times New Roman"/>
                                <w:i/>
                                <w:iCs/>
                                <w:color w:val="000000" w:themeColor="text1"/>
                                <w:kern w:val="24"/>
                              </w:rPr>
                              <w:t>P</w:t>
                            </w:r>
                            <w:r>
                              <w:rPr>
                                <w:rFonts w:eastAsia="Times New Roman"/>
                                <w:color w:val="000000" w:themeColor="text1"/>
                                <w:kern w:val="24"/>
                              </w:rPr>
                              <w:t xml:space="preserve"> values were obtained </w:t>
                            </w:r>
                            <w:r>
                              <w:rPr>
                                <w:rFonts w:eastAsia="SimSun"/>
                                <w:color w:val="000000" w:themeColor="text1"/>
                                <w:kern w:val="24"/>
                              </w:rPr>
                              <w:t xml:space="preserve">by the </w:t>
                            </w:r>
                            <w:proofErr w:type="gramStart"/>
                            <w:r>
                              <w:rPr>
                                <w:rFonts w:eastAsia="SimSun"/>
                                <w:color w:val="000000" w:themeColor="text1"/>
                                <w:kern w:val="24"/>
                              </w:rPr>
                              <w:t>Student’s</w:t>
                            </w:r>
                            <w:proofErr w:type="gramEnd"/>
                            <w:r>
                              <w:rPr>
                                <w:rFonts w:eastAsia="SimSun"/>
                                <w:color w:val="000000" w:themeColor="text1"/>
                                <w:kern w:val="24"/>
                              </w:rPr>
                              <w:t xml:space="preserve"> two-tailed unpaired </w:t>
                            </w:r>
                            <w:r>
                              <w:rPr>
                                <w:rFonts w:eastAsia="SimSun"/>
                                <w:i/>
                                <w:iCs/>
                                <w:color w:val="000000" w:themeColor="text1"/>
                                <w:kern w:val="24"/>
                              </w:rPr>
                              <w:t>t</w:t>
                            </w:r>
                            <w:r>
                              <w:rPr>
                                <w:rFonts w:eastAsia="SimSun"/>
                                <w:color w:val="000000" w:themeColor="text1"/>
                                <w:kern w:val="24"/>
                              </w:rPr>
                              <w:t xml:space="preserve"> test for comparisons between each BLM group and saline control group. *</w:t>
                            </w:r>
                            <w:r>
                              <w:rPr>
                                <w:rFonts w:eastAsia="SimSun"/>
                                <w:i/>
                                <w:iCs/>
                                <w:color w:val="000000" w:themeColor="text1"/>
                                <w:kern w:val="24"/>
                              </w:rPr>
                              <w:t>P</w:t>
                            </w:r>
                            <w:r>
                              <w:rPr>
                                <w:rFonts w:eastAsia="SimSun"/>
                                <w:color w:val="000000" w:themeColor="text1"/>
                                <w:kern w:val="24"/>
                              </w:rPr>
                              <w:t xml:space="preserve"> &lt; 0.05. **</w:t>
                            </w:r>
                            <w:r>
                              <w:rPr>
                                <w:rFonts w:eastAsia="SimSun"/>
                                <w:i/>
                                <w:iCs/>
                                <w:color w:val="000000" w:themeColor="text1"/>
                                <w:kern w:val="24"/>
                              </w:rPr>
                              <w:t>P</w:t>
                            </w:r>
                            <w:r>
                              <w:rPr>
                                <w:rFonts w:eastAsia="SimSun"/>
                                <w:color w:val="000000" w:themeColor="text1"/>
                                <w:kern w:val="24"/>
                              </w:rPr>
                              <w:t xml:space="preserve"> &lt; 0.01. *** </w:t>
                            </w:r>
                            <w:r>
                              <w:rPr>
                                <w:rFonts w:eastAsia="SimSun"/>
                                <w:i/>
                                <w:iCs/>
                                <w:color w:val="000000" w:themeColor="text1"/>
                                <w:kern w:val="24"/>
                              </w:rPr>
                              <w:t>P</w:t>
                            </w:r>
                            <w:r>
                              <w:rPr>
                                <w:rFonts w:eastAsia="SimSun"/>
                                <w:color w:val="000000" w:themeColor="text1"/>
                                <w:kern w:val="24"/>
                              </w:rPr>
                              <w:t xml:space="preserve"> &lt; 0.001. </w:t>
                            </w:r>
                          </w:p>
                        </w:txbxContent>
                      </wps:txbx>
                      <wps:bodyPr wrap="square" rtlCol="0">
                        <a:spAutoFit/>
                      </wps:bodyPr>
                    </wps:wsp>
                  </a:graphicData>
                </a:graphic>
              </wp:anchor>
            </w:drawing>
          </mc:Choice>
          <mc:Fallback>
            <w:pict>
              <v:shape w14:anchorId="485836C8" id="TextBox 9" o:spid="_x0000_s1030" type="#_x0000_t202" style="position:absolute;margin-left:0;margin-top:.7pt;width:504.5pt;height:155.1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" filled="f" stroked="f">
                <v:textbox style="mso-fit-shape-to-text:t">
                  <w:txbxContent>
                    <w:p w14:paraId="4B299C4E" w14:textId="10CA6CC4" w:rsidR="00081F28" w:rsidRPr="00081F28" w:rsidRDefault="00081F28" w:rsidP="00081F28">
                      <w:pPr>
                        <w:jc w:val="both"/>
                        <w:rPr>
                          <w:b/>
                          <w:bCs/>
                          <w:color w:val="000000" w:themeColor="text1"/>
                          <w:kern w:val="24"/>
                          <w:sz w:val="28"/>
                          <w:szCs w:val="28"/>
                        </w:rPr>
                      </w:pPr>
                      <w:r>
                        <w:rPr>
                          <w:b/>
                          <w:bCs/>
                          <w:color w:val="000000" w:themeColor="text1"/>
                          <w:kern w:val="24"/>
                          <w:sz w:val="28"/>
                          <w:szCs w:val="28"/>
                        </w:rPr>
                        <w:t xml:space="preserve">Supplemental Figure 3. </w:t>
                      </w:r>
                      <w:r>
                        <w:rPr>
                          <w:b/>
                          <w:bCs/>
                          <w:color w:val="000000" w:themeColor="text1"/>
                          <w:kern w:val="24"/>
                        </w:rPr>
                        <w:t>Optimization of bleomycin-induced pulmonary fibrosis mouse model.</w:t>
                      </w:r>
                      <w:r>
                        <w:rPr>
                          <w:b/>
                          <w:bCs/>
                          <w:color w:val="000000" w:themeColor="text1"/>
                          <w:kern w:val="24"/>
                          <w:sz w:val="28"/>
                          <w:szCs w:val="28"/>
                        </w:rPr>
                        <w:t xml:space="preserve"> </w:t>
                      </w:r>
                      <w:r>
                        <w:rPr>
                          <w:color w:val="000000" w:themeColor="text1"/>
                          <w:kern w:val="24"/>
                        </w:rPr>
                        <w:t>(</w:t>
                      </w:r>
                      <w:r>
                        <w:rPr>
                          <w:b/>
                          <w:bCs/>
                          <w:color w:val="000000" w:themeColor="text1"/>
                          <w:kern w:val="24"/>
                        </w:rPr>
                        <w:t>A</w:t>
                      </w:r>
                      <w:r>
                        <w:rPr>
                          <w:color w:val="000000" w:themeColor="text1"/>
                          <w:kern w:val="24"/>
                        </w:rPr>
                        <w:t xml:space="preserve">) </w:t>
                      </w:r>
                      <w:r>
                        <w:rPr>
                          <w:rFonts w:eastAsia="SimSun"/>
                          <w:color w:val="000000" w:themeColor="text1"/>
                          <w:kern w:val="24"/>
                        </w:rPr>
                        <w:t>Schematic representation of the BLM-induced lung fibrosis model. (</w:t>
                      </w:r>
                      <w:r>
                        <w:rPr>
                          <w:rFonts w:eastAsia="SimSun"/>
                          <w:b/>
                          <w:bCs/>
                          <w:color w:val="000000" w:themeColor="text1"/>
                          <w:kern w:val="24"/>
                        </w:rPr>
                        <w:t>B</w:t>
                      </w:r>
                      <w:r>
                        <w:rPr>
                          <w:rFonts w:eastAsia="SimSun"/>
                          <w:color w:val="000000" w:themeColor="text1"/>
                          <w:kern w:val="24"/>
                        </w:rPr>
                        <w:t>) Survival rates of C57BL/6 mice given the indicated doses of BLM or saline control for 2 weeks after treatment. (</w:t>
                      </w:r>
                      <w:r>
                        <w:rPr>
                          <w:rFonts w:eastAsia="SimSun"/>
                          <w:b/>
                          <w:bCs/>
                          <w:color w:val="000000" w:themeColor="text1"/>
                          <w:kern w:val="24"/>
                        </w:rPr>
                        <w:t>C</w:t>
                      </w:r>
                      <w:r>
                        <w:rPr>
                          <w:rFonts w:eastAsia="SimSun"/>
                          <w:color w:val="000000" w:themeColor="text1"/>
                          <w:kern w:val="24"/>
                        </w:rPr>
                        <w:t xml:space="preserve">) Mouse lungs were collected to assess hydroxyproline levels at day 14 after BLM injury. </w:t>
                      </w:r>
                      <w:r>
                        <w:rPr>
                          <w:rFonts w:eastAsia="Times New Roman"/>
                          <w:color w:val="000000" w:themeColor="text1"/>
                          <w:kern w:val="24"/>
                        </w:rPr>
                        <w:t xml:space="preserve">Bars represent mean ± </w:t>
                      </w:r>
                      <w:r>
                        <w:rPr>
                          <w:rFonts w:eastAsia="Times New Roman"/>
                          <w:color w:val="000000"/>
                          <w:kern w:val="24"/>
                        </w:rPr>
                        <w:t xml:space="preserve">SEM of </w:t>
                      </w:r>
                      <w:r>
                        <w:rPr>
                          <w:rFonts w:eastAsia="SimSun"/>
                          <w:color w:val="000000" w:themeColor="text1"/>
                          <w:kern w:val="24"/>
                        </w:rPr>
                        <w:t>biologically independent samples</w:t>
                      </w:r>
                      <w:r>
                        <w:rPr>
                          <w:rFonts w:eastAsia="Times New Roman"/>
                          <w:color w:val="000000" w:themeColor="text1"/>
                          <w:kern w:val="24"/>
                        </w:rPr>
                        <w:t xml:space="preserve">. All </w:t>
                      </w:r>
                      <w:r>
                        <w:rPr>
                          <w:rFonts w:eastAsia="Times New Roman"/>
                          <w:i/>
                          <w:iCs/>
                          <w:color w:val="000000" w:themeColor="text1"/>
                          <w:kern w:val="24"/>
                        </w:rPr>
                        <w:t>P</w:t>
                      </w:r>
                      <w:r>
                        <w:rPr>
                          <w:rFonts w:eastAsia="Times New Roman"/>
                          <w:color w:val="000000" w:themeColor="text1"/>
                          <w:kern w:val="24"/>
                        </w:rPr>
                        <w:t xml:space="preserve"> values were obtained </w:t>
                      </w:r>
                      <w:r>
                        <w:rPr>
                          <w:rFonts w:eastAsia="SimSun"/>
                          <w:color w:val="000000" w:themeColor="text1"/>
                          <w:kern w:val="24"/>
                        </w:rPr>
                        <w:t xml:space="preserve">by the </w:t>
                      </w:r>
                      <w:proofErr w:type="gramStart"/>
                      <w:r>
                        <w:rPr>
                          <w:rFonts w:eastAsia="SimSun"/>
                          <w:color w:val="000000" w:themeColor="text1"/>
                          <w:kern w:val="24"/>
                        </w:rPr>
                        <w:t>Student’s</w:t>
                      </w:r>
                      <w:proofErr w:type="gramEnd"/>
                      <w:r>
                        <w:rPr>
                          <w:rFonts w:eastAsia="SimSun"/>
                          <w:color w:val="000000" w:themeColor="text1"/>
                          <w:kern w:val="24"/>
                        </w:rPr>
                        <w:t xml:space="preserve"> two-tailed unpaired </w:t>
                      </w:r>
                      <w:r>
                        <w:rPr>
                          <w:rFonts w:eastAsia="SimSun"/>
                          <w:i/>
                          <w:iCs/>
                          <w:color w:val="000000" w:themeColor="text1"/>
                          <w:kern w:val="24"/>
                        </w:rPr>
                        <w:t>t</w:t>
                      </w:r>
                      <w:r>
                        <w:rPr>
                          <w:rFonts w:eastAsia="SimSun"/>
                          <w:color w:val="000000" w:themeColor="text1"/>
                          <w:kern w:val="24"/>
                        </w:rPr>
                        <w:t xml:space="preserve"> test for comparisons between each BLM group and saline control group. *</w:t>
                      </w:r>
                      <w:r>
                        <w:rPr>
                          <w:rFonts w:eastAsia="SimSun"/>
                          <w:i/>
                          <w:iCs/>
                          <w:color w:val="000000" w:themeColor="text1"/>
                          <w:kern w:val="24"/>
                        </w:rPr>
                        <w:t>P</w:t>
                      </w:r>
                      <w:r>
                        <w:rPr>
                          <w:rFonts w:eastAsia="SimSun"/>
                          <w:color w:val="000000" w:themeColor="text1"/>
                          <w:kern w:val="24"/>
                        </w:rPr>
                        <w:t xml:space="preserve"> &lt; 0.05. **</w:t>
                      </w:r>
                      <w:r>
                        <w:rPr>
                          <w:rFonts w:eastAsia="SimSun"/>
                          <w:i/>
                          <w:iCs/>
                          <w:color w:val="000000" w:themeColor="text1"/>
                          <w:kern w:val="24"/>
                        </w:rPr>
                        <w:t>P</w:t>
                      </w:r>
                      <w:r>
                        <w:rPr>
                          <w:rFonts w:eastAsia="SimSun"/>
                          <w:color w:val="000000" w:themeColor="text1"/>
                          <w:kern w:val="24"/>
                        </w:rPr>
                        <w:t xml:space="preserve"> &lt; 0.01. *** </w:t>
                      </w:r>
                      <w:r>
                        <w:rPr>
                          <w:rFonts w:eastAsia="SimSun"/>
                          <w:i/>
                          <w:iCs/>
                          <w:color w:val="000000" w:themeColor="text1"/>
                          <w:kern w:val="24"/>
                        </w:rPr>
                        <w:t>P</w:t>
                      </w:r>
                      <w:r>
                        <w:rPr>
                          <w:rFonts w:eastAsia="SimSun"/>
                          <w:color w:val="000000" w:themeColor="text1"/>
                          <w:kern w:val="24"/>
                        </w:rPr>
                        <w:t xml:space="preserve"> &lt; 0.001. </w:t>
                      </w:r>
                    </w:p>
                  </w:txbxContent>
                </v:textbox>
                <w10:wrap anchorx="margin"/>
              </v:shape>
            </w:pict>
          </mc:Fallback>
        </mc:AlternateContent>
      </w:r>
      <w:r>
        <w:br w:type="page"/>
      </w:r>
    </w:p>
    <w:p w14:paraId="4B276E7B" w14:textId="40E4E415" w:rsidR="00D84E6B" w:rsidRDefault="00081F28" w:rsidP="00081F28">
      <w:pPr>
        <w:spacing w:before="240"/>
      </w:pPr>
      <w:r>
        <w:rPr>
          <w:noProof/>
        </w:rPr>
        <w:lastRenderedPageBreak/>
        <w:drawing>
          <wp:inline distT="0" distB="0" distL="0" distR="0" wp14:anchorId="1D7384F9" wp14:editId="5A755BFE">
            <wp:extent cx="6217920" cy="5402580"/>
            <wp:effectExtent l="0" t="0" r="0" b="7620"/>
            <wp:docPr id="69895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920" cy="5402580"/>
                    </a:xfrm>
                    <a:prstGeom prst="rect">
                      <a:avLst/>
                    </a:prstGeom>
                    <a:noFill/>
                  </pic:spPr>
                </pic:pic>
              </a:graphicData>
            </a:graphic>
          </wp:inline>
        </w:drawing>
      </w:r>
      <w:r w:rsidRPr="00081F28">
        <w:rPr>
          <w:rFonts w:eastAsiaTheme="minorEastAsia" w:cs="Times New Roman"/>
          <w:b/>
          <w:bCs/>
          <w:color w:val="000000" w:themeColor="text1"/>
          <w:kern w:val="24"/>
          <w:sz w:val="28"/>
          <w:szCs w:val="28"/>
        </w:rPr>
        <w:t xml:space="preserve"> </w:t>
      </w:r>
      <w:r w:rsidRPr="00081F28">
        <w:rPr>
          <w:b/>
          <w:bCs/>
        </w:rPr>
        <w:t>Supplemental Figure 4</w:t>
      </w:r>
      <w:r>
        <w:t xml:space="preserve">. </w:t>
      </w:r>
      <w:r w:rsidRPr="00081F28">
        <w:rPr>
          <w:b/>
          <w:bCs/>
        </w:rPr>
        <w:t xml:space="preserve">Lung </w:t>
      </w:r>
      <w:proofErr w:type="spellStart"/>
      <w:r w:rsidRPr="00081F28">
        <w:rPr>
          <w:b/>
          <w:bCs/>
        </w:rPr>
        <w:t>immunoprofiles</w:t>
      </w:r>
      <w:proofErr w:type="spellEnd"/>
      <w:r w:rsidRPr="00081F28">
        <w:rPr>
          <w:b/>
          <w:bCs/>
        </w:rPr>
        <w:t xml:space="preserve"> in the saline- or BLM-treated WT and CD11c-DicerKO mice.</w:t>
      </w:r>
      <w:r>
        <w:t xml:space="preserve"> </w:t>
      </w:r>
      <w:proofErr w:type="spellStart"/>
      <w:r w:rsidRPr="00081F28">
        <w:rPr>
          <w:i/>
          <w:iCs/>
        </w:rPr>
        <w:t>Dicer</w:t>
      </w:r>
      <w:r w:rsidRPr="00081F28">
        <w:rPr>
          <w:i/>
          <w:iCs/>
          <w:vertAlign w:val="superscript"/>
        </w:rPr>
        <w:t>fl</w:t>
      </w:r>
      <w:proofErr w:type="spellEnd"/>
      <w:r w:rsidRPr="00081F28">
        <w:rPr>
          <w:i/>
          <w:iCs/>
          <w:vertAlign w:val="superscript"/>
        </w:rPr>
        <w:t>/</w:t>
      </w:r>
      <w:proofErr w:type="spellStart"/>
      <w:r w:rsidRPr="00081F28">
        <w:rPr>
          <w:i/>
          <w:iCs/>
          <w:vertAlign w:val="superscript"/>
        </w:rPr>
        <w:t>fl</w:t>
      </w:r>
      <w:proofErr w:type="spellEnd"/>
      <w:r w:rsidRPr="00081F28">
        <w:t xml:space="preserve"> (WT) and </w:t>
      </w:r>
      <w:r w:rsidRPr="00081F28">
        <w:rPr>
          <w:i/>
          <w:iCs/>
        </w:rPr>
        <w:t>Cd11c</w:t>
      </w:r>
      <w:r w:rsidRPr="00081F28">
        <w:rPr>
          <w:i/>
          <w:iCs/>
          <w:vertAlign w:val="superscript"/>
        </w:rPr>
        <w:t>cre</w:t>
      </w:r>
      <w:r w:rsidRPr="00081F28">
        <w:rPr>
          <w:i/>
          <w:iCs/>
        </w:rPr>
        <w:t>Dicer</w:t>
      </w:r>
      <w:r w:rsidRPr="00081F28">
        <w:rPr>
          <w:i/>
          <w:iCs/>
          <w:vertAlign w:val="superscript"/>
        </w:rPr>
        <w:t>fl/</w:t>
      </w:r>
      <w:proofErr w:type="spellStart"/>
      <w:r w:rsidRPr="00081F28">
        <w:rPr>
          <w:i/>
          <w:iCs/>
          <w:vertAlign w:val="superscript"/>
        </w:rPr>
        <w:t>fl</w:t>
      </w:r>
      <w:proofErr w:type="spellEnd"/>
      <w:r w:rsidRPr="00081F28">
        <w:t xml:space="preserve"> (KO) mice were intratracheally administered with saline or BLM and the lungs were harvested for flow cytometry analysis at day 15 after treatment. Data shown are the absolute numbers of total lung cells and the indicated immune cell populations. Each dot represents one </w:t>
      </w:r>
      <w:proofErr w:type="gramStart"/>
      <w:r w:rsidRPr="00081F28">
        <w:t>mouse</w:t>
      </w:r>
      <w:proofErr w:type="gramEnd"/>
      <w:r w:rsidRPr="00081F28">
        <w:t xml:space="preserve"> and bars represent mean ± SD of biologically independent samples in each panel. All </w:t>
      </w:r>
      <w:r w:rsidRPr="00081F28">
        <w:rPr>
          <w:i/>
          <w:iCs/>
        </w:rPr>
        <w:t>P</w:t>
      </w:r>
      <w:r w:rsidRPr="00081F28">
        <w:t xml:space="preserve"> values obtained by the </w:t>
      </w:r>
      <w:proofErr w:type="gramStart"/>
      <w:r w:rsidRPr="00081F28">
        <w:t>Student’s</w:t>
      </w:r>
      <w:proofErr w:type="gramEnd"/>
      <w:r w:rsidRPr="00081F28">
        <w:t xml:space="preserve"> two-tailed unpaired </w:t>
      </w:r>
      <w:r w:rsidRPr="00081F28">
        <w:rPr>
          <w:i/>
          <w:iCs/>
        </w:rPr>
        <w:t>t</w:t>
      </w:r>
      <w:r w:rsidRPr="00081F28">
        <w:t xml:space="preserve"> test. *</w:t>
      </w:r>
      <w:r w:rsidRPr="00081F28">
        <w:rPr>
          <w:i/>
          <w:iCs/>
        </w:rPr>
        <w:t>P</w:t>
      </w:r>
      <w:r w:rsidRPr="00081F28">
        <w:t xml:space="preserve"> &lt; 0.05; **</w:t>
      </w:r>
      <w:r w:rsidRPr="00081F28">
        <w:rPr>
          <w:i/>
          <w:iCs/>
        </w:rPr>
        <w:t>P</w:t>
      </w:r>
      <w:r w:rsidRPr="00081F28">
        <w:t xml:space="preserve"> &lt; 0.01; ***</w:t>
      </w:r>
      <w:r w:rsidRPr="00081F28">
        <w:rPr>
          <w:i/>
          <w:iCs/>
        </w:rPr>
        <w:t>P</w:t>
      </w:r>
      <w:r w:rsidRPr="00081F28">
        <w:t xml:space="preserve"> &lt; 0.001. </w:t>
      </w:r>
      <w:r w:rsidRPr="00081F28">
        <w:rPr>
          <w:i/>
          <w:iCs/>
        </w:rPr>
        <w:t>N.S.</w:t>
      </w:r>
      <w:r w:rsidRPr="00081F28">
        <w:t>, not significant.</w:t>
      </w:r>
    </w:p>
    <w:p w14:paraId="280ED664" w14:textId="77777777" w:rsidR="00D84E6B" w:rsidRDefault="00D84E6B">
      <w:pPr>
        <w:spacing w:before="0" w:after="200" w:line="276" w:lineRule="auto"/>
      </w:pPr>
      <w:r>
        <w:br w:type="page"/>
      </w:r>
    </w:p>
    <w:p w14:paraId="5ED2EEF0" w14:textId="77777777" w:rsidR="00CC411D" w:rsidRDefault="00CC411D" w:rsidP="000B6473">
      <w:pPr>
        <w:spacing w:before="240"/>
        <w:jc w:val="both"/>
        <w:rPr>
          <w:b/>
          <w:bCs/>
        </w:rPr>
      </w:pPr>
      <w:r>
        <w:rPr>
          <w:b/>
          <w:bCs/>
          <w:noProof/>
        </w:rPr>
        <w:lastRenderedPageBreak/>
        <w:drawing>
          <wp:inline distT="0" distB="0" distL="0" distR="0" wp14:anchorId="5C83B53C" wp14:editId="36099DEF">
            <wp:extent cx="4552950" cy="3125539"/>
            <wp:effectExtent l="0" t="0" r="0" b="0"/>
            <wp:docPr id="118772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6149" cy="3127735"/>
                    </a:xfrm>
                    <a:prstGeom prst="rect">
                      <a:avLst/>
                    </a:prstGeom>
                    <a:noFill/>
                  </pic:spPr>
                </pic:pic>
              </a:graphicData>
            </a:graphic>
          </wp:inline>
        </w:drawing>
      </w:r>
    </w:p>
    <w:p w14:paraId="22588F12" w14:textId="43975199" w:rsidR="00B97B2D" w:rsidRDefault="00B97B2D" w:rsidP="007F5876">
      <w:pPr>
        <w:spacing w:before="240"/>
        <w:jc w:val="both"/>
      </w:pPr>
      <w:r w:rsidRPr="00081F28">
        <w:rPr>
          <w:b/>
          <w:bCs/>
        </w:rPr>
        <w:t xml:space="preserve">Supplemental Figure </w:t>
      </w:r>
      <w:r w:rsidR="004E7EC1">
        <w:rPr>
          <w:b/>
          <w:bCs/>
        </w:rPr>
        <w:t>5</w:t>
      </w:r>
      <w:r>
        <w:t xml:space="preserve">. </w:t>
      </w:r>
      <w:r w:rsidR="009B340C" w:rsidRPr="009B340C">
        <w:rPr>
          <w:b/>
          <w:bCs/>
        </w:rPr>
        <w:t xml:space="preserve">Validating the relationship between histology microphotographs–based </w:t>
      </w:r>
      <w:r w:rsidR="0066538A">
        <w:rPr>
          <w:b/>
          <w:bCs/>
        </w:rPr>
        <w:t xml:space="preserve">BLM induced </w:t>
      </w:r>
      <w:r w:rsidR="009B340C" w:rsidRPr="009B340C">
        <w:rPr>
          <w:b/>
          <w:bCs/>
        </w:rPr>
        <w:t>lung fibrosis scores and hydroxyproline levels, including lung and BAL fluid containing TR-AM and Mo-AM populations</w:t>
      </w:r>
      <w:r w:rsidR="009B340C">
        <w:rPr>
          <w:b/>
          <w:bCs/>
        </w:rPr>
        <w:t xml:space="preserve">. </w:t>
      </w:r>
      <w:r w:rsidRPr="00CC411D">
        <w:t>Data shown are the</w:t>
      </w:r>
      <w:r w:rsidR="00CC411D">
        <w:t xml:space="preserve"> relative correlation of</w:t>
      </w:r>
      <w:r w:rsidR="009B340C" w:rsidRPr="00CC411D">
        <w:rPr>
          <w:color w:val="000000" w:themeColor="text1"/>
        </w:rPr>
        <w:t xml:space="preserve"> Ashcroft fibrosis score compared with </w:t>
      </w:r>
      <w:r w:rsidR="009B340C" w:rsidRPr="00CC411D">
        <w:t>hydroxyproline levels</w:t>
      </w:r>
      <w:r w:rsidR="009B340C">
        <w:rPr>
          <w:b/>
          <w:bCs/>
        </w:rPr>
        <w:t xml:space="preserve"> (A),</w:t>
      </w:r>
      <w:r w:rsidR="009B340C" w:rsidRPr="00081F28">
        <w:t xml:space="preserve"> </w:t>
      </w:r>
      <w:r w:rsidR="009B340C" w:rsidRPr="00CC411D">
        <w:t xml:space="preserve">numbers of total TR-AM and Mo-AM in </w:t>
      </w:r>
      <w:r w:rsidR="009B340C" w:rsidRPr="00CC411D">
        <w:rPr>
          <w:color w:val="000000" w:themeColor="text1"/>
        </w:rPr>
        <w:t>BAL</w:t>
      </w:r>
      <w:r w:rsidR="009B340C">
        <w:rPr>
          <w:b/>
          <w:bCs/>
          <w:color w:val="000000" w:themeColor="text1"/>
        </w:rPr>
        <w:t xml:space="preserve"> </w:t>
      </w:r>
      <w:r w:rsidR="009B340C">
        <w:rPr>
          <w:b/>
          <w:bCs/>
        </w:rPr>
        <w:t>(B</w:t>
      </w:r>
      <w:r w:rsidR="009B340C" w:rsidRPr="00CC411D">
        <w:t xml:space="preserve">), </w:t>
      </w:r>
      <w:r w:rsidR="009B340C" w:rsidRPr="00CC411D">
        <w:rPr>
          <w:color w:val="000000" w:themeColor="text1"/>
        </w:rPr>
        <w:t xml:space="preserve">and </w:t>
      </w:r>
      <w:r w:rsidR="009B340C" w:rsidRPr="00CC411D">
        <w:t>TR-AM and Mo-AM in</w:t>
      </w:r>
      <w:r w:rsidR="009B340C" w:rsidRPr="00CC411D">
        <w:rPr>
          <w:color w:val="000000" w:themeColor="text1"/>
        </w:rPr>
        <w:t xml:space="preserve"> lung </w:t>
      </w:r>
      <w:r w:rsidR="009B340C" w:rsidRPr="00CC411D">
        <w:rPr>
          <w:b/>
          <w:bCs/>
          <w:color w:val="000000" w:themeColor="text1"/>
        </w:rPr>
        <w:t>(</w:t>
      </w:r>
      <w:r w:rsidR="009B340C">
        <w:rPr>
          <w:b/>
          <w:bCs/>
          <w:color w:val="000000" w:themeColor="text1"/>
        </w:rPr>
        <w:t xml:space="preserve">C) </w:t>
      </w:r>
      <w:r w:rsidR="009B340C" w:rsidRPr="00CC411D">
        <w:rPr>
          <w:color w:val="000000" w:themeColor="text1"/>
        </w:rPr>
        <w:t>after bleomycin induction</w:t>
      </w:r>
      <w:r w:rsidR="009B340C">
        <w:rPr>
          <w:b/>
          <w:bCs/>
          <w:color w:val="000000" w:themeColor="text1"/>
        </w:rPr>
        <w:t xml:space="preserve">. </w:t>
      </w:r>
      <w:r w:rsidRPr="00081F28">
        <w:t>Each dot represents one mouse</w:t>
      </w:r>
      <w:r w:rsidR="009B340C">
        <w:t xml:space="preserve">, R represent regression coefficient, and </w:t>
      </w:r>
      <w:r w:rsidR="009B340C" w:rsidRPr="009B340C">
        <w:rPr>
          <w:i/>
          <w:iCs/>
        </w:rPr>
        <w:t>P</w:t>
      </w:r>
      <w:r w:rsidR="009B340C">
        <w:t xml:space="preserve"> represents the </w:t>
      </w:r>
      <w:r w:rsidR="00CC411D">
        <w:t>significance after regression analysis</w:t>
      </w:r>
      <w:r w:rsidRPr="00081F28">
        <w:t xml:space="preserve"> *</w:t>
      </w:r>
      <w:r w:rsidRPr="00081F28">
        <w:rPr>
          <w:i/>
          <w:iCs/>
        </w:rPr>
        <w:t>P</w:t>
      </w:r>
      <w:r w:rsidRPr="00081F28">
        <w:t xml:space="preserve"> &lt; 0.05; **</w:t>
      </w:r>
      <w:r w:rsidRPr="00081F28">
        <w:rPr>
          <w:i/>
          <w:iCs/>
        </w:rPr>
        <w:t>P</w:t>
      </w:r>
      <w:r w:rsidRPr="00081F28">
        <w:t xml:space="preserve"> &lt; 0.01; ***</w:t>
      </w:r>
      <w:r w:rsidRPr="00081F28">
        <w:rPr>
          <w:i/>
          <w:iCs/>
        </w:rPr>
        <w:t>P</w:t>
      </w:r>
      <w:r w:rsidRPr="00081F28">
        <w:t xml:space="preserve"> &lt; 0.001</w:t>
      </w:r>
      <w:r w:rsidR="00CC411D">
        <w:t xml:space="preserve"> and </w:t>
      </w:r>
      <w:r w:rsidR="00CC411D" w:rsidRPr="00081F28">
        <w:rPr>
          <w:i/>
          <w:iCs/>
        </w:rPr>
        <w:t>P</w:t>
      </w:r>
      <w:r w:rsidR="00CC411D" w:rsidRPr="00081F28">
        <w:t xml:space="preserve"> </w:t>
      </w:r>
      <w:r w:rsidR="00CC411D">
        <w:sym w:font="Symbol" w:char="F03E"/>
      </w:r>
      <w:r w:rsidR="00CC411D" w:rsidRPr="00081F28">
        <w:t>0.05</w:t>
      </w:r>
      <w:r w:rsidR="00CC411D">
        <w:t xml:space="preserve"> is </w:t>
      </w:r>
      <w:r w:rsidRPr="00081F28">
        <w:rPr>
          <w:i/>
          <w:iCs/>
        </w:rPr>
        <w:t>N.S.</w:t>
      </w:r>
      <w:r w:rsidRPr="00081F28">
        <w:t>, not significant.</w:t>
      </w:r>
    </w:p>
    <w:sectPr w:rsidR="00B97B2D"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D8FC" w14:textId="77777777" w:rsidR="003D2D47" w:rsidRDefault="003D2D47" w:rsidP="00117666">
      <w:pPr>
        <w:spacing w:after="0"/>
      </w:pPr>
      <w:r>
        <w:separator/>
      </w:r>
    </w:p>
  </w:endnote>
  <w:endnote w:type="continuationSeparator" w:id="0">
    <w:p w14:paraId="68A94BCB" w14:textId="77777777" w:rsidR="003D2D47" w:rsidRDefault="003D2D4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081F28"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81F2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81F2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081F28"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81F2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3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81F28"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35AC" w14:textId="77777777" w:rsidR="003D2D47" w:rsidRDefault="003D2D47" w:rsidP="00117666">
      <w:pPr>
        <w:spacing w:after="0"/>
      </w:pPr>
      <w:r>
        <w:separator/>
      </w:r>
    </w:p>
  </w:footnote>
  <w:footnote w:type="continuationSeparator" w:id="0">
    <w:p w14:paraId="6A0AA9D1" w14:textId="77777777" w:rsidR="003D2D47" w:rsidRDefault="003D2D4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081F28"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081F28"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81F28"/>
    <w:rsid w:val="000B6473"/>
    <w:rsid w:val="000C62C6"/>
    <w:rsid w:val="00105FD9"/>
    <w:rsid w:val="00117666"/>
    <w:rsid w:val="001549D3"/>
    <w:rsid w:val="00160065"/>
    <w:rsid w:val="00177D84"/>
    <w:rsid w:val="001B4638"/>
    <w:rsid w:val="00267D18"/>
    <w:rsid w:val="002868E2"/>
    <w:rsid w:val="002869C3"/>
    <w:rsid w:val="002936E4"/>
    <w:rsid w:val="002B4A57"/>
    <w:rsid w:val="002C74CA"/>
    <w:rsid w:val="003544FB"/>
    <w:rsid w:val="003D2D47"/>
    <w:rsid w:val="003D2F2D"/>
    <w:rsid w:val="003D7084"/>
    <w:rsid w:val="00401590"/>
    <w:rsid w:val="00447801"/>
    <w:rsid w:val="00452E9C"/>
    <w:rsid w:val="004735C8"/>
    <w:rsid w:val="00484BA8"/>
    <w:rsid w:val="004961FF"/>
    <w:rsid w:val="004C2477"/>
    <w:rsid w:val="004E7EC1"/>
    <w:rsid w:val="00517A89"/>
    <w:rsid w:val="005250F2"/>
    <w:rsid w:val="00593EEA"/>
    <w:rsid w:val="005A5EEE"/>
    <w:rsid w:val="006375C7"/>
    <w:rsid w:val="00654E8F"/>
    <w:rsid w:val="00660D05"/>
    <w:rsid w:val="0066538A"/>
    <w:rsid w:val="006820B1"/>
    <w:rsid w:val="006B7D14"/>
    <w:rsid w:val="00701727"/>
    <w:rsid w:val="0070566C"/>
    <w:rsid w:val="00714C50"/>
    <w:rsid w:val="00725A7D"/>
    <w:rsid w:val="007501BE"/>
    <w:rsid w:val="00790BB3"/>
    <w:rsid w:val="007C206C"/>
    <w:rsid w:val="007F5876"/>
    <w:rsid w:val="00803D24"/>
    <w:rsid w:val="00817DD6"/>
    <w:rsid w:val="00885156"/>
    <w:rsid w:val="009151AA"/>
    <w:rsid w:val="0093429D"/>
    <w:rsid w:val="00943573"/>
    <w:rsid w:val="00970F7D"/>
    <w:rsid w:val="00994A3D"/>
    <w:rsid w:val="009B340C"/>
    <w:rsid w:val="009C2B12"/>
    <w:rsid w:val="009C70F3"/>
    <w:rsid w:val="00A174D9"/>
    <w:rsid w:val="00A17BA2"/>
    <w:rsid w:val="00A569CD"/>
    <w:rsid w:val="00AB5EE2"/>
    <w:rsid w:val="00AB6715"/>
    <w:rsid w:val="00B1671E"/>
    <w:rsid w:val="00B25EB8"/>
    <w:rsid w:val="00B354E1"/>
    <w:rsid w:val="00B37F4D"/>
    <w:rsid w:val="00B97B2D"/>
    <w:rsid w:val="00C52A7B"/>
    <w:rsid w:val="00C56BAF"/>
    <w:rsid w:val="00C679AA"/>
    <w:rsid w:val="00C75972"/>
    <w:rsid w:val="00CC0A3A"/>
    <w:rsid w:val="00CC411D"/>
    <w:rsid w:val="00CD066B"/>
    <w:rsid w:val="00CE4FEE"/>
    <w:rsid w:val="00D84E6B"/>
    <w:rsid w:val="00DB59C3"/>
    <w:rsid w:val="00DC259A"/>
    <w:rsid w:val="00DE23E8"/>
    <w:rsid w:val="00E52377"/>
    <w:rsid w:val="00E64E17"/>
    <w:rsid w:val="00E73215"/>
    <w:rsid w:val="00E866C9"/>
    <w:rsid w:val="00EA3D3C"/>
    <w:rsid w:val="00EA7BEC"/>
    <w:rsid w:val="00EE5CE8"/>
    <w:rsid w:val="00EF4C72"/>
    <w:rsid w:val="00F46900"/>
    <w:rsid w:val="00F61D89"/>
    <w:rsid w:val="00F8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7394989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60440435">
      <w:bodyDiv w:val="1"/>
      <w:marLeft w:val="0"/>
      <w:marRight w:val="0"/>
      <w:marTop w:val="0"/>
      <w:marBottom w:val="0"/>
      <w:divBdr>
        <w:top w:val="none" w:sz="0" w:space="0" w:color="auto"/>
        <w:left w:val="none" w:sz="0" w:space="0" w:color="auto"/>
        <w:bottom w:val="none" w:sz="0" w:space="0" w:color="auto"/>
        <w:right w:val="none" w:sz="0" w:space="0" w:color="auto"/>
      </w:divBdr>
    </w:div>
    <w:div w:id="202384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173</TotalTime>
  <Pages>7</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Parajuli, Nirmal</cp:lastModifiedBy>
  <cp:revision>11</cp:revision>
  <cp:lastPrinted>2013-10-03T12:51:00Z</cp:lastPrinted>
  <dcterms:created xsi:type="dcterms:W3CDTF">2022-11-17T16:58:00Z</dcterms:created>
  <dcterms:modified xsi:type="dcterms:W3CDTF">2025-05-19T00:15:00Z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