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8C1" w:rsidRPr="004128C1" w:rsidRDefault="004128C1" w:rsidP="004128C1">
      <w:pPr>
        <w:spacing w:line="480" w:lineRule="auto"/>
        <w:rPr>
          <w:b/>
          <w:sz w:val="24"/>
          <w:szCs w:val="24"/>
        </w:rPr>
      </w:pPr>
      <w:r w:rsidRPr="004128C1">
        <w:rPr>
          <w:b/>
          <w:sz w:val="24"/>
          <w:szCs w:val="24"/>
        </w:rPr>
        <w:t>Table S2. Knowledge dimension</w:t>
      </w:r>
    </w:p>
    <w:tbl>
      <w:tblPr>
        <w:tblW w:w="5000" w:type="pct"/>
        <w:tblBorders>
          <w:top w:val="single" w:sz="4" w:space="0" w:color="auto"/>
          <w:bottom w:val="single" w:sz="4" w:space="0" w:color="auto"/>
        </w:tblBorders>
        <w:tblLook w:val="0000" w:firstRow="0" w:lastRow="0" w:firstColumn="0" w:lastColumn="0" w:noHBand="0" w:noVBand="0"/>
      </w:tblPr>
      <w:tblGrid>
        <w:gridCol w:w="7512"/>
        <w:gridCol w:w="2554"/>
        <w:gridCol w:w="2535"/>
        <w:gridCol w:w="1357"/>
      </w:tblGrid>
      <w:tr w:rsidR="004128C1" w:rsidRPr="004128C1" w:rsidTr="004128C1">
        <w:trPr>
          <w:trHeight w:val="454"/>
        </w:trPr>
        <w:tc>
          <w:tcPr>
            <w:tcW w:w="2691" w:type="pct"/>
            <w:vMerge w:val="restart"/>
            <w:vAlign w:val="center"/>
          </w:tcPr>
          <w:p w:rsidR="004128C1" w:rsidRPr="004128C1" w:rsidRDefault="004128C1" w:rsidP="004128C1">
            <w:pPr>
              <w:widowControl w:val="0"/>
              <w:spacing w:line="480" w:lineRule="auto"/>
              <w:jc w:val="center"/>
              <w:rPr>
                <w:b/>
                <w:color w:val="000000"/>
                <w:sz w:val="24"/>
                <w:szCs w:val="24"/>
              </w:rPr>
            </w:pPr>
            <w:r w:rsidRPr="004128C1">
              <w:rPr>
                <w:b/>
                <w:color w:val="000000"/>
                <w:sz w:val="24"/>
                <w:szCs w:val="24"/>
              </w:rPr>
              <w:t>Knowledge</w:t>
            </w:r>
          </w:p>
        </w:tc>
        <w:tc>
          <w:tcPr>
            <w:tcW w:w="2309" w:type="pct"/>
            <w:gridSpan w:val="3"/>
            <w:tcBorders>
              <w:bottom w:val="single" w:sz="4" w:space="0" w:color="auto"/>
            </w:tcBorders>
          </w:tcPr>
          <w:p w:rsidR="004128C1" w:rsidRPr="004128C1" w:rsidRDefault="004128C1" w:rsidP="004128C1">
            <w:pPr>
              <w:widowControl w:val="0"/>
              <w:spacing w:line="480" w:lineRule="auto"/>
              <w:jc w:val="center"/>
              <w:rPr>
                <w:b/>
                <w:bCs/>
                <w:sz w:val="24"/>
                <w:szCs w:val="24"/>
              </w:rPr>
            </w:pPr>
            <w:r w:rsidRPr="004128C1">
              <w:rPr>
                <w:rFonts w:eastAsia="Gungsuh"/>
                <w:b/>
                <w:bCs/>
                <w:sz w:val="24"/>
                <w:szCs w:val="24"/>
              </w:rPr>
              <w:t>N</w:t>
            </w:r>
            <w:r w:rsidRPr="004128C1">
              <w:rPr>
                <w:rFonts w:eastAsia="Gungsuh"/>
                <w:b/>
                <w:bCs/>
                <w:sz w:val="24"/>
                <w:szCs w:val="24"/>
              </w:rPr>
              <w:t>（</w:t>
            </w:r>
            <w:r w:rsidRPr="004128C1">
              <w:rPr>
                <w:rFonts w:eastAsia="Gungsuh"/>
                <w:b/>
                <w:bCs/>
                <w:sz w:val="24"/>
                <w:szCs w:val="24"/>
              </w:rPr>
              <w:t>%</w:t>
            </w:r>
            <w:r w:rsidRPr="004128C1">
              <w:rPr>
                <w:rFonts w:eastAsia="Gungsuh"/>
                <w:b/>
                <w:bCs/>
                <w:sz w:val="24"/>
                <w:szCs w:val="24"/>
              </w:rPr>
              <w:t>）</w:t>
            </w:r>
          </w:p>
        </w:tc>
      </w:tr>
      <w:tr w:rsidR="004128C1" w:rsidRPr="004128C1" w:rsidTr="004128C1">
        <w:trPr>
          <w:trHeight w:val="397"/>
        </w:trPr>
        <w:tc>
          <w:tcPr>
            <w:tcW w:w="2691" w:type="pct"/>
            <w:vMerge/>
            <w:tcBorders>
              <w:bottom w:val="single" w:sz="4" w:space="0" w:color="auto"/>
            </w:tcBorders>
            <w:vAlign w:val="center"/>
          </w:tcPr>
          <w:p w:rsidR="004128C1" w:rsidRPr="004128C1" w:rsidRDefault="004128C1" w:rsidP="004128C1">
            <w:pPr>
              <w:widowControl w:val="0"/>
              <w:spacing w:line="480" w:lineRule="auto"/>
              <w:jc w:val="left"/>
              <w:rPr>
                <w:b/>
                <w:sz w:val="24"/>
                <w:szCs w:val="24"/>
              </w:rPr>
            </w:pPr>
          </w:p>
        </w:tc>
        <w:tc>
          <w:tcPr>
            <w:tcW w:w="915" w:type="pct"/>
            <w:tcBorders>
              <w:top w:val="single" w:sz="4" w:space="0" w:color="auto"/>
              <w:bottom w:val="single" w:sz="4" w:space="0" w:color="auto"/>
            </w:tcBorders>
          </w:tcPr>
          <w:p w:rsidR="004128C1" w:rsidRPr="004128C1" w:rsidRDefault="004128C1" w:rsidP="004128C1">
            <w:pPr>
              <w:widowControl w:val="0"/>
              <w:spacing w:line="480" w:lineRule="auto"/>
              <w:jc w:val="center"/>
              <w:rPr>
                <w:b/>
                <w:bCs/>
                <w:sz w:val="24"/>
                <w:szCs w:val="24"/>
                <w:lang w:val="en-US"/>
              </w:rPr>
            </w:pPr>
            <w:r w:rsidRPr="004128C1">
              <w:rPr>
                <w:b/>
                <w:bCs/>
                <w:sz w:val="24"/>
                <w:szCs w:val="24"/>
                <w:lang w:val="en-US"/>
              </w:rPr>
              <w:t>Very familiar</w:t>
            </w:r>
          </w:p>
        </w:tc>
        <w:tc>
          <w:tcPr>
            <w:tcW w:w="908" w:type="pct"/>
            <w:tcBorders>
              <w:top w:val="single" w:sz="4" w:space="0" w:color="auto"/>
              <w:bottom w:val="single" w:sz="4" w:space="0" w:color="auto"/>
            </w:tcBorders>
          </w:tcPr>
          <w:p w:rsidR="004128C1" w:rsidRPr="004128C1" w:rsidRDefault="004128C1" w:rsidP="004128C1">
            <w:pPr>
              <w:widowControl w:val="0"/>
              <w:spacing w:line="480" w:lineRule="auto"/>
              <w:jc w:val="center"/>
              <w:rPr>
                <w:b/>
                <w:bCs/>
                <w:sz w:val="24"/>
                <w:szCs w:val="24"/>
              </w:rPr>
            </w:pPr>
            <w:r w:rsidRPr="004128C1">
              <w:rPr>
                <w:b/>
                <w:bCs/>
                <w:sz w:val="24"/>
                <w:szCs w:val="24"/>
                <w:lang w:val="en-US"/>
              </w:rPr>
              <w:t>Have h</w:t>
            </w:r>
            <w:r w:rsidRPr="004128C1">
              <w:rPr>
                <w:b/>
                <w:bCs/>
                <w:sz w:val="24"/>
                <w:szCs w:val="24"/>
              </w:rPr>
              <w:t>eard about it</w:t>
            </w:r>
          </w:p>
        </w:tc>
        <w:tc>
          <w:tcPr>
            <w:tcW w:w="486" w:type="pct"/>
            <w:tcBorders>
              <w:top w:val="single" w:sz="4" w:space="0" w:color="auto"/>
              <w:bottom w:val="single" w:sz="4" w:space="0" w:color="auto"/>
            </w:tcBorders>
          </w:tcPr>
          <w:p w:rsidR="004128C1" w:rsidRPr="004128C1" w:rsidRDefault="004128C1" w:rsidP="004128C1">
            <w:pPr>
              <w:widowControl w:val="0"/>
              <w:spacing w:line="480" w:lineRule="auto"/>
              <w:jc w:val="center"/>
              <w:rPr>
                <w:b/>
                <w:bCs/>
                <w:sz w:val="24"/>
                <w:szCs w:val="24"/>
                <w:lang w:val="en-US"/>
              </w:rPr>
            </w:pPr>
            <w:r w:rsidRPr="004128C1">
              <w:rPr>
                <w:b/>
                <w:bCs/>
                <w:sz w:val="24"/>
                <w:szCs w:val="24"/>
                <w:lang w:val="en-US"/>
              </w:rPr>
              <w:t>Unclear</w:t>
            </w:r>
          </w:p>
        </w:tc>
      </w:tr>
      <w:tr w:rsidR="004128C1" w:rsidRPr="004128C1" w:rsidTr="004128C1">
        <w:trPr>
          <w:trHeight w:val="282"/>
        </w:trPr>
        <w:tc>
          <w:tcPr>
            <w:tcW w:w="2691" w:type="pct"/>
            <w:tcBorders>
              <w:top w:val="single" w:sz="4" w:space="0" w:color="auto"/>
              <w:bottom w:val="nil"/>
            </w:tcBorders>
            <w:vAlign w:val="center"/>
          </w:tcPr>
          <w:p w:rsidR="004128C1" w:rsidRPr="004128C1" w:rsidRDefault="004128C1" w:rsidP="004128C1">
            <w:pPr>
              <w:widowControl w:val="0"/>
              <w:spacing w:line="480" w:lineRule="auto"/>
              <w:rPr>
                <w:b/>
                <w:sz w:val="24"/>
                <w:szCs w:val="24"/>
              </w:rPr>
            </w:pPr>
            <w:r w:rsidRPr="004128C1">
              <w:rPr>
                <w:b/>
                <w:sz w:val="24"/>
                <w:szCs w:val="24"/>
              </w:rPr>
              <w:t>1. Ischemic stroke is a clinical syndrome in which brain blood supply disorders caused by various cerebrovascular lesions lead to ischemia and hypoxic necrosis of local brain tissue, and the rapid emergence of corresponding neurological deficits.</w:t>
            </w:r>
          </w:p>
        </w:tc>
        <w:tc>
          <w:tcPr>
            <w:tcW w:w="915" w:type="pct"/>
            <w:tcBorders>
              <w:top w:val="single" w:sz="4" w:space="0" w:color="auto"/>
              <w:bottom w:val="nil"/>
            </w:tcBorders>
            <w:vAlign w:val="center"/>
          </w:tcPr>
          <w:p w:rsidR="004128C1" w:rsidRPr="004128C1" w:rsidRDefault="004128C1" w:rsidP="004128C1">
            <w:pPr>
              <w:widowControl w:val="0"/>
              <w:spacing w:line="480" w:lineRule="auto"/>
              <w:jc w:val="center"/>
              <w:rPr>
                <w:sz w:val="24"/>
                <w:szCs w:val="24"/>
              </w:rPr>
            </w:pPr>
            <w:r w:rsidRPr="004128C1">
              <w:rPr>
                <w:sz w:val="24"/>
                <w:szCs w:val="24"/>
              </w:rPr>
              <w:t>91(18.2%)</w:t>
            </w:r>
          </w:p>
        </w:tc>
        <w:tc>
          <w:tcPr>
            <w:tcW w:w="908" w:type="pct"/>
            <w:tcBorders>
              <w:top w:val="single" w:sz="4" w:space="0" w:color="auto"/>
              <w:bottom w:val="nil"/>
            </w:tcBorders>
            <w:vAlign w:val="center"/>
          </w:tcPr>
          <w:p w:rsidR="004128C1" w:rsidRPr="004128C1" w:rsidRDefault="004128C1" w:rsidP="004128C1">
            <w:pPr>
              <w:widowControl w:val="0"/>
              <w:spacing w:line="480" w:lineRule="auto"/>
              <w:jc w:val="center"/>
              <w:rPr>
                <w:sz w:val="24"/>
                <w:szCs w:val="24"/>
              </w:rPr>
            </w:pPr>
            <w:r w:rsidRPr="004128C1">
              <w:rPr>
                <w:sz w:val="24"/>
                <w:szCs w:val="24"/>
              </w:rPr>
              <w:t>270(54.1%)</w:t>
            </w:r>
          </w:p>
        </w:tc>
        <w:tc>
          <w:tcPr>
            <w:tcW w:w="486" w:type="pct"/>
            <w:tcBorders>
              <w:top w:val="single" w:sz="4" w:space="0" w:color="auto"/>
              <w:bottom w:val="nil"/>
            </w:tcBorders>
            <w:vAlign w:val="center"/>
          </w:tcPr>
          <w:p w:rsidR="004128C1" w:rsidRPr="004128C1" w:rsidRDefault="004128C1" w:rsidP="004128C1">
            <w:pPr>
              <w:widowControl w:val="0"/>
              <w:spacing w:line="480" w:lineRule="auto"/>
              <w:jc w:val="center"/>
              <w:rPr>
                <w:sz w:val="24"/>
                <w:szCs w:val="24"/>
              </w:rPr>
            </w:pPr>
            <w:r w:rsidRPr="004128C1">
              <w:rPr>
                <w:sz w:val="24"/>
                <w:szCs w:val="24"/>
              </w:rPr>
              <w:t>138(27.7%)</w:t>
            </w:r>
          </w:p>
        </w:tc>
      </w:tr>
      <w:tr w:rsidR="004128C1" w:rsidRPr="004128C1" w:rsidTr="004128C1">
        <w:trPr>
          <w:trHeight w:val="282"/>
        </w:trPr>
        <w:tc>
          <w:tcPr>
            <w:tcW w:w="2691" w:type="pct"/>
            <w:tcBorders>
              <w:top w:val="nil"/>
            </w:tcBorders>
            <w:vAlign w:val="center"/>
          </w:tcPr>
          <w:p w:rsidR="004128C1" w:rsidRPr="004128C1" w:rsidRDefault="004128C1" w:rsidP="004128C1">
            <w:pPr>
              <w:widowControl w:val="0"/>
              <w:spacing w:line="480" w:lineRule="auto"/>
              <w:rPr>
                <w:b/>
                <w:sz w:val="24"/>
                <w:szCs w:val="24"/>
              </w:rPr>
            </w:pPr>
            <w:r w:rsidRPr="004128C1">
              <w:rPr>
                <w:b/>
                <w:sz w:val="24"/>
                <w:szCs w:val="24"/>
              </w:rPr>
              <w:t>2. Smoking, drinking, high blood pressure, diabetes, coronary heart disease, dyslipidemia, atrial fibrillation, etc. may induce or worsen stroke.</w:t>
            </w:r>
          </w:p>
        </w:tc>
        <w:tc>
          <w:tcPr>
            <w:tcW w:w="915" w:type="pct"/>
            <w:tcBorders>
              <w:top w:val="nil"/>
            </w:tcBorders>
            <w:vAlign w:val="center"/>
          </w:tcPr>
          <w:p w:rsidR="004128C1" w:rsidRPr="004128C1" w:rsidRDefault="004128C1" w:rsidP="004128C1">
            <w:pPr>
              <w:widowControl w:val="0"/>
              <w:spacing w:line="480" w:lineRule="auto"/>
              <w:jc w:val="center"/>
              <w:rPr>
                <w:sz w:val="24"/>
                <w:szCs w:val="24"/>
              </w:rPr>
            </w:pPr>
            <w:r w:rsidRPr="004128C1">
              <w:rPr>
                <w:sz w:val="24"/>
                <w:szCs w:val="24"/>
              </w:rPr>
              <w:t>158(31.7%)</w:t>
            </w:r>
          </w:p>
        </w:tc>
        <w:tc>
          <w:tcPr>
            <w:tcW w:w="908" w:type="pct"/>
            <w:tcBorders>
              <w:top w:val="nil"/>
            </w:tcBorders>
            <w:vAlign w:val="center"/>
          </w:tcPr>
          <w:p w:rsidR="004128C1" w:rsidRPr="004128C1" w:rsidRDefault="004128C1" w:rsidP="004128C1">
            <w:pPr>
              <w:widowControl w:val="0"/>
              <w:spacing w:line="480" w:lineRule="auto"/>
              <w:jc w:val="center"/>
              <w:rPr>
                <w:sz w:val="24"/>
                <w:szCs w:val="24"/>
              </w:rPr>
            </w:pPr>
            <w:r w:rsidRPr="004128C1">
              <w:rPr>
                <w:sz w:val="24"/>
                <w:szCs w:val="24"/>
              </w:rPr>
              <w:t>257(51.5%)</w:t>
            </w:r>
          </w:p>
        </w:tc>
        <w:tc>
          <w:tcPr>
            <w:tcW w:w="486" w:type="pct"/>
            <w:tcBorders>
              <w:top w:val="nil"/>
            </w:tcBorders>
            <w:vAlign w:val="center"/>
          </w:tcPr>
          <w:p w:rsidR="004128C1" w:rsidRPr="004128C1" w:rsidRDefault="004128C1" w:rsidP="004128C1">
            <w:pPr>
              <w:widowControl w:val="0"/>
              <w:spacing w:line="480" w:lineRule="auto"/>
              <w:jc w:val="center"/>
              <w:rPr>
                <w:sz w:val="24"/>
                <w:szCs w:val="24"/>
              </w:rPr>
            </w:pPr>
            <w:r w:rsidRPr="004128C1">
              <w:rPr>
                <w:sz w:val="24"/>
                <w:szCs w:val="24"/>
              </w:rPr>
              <w:t>84(16.8%)</w:t>
            </w:r>
          </w:p>
        </w:tc>
      </w:tr>
      <w:tr w:rsidR="004128C1" w:rsidRPr="004128C1" w:rsidTr="004128C1">
        <w:trPr>
          <w:trHeight w:val="282"/>
        </w:trPr>
        <w:tc>
          <w:tcPr>
            <w:tcW w:w="2691" w:type="pct"/>
            <w:vAlign w:val="center"/>
          </w:tcPr>
          <w:p w:rsidR="004128C1" w:rsidRPr="004128C1" w:rsidRDefault="004128C1" w:rsidP="004128C1">
            <w:pPr>
              <w:widowControl w:val="0"/>
              <w:spacing w:line="480" w:lineRule="auto"/>
              <w:rPr>
                <w:b/>
                <w:sz w:val="24"/>
                <w:szCs w:val="24"/>
              </w:rPr>
            </w:pPr>
            <w:r w:rsidRPr="004128C1">
              <w:rPr>
                <w:b/>
                <w:sz w:val="24"/>
                <w:szCs w:val="24"/>
              </w:rPr>
              <w:t>3. After stroke, cognitive dysfunction, depression, etc. are common complications.</w:t>
            </w:r>
          </w:p>
        </w:tc>
        <w:tc>
          <w:tcPr>
            <w:tcW w:w="915" w:type="pct"/>
            <w:vAlign w:val="center"/>
          </w:tcPr>
          <w:p w:rsidR="004128C1" w:rsidRPr="004128C1" w:rsidRDefault="004128C1" w:rsidP="004128C1">
            <w:pPr>
              <w:widowControl w:val="0"/>
              <w:spacing w:line="480" w:lineRule="auto"/>
              <w:jc w:val="center"/>
              <w:rPr>
                <w:sz w:val="24"/>
                <w:szCs w:val="24"/>
              </w:rPr>
            </w:pPr>
            <w:r w:rsidRPr="004128C1">
              <w:rPr>
                <w:sz w:val="24"/>
                <w:szCs w:val="24"/>
              </w:rPr>
              <w:t>87(17.4%)</w:t>
            </w:r>
          </w:p>
        </w:tc>
        <w:tc>
          <w:tcPr>
            <w:tcW w:w="908" w:type="pct"/>
            <w:vAlign w:val="center"/>
          </w:tcPr>
          <w:p w:rsidR="004128C1" w:rsidRPr="004128C1" w:rsidRDefault="004128C1" w:rsidP="004128C1">
            <w:pPr>
              <w:widowControl w:val="0"/>
              <w:spacing w:line="480" w:lineRule="auto"/>
              <w:jc w:val="center"/>
              <w:rPr>
                <w:sz w:val="24"/>
                <w:szCs w:val="24"/>
              </w:rPr>
            </w:pPr>
            <w:r w:rsidRPr="004128C1">
              <w:rPr>
                <w:sz w:val="24"/>
                <w:szCs w:val="24"/>
              </w:rPr>
              <w:t>245(49.1%)</w:t>
            </w:r>
          </w:p>
        </w:tc>
        <w:tc>
          <w:tcPr>
            <w:tcW w:w="486" w:type="pct"/>
            <w:vAlign w:val="center"/>
          </w:tcPr>
          <w:p w:rsidR="004128C1" w:rsidRPr="004128C1" w:rsidRDefault="004128C1" w:rsidP="004128C1">
            <w:pPr>
              <w:widowControl w:val="0"/>
              <w:spacing w:line="480" w:lineRule="auto"/>
              <w:jc w:val="center"/>
              <w:rPr>
                <w:sz w:val="24"/>
                <w:szCs w:val="24"/>
              </w:rPr>
            </w:pPr>
            <w:r w:rsidRPr="004128C1">
              <w:rPr>
                <w:sz w:val="24"/>
                <w:szCs w:val="24"/>
              </w:rPr>
              <w:t>167(33.5%)</w:t>
            </w:r>
          </w:p>
        </w:tc>
      </w:tr>
      <w:tr w:rsidR="004128C1" w:rsidRPr="004128C1" w:rsidTr="004128C1">
        <w:trPr>
          <w:trHeight w:val="282"/>
        </w:trPr>
        <w:tc>
          <w:tcPr>
            <w:tcW w:w="2691" w:type="pct"/>
            <w:vAlign w:val="center"/>
          </w:tcPr>
          <w:p w:rsidR="004128C1" w:rsidRPr="004128C1" w:rsidRDefault="004128C1" w:rsidP="004128C1">
            <w:pPr>
              <w:widowControl w:val="0"/>
              <w:spacing w:line="480" w:lineRule="auto"/>
              <w:rPr>
                <w:b/>
                <w:sz w:val="24"/>
                <w:szCs w:val="24"/>
              </w:rPr>
            </w:pPr>
            <w:r w:rsidRPr="004128C1">
              <w:rPr>
                <w:b/>
                <w:sz w:val="24"/>
                <w:szCs w:val="24"/>
              </w:rPr>
              <w:t xml:space="preserve">4. Appropriate drug intervention (such as Western antithrombotic and anticoagulant drugs) and traditional Chinese medicine nursing methods </w:t>
            </w:r>
            <w:r w:rsidRPr="004128C1">
              <w:rPr>
                <w:b/>
                <w:sz w:val="24"/>
                <w:szCs w:val="24"/>
              </w:rPr>
              <w:lastRenderedPageBreak/>
              <w:t>(such as traditional Chinese medicine, moxibustion, massage, etc.) can effectively control the progression and recurrence of stroke.</w:t>
            </w:r>
          </w:p>
        </w:tc>
        <w:tc>
          <w:tcPr>
            <w:tcW w:w="915" w:type="pct"/>
            <w:vAlign w:val="center"/>
          </w:tcPr>
          <w:p w:rsidR="004128C1" w:rsidRPr="004128C1" w:rsidRDefault="004128C1" w:rsidP="004128C1">
            <w:pPr>
              <w:widowControl w:val="0"/>
              <w:spacing w:line="480" w:lineRule="auto"/>
              <w:jc w:val="center"/>
              <w:rPr>
                <w:sz w:val="24"/>
                <w:szCs w:val="24"/>
              </w:rPr>
            </w:pPr>
            <w:r w:rsidRPr="004128C1">
              <w:rPr>
                <w:sz w:val="24"/>
                <w:szCs w:val="24"/>
              </w:rPr>
              <w:lastRenderedPageBreak/>
              <w:t>114(22.8%)</w:t>
            </w:r>
          </w:p>
        </w:tc>
        <w:tc>
          <w:tcPr>
            <w:tcW w:w="908" w:type="pct"/>
            <w:vAlign w:val="center"/>
          </w:tcPr>
          <w:p w:rsidR="004128C1" w:rsidRPr="004128C1" w:rsidRDefault="004128C1" w:rsidP="004128C1">
            <w:pPr>
              <w:widowControl w:val="0"/>
              <w:spacing w:line="480" w:lineRule="auto"/>
              <w:jc w:val="center"/>
              <w:rPr>
                <w:sz w:val="24"/>
                <w:szCs w:val="24"/>
              </w:rPr>
            </w:pPr>
            <w:r w:rsidRPr="004128C1">
              <w:rPr>
                <w:sz w:val="24"/>
                <w:szCs w:val="24"/>
              </w:rPr>
              <w:t>271(54.3%)</w:t>
            </w:r>
          </w:p>
        </w:tc>
        <w:tc>
          <w:tcPr>
            <w:tcW w:w="486" w:type="pct"/>
            <w:vAlign w:val="center"/>
          </w:tcPr>
          <w:p w:rsidR="004128C1" w:rsidRPr="004128C1" w:rsidRDefault="004128C1" w:rsidP="004128C1">
            <w:pPr>
              <w:widowControl w:val="0"/>
              <w:spacing w:line="480" w:lineRule="auto"/>
              <w:jc w:val="center"/>
              <w:rPr>
                <w:sz w:val="24"/>
                <w:szCs w:val="24"/>
              </w:rPr>
            </w:pPr>
            <w:r w:rsidRPr="004128C1">
              <w:rPr>
                <w:sz w:val="24"/>
                <w:szCs w:val="24"/>
              </w:rPr>
              <w:t>114(22.8%)</w:t>
            </w:r>
          </w:p>
        </w:tc>
      </w:tr>
      <w:tr w:rsidR="004128C1" w:rsidRPr="004128C1" w:rsidTr="004128C1">
        <w:trPr>
          <w:trHeight w:val="282"/>
        </w:trPr>
        <w:tc>
          <w:tcPr>
            <w:tcW w:w="2691" w:type="pct"/>
            <w:vAlign w:val="center"/>
          </w:tcPr>
          <w:p w:rsidR="004128C1" w:rsidRPr="004128C1" w:rsidRDefault="004128C1" w:rsidP="004128C1">
            <w:pPr>
              <w:widowControl w:val="0"/>
              <w:spacing w:line="480" w:lineRule="auto"/>
              <w:rPr>
                <w:b/>
                <w:sz w:val="24"/>
                <w:szCs w:val="24"/>
              </w:rPr>
            </w:pPr>
            <w:r w:rsidRPr="004128C1">
              <w:rPr>
                <w:b/>
                <w:sz w:val="24"/>
                <w:szCs w:val="24"/>
              </w:rPr>
              <w:t>5. Appropriate physical activity (4 times/week; 10 minutes/time of moderate-intensity aerobic activity) can effectively reduce the risk of stroke recurrence.</w:t>
            </w:r>
          </w:p>
        </w:tc>
        <w:tc>
          <w:tcPr>
            <w:tcW w:w="915" w:type="pct"/>
            <w:vAlign w:val="center"/>
          </w:tcPr>
          <w:p w:rsidR="004128C1" w:rsidRPr="004128C1" w:rsidRDefault="004128C1" w:rsidP="004128C1">
            <w:pPr>
              <w:widowControl w:val="0"/>
              <w:spacing w:line="480" w:lineRule="auto"/>
              <w:jc w:val="center"/>
              <w:rPr>
                <w:sz w:val="24"/>
                <w:szCs w:val="24"/>
              </w:rPr>
            </w:pPr>
            <w:r w:rsidRPr="004128C1">
              <w:rPr>
                <w:sz w:val="24"/>
                <w:szCs w:val="24"/>
              </w:rPr>
              <w:t>113(22.6%)</w:t>
            </w:r>
          </w:p>
        </w:tc>
        <w:tc>
          <w:tcPr>
            <w:tcW w:w="908" w:type="pct"/>
            <w:vAlign w:val="center"/>
          </w:tcPr>
          <w:p w:rsidR="004128C1" w:rsidRPr="004128C1" w:rsidRDefault="004128C1" w:rsidP="004128C1">
            <w:pPr>
              <w:widowControl w:val="0"/>
              <w:spacing w:line="480" w:lineRule="auto"/>
              <w:jc w:val="center"/>
              <w:rPr>
                <w:sz w:val="24"/>
                <w:szCs w:val="24"/>
              </w:rPr>
            </w:pPr>
            <w:r w:rsidRPr="004128C1">
              <w:rPr>
                <w:sz w:val="24"/>
                <w:szCs w:val="24"/>
              </w:rPr>
              <w:t>251(50.3%)</w:t>
            </w:r>
          </w:p>
        </w:tc>
        <w:tc>
          <w:tcPr>
            <w:tcW w:w="486" w:type="pct"/>
            <w:vAlign w:val="center"/>
          </w:tcPr>
          <w:p w:rsidR="004128C1" w:rsidRPr="004128C1" w:rsidRDefault="004128C1" w:rsidP="004128C1">
            <w:pPr>
              <w:widowControl w:val="0"/>
              <w:spacing w:line="480" w:lineRule="auto"/>
              <w:jc w:val="center"/>
              <w:rPr>
                <w:sz w:val="24"/>
                <w:szCs w:val="24"/>
              </w:rPr>
            </w:pPr>
            <w:r w:rsidRPr="004128C1">
              <w:rPr>
                <w:sz w:val="24"/>
                <w:szCs w:val="24"/>
              </w:rPr>
              <w:t>135(27.1%)</w:t>
            </w:r>
          </w:p>
        </w:tc>
      </w:tr>
      <w:tr w:rsidR="004128C1" w:rsidRPr="004128C1" w:rsidTr="004128C1">
        <w:trPr>
          <w:trHeight w:val="282"/>
        </w:trPr>
        <w:tc>
          <w:tcPr>
            <w:tcW w:w="2691" w:type="pct"/>
            <w:vAlign w:val="center"/>
          </w:tcPr>
          <w:p w:rsidR="004128C1" w:rsidRPr="004128C1" w:rsidRDefault="004128C1" w:rsidP="004128C1">
            <w:pPr>
              <w:widowControl w:val="0"/>
              <w:spacing w:line="480" w:lineRule="auto"/>
              <w:rPr>
                <w:b/>
                <w:sz w:val="24"/>
                <w:szCs w:val="24"/>
              </w:rPr>
            </w:pPr>
            <w:r w:rsidRPr="004128C1">
              <w:rPr>
                <w:b/>
                <w:sz w:val="24"/>
                <w:szCs w:val="24"/>
              </w:rPr>
              <w:t>6. Early sports rehabilitation programs need to be formulated based on functional assessment results.</w:t>
            </w:r>
          </w:p>
        </w:tc>
        <w:tc>
          <w:tcPr>
            <w:tcW w:w="915" w:type="pct"/>
            <w:vAlign w:val="center"/>
          </w:tcPr>
          <w:p w:rsidR="004128C1" w:rsidRPr="004128C1" w:rsidRDefault="004128C1" w:rsidP="004128C1">
            <w:pPr>
              <w:widowControl w:val="0"/>
              <w:spacing w:line="480" w:lineRule="auto"/>
              <w:jc w:val="center"/>
              <w:rPr>
                <w:sz w:val="24"/>
                <w:szCs w:val="24"/>
              </w:rPr>
            </w:pPr>
            <w:r w:rsidRPr="004128C1">
              <w:rPr>
                <w:sz w:val="24"/>
                <w:szCs w:val="24"/>
              </w:rPr>
              <w:t>91(18.2%)</w:t>
            </w:r>
          </w:p>
        </w:tc>
        <w:tc>
          <w:tcPr>
            <w:tcW w:w="908" w:type="pct"/>
            <w:vAlign w:val="center"/>
          </w:tcPr>
          <w:p w:rsidR="004128C1" w:rsidRPr="004128C1" w:rsidRDefault="004128C1" w:rsidP="004128C1">
            <w:pPr>
              <w:widowControl w:val="0"/>
              <w:spacing w:line="480" w:lineRule="auto"/>
              <w:jc w:val="center"/>
              <w:rPr>
                <w:sz w:val="24"/>
                <w:szCs w:val="24"/>
              </w:rPr>
            </w:pPr>
            <w:r w:rsidRPr="004128C1">
              <w:rPr>
                <w:sz w:val="24"/>
                <w:szCs w:val="24"/>
              </w:rPr>
              <w:t>243(48.7%)</w:t>
            </w:r>
          </w:p>
        </w:tc>
        <w:tc>
          <w:tcPr>
            <w:tcW w:w="486" w:type="pct"/>
            <w:vAlign w:val="center"/>
          </w:tcPr>
          <w:p w:rsidR="004128C1" w:rsidRPr="004128C1" w:rsidRDefault="004128C1" w:rsidP="004128C1">
            <w:pPr>
              <w:widowControl w:val="0"/>
              <w:spacing w:line="480" w:lineRule="auto"/>
              <w:jc w:val="center"/>
              <w:rPr>
                <w:sz w:val="24"/>
                <w:szCs w:val="24"/>
              </w:rPr>
            </w:pPr>
            <w:r w:rsidRPr="004128C1">
              <w:rPr>
                <w:sz w:val="24"/>
                <w:szCs w:val="24"/>
              </w:rPr>
              <w:t>165(33.1%)</w:t>
            </w:r>
          </w:p>
        </w:tc>
      </w:tr>
      <w:tr w:rsidR="004128C1" w:rsidRPr="004128C1" w:rsidTr="004128C1">
        <w:trPr>
          <w:trHeight w:val="282"/>
        </w:trPr>
        <w:tc>
          <w:tcPr>
            <w:tcW w:w="2691" w:type="pct"/>
            <w:vAlign w:val="center"/>
          </w:tcPr>
          <w:p w:rsidR="004128C1" w:rsidRPr="004128C1" w:rsidRDefault="004128C1" w:rsidP="004128C1">
            <w:pPr>
              <w:widowControl w:val="0"/>
              <w:spacing w:line="480" w:lineRule="auto"/>
              <w:rPr>
                <w:b/>
                <w:sz w:val="24"/>
                <w:szCs w:val="24"/>
              </w:rPr>
            </w:pPr>
            <w:r w:rsidRPr="004128C1">
              <w:rPr>
                <w:b/>
                <w:sz w:val="24"/>
                <w:szCs w:val="24"/>
              </w:rPr>
              <w:t>7. Aquatic exercise therapy (i.e. hydrotherapy exercise) can effectively improve the physical function and activity participation ability of stroke patients.</w:t>
            </w:r>
          </w:p>
        </w:tc>
        <w:tc>
          <w:tcPr>
            <w:tcW w:w="915" w:type="pct"/>
            <w:vAlign w:val="center"/>
          </w:tcPr>
          <w:p w:rsidR="004128C1" w:rsidRPr="004128C1" w:rsidRDefault="004128C1" w:rsidP="004128C1">
            <w:pPr>
              <w:widowControl w:val="0"/>
              <w:spacing w:line="480" w:lineRule="auto"/>
              <w:jc w:val="center"/>
              <w:rPr>
                <w:sz w:val="24"/>
                <w:szCs w:val="24"/>
              </w:rPr>
            </w:pPr>
            <w:r w:rsidRPr="004128C1">
              <w:rPr>
                <w:sz w:val="24"/>
                <w:szCs w:val="24"/>
              </w:rPr>
              <w:t>59(11.8%)</w:t>
            </w:r>
          </w:p>
        </w:tc>
        <w:tc>
          <w:tcPr>
            <w:tcW w:w="908" w:type="pct"/>
            <w:vAlign w:val="center"/>
          </w:tcPr>
          <w:p w:rsidR="004128C1" w:rsidRPr="004128C1" w:rsidRDefault="004128C1" w:rsidP="004128C1">
            <w:pPr>
              <w:widowControl w:val="0"/>
              <w:spacing w:line="480" w:lineRule="auto"/>
              <w:jc w:val="center"/>
              <w:rPr>
                <w:sz w:val="24"/>
                <w:szCs w:val="24"/>
              </w:rPr>
            </w:pPr>
            <w:r w:rsidRPr="004128C1">
              <w:rPr>
                <w:sz w:val="24"/>
                <w:szCs w:val="24"/>
              </w:rPr>
              <w:t>211(42.3%)</w:t>
            </w:r>
          </w:p>
        </w:tc>
        <w:tc>
          <w:tcPr>
            <w:tcW w:w="486" w:type="pct"/>
            <w:vAlign w:val="center"/>
          </w:tcPr>
          <w:p w:rsidR="004128C1" w:rsidRPr="004128C1" w:rsidRDefault="004128C1" w:rsidP="004128C1">
            <w:pPr>
              <w:widowControl w:val="0"/>
              <w:spacing w:line="480" w:lineRule="auto"/>
              <w:jc w:val="center"/>
              <w:rPr>
                <w:sz w:val="24"/>
                <w:szCs w:val="24"/>
              </w:rPr>
            </w:pPr>
            <w:r w:rsidRPr="004128C1">
              <w:rPr>
                <w:sz w:val="24"/>
                <w:szCs w:val="24"/>
              </w:rPr>
              <w:t>229(45.9%)</w:t>
            </w:r>
          </w:p>
        </w:tc>
      </w:tr>
      <w:tr w:rsidR="004128C1" w:rsidRPr="004128C1" w:rsidTr="004128C1">
        <w:trPr>
          <w:trHeight w:val="282"/>
        </w:trPr>
        <w:tc>
          <w:tcPr>
            <w:tcW w:w="2691" w:type="pct"/>
            <w:vAlign w:val="center"/>
          </w:tcPr>
          <w:p w:rsidR="004128C1" w:rsidRPr="004128C1" w:rsidRDefault="004128C1" w:rsidP="004128C1">
            <w:pPr>
              <w:widowControl w:val="0"/>
              <w:spacing w:line="480" w:lineRule="auto"/>
              <w:rPr>
                <w:b/>
                <w:sz w:val="24"/>
                <w:szCs w:val="24"/>
              </w:rPr>
            </w:pPr>
            <w:r w:rsidRPr="004128C1">
              <w:rPr>
                <w:b/>
                <w:sz w:val="24"/>
                <w:szCs w:val="24"/>
              </w:rPr>
              <w:t>8. Appropriate psychological treatment programs (including supportive care, cognitive behavioral therapy, family therapy, meditation, relaxation training, etc.) can significantly improve depression/anxiety and other related symptoms after stroke.</w:t>
            </w:r>
          </w:p>
        </w:tc>
        <w:tc>
          <w:tcPr>
            <w:tcW w:w="915" w:type="pct"/>
            <w:vAlign w:val="center"/>
          </w:tcPr>
          <w:p w:rsidR="004128C1" w:rsidRPr="004128C1" w:rsidRDefault="004128C1" w:rsidP="004128C1">
            <w:pPr>
              <w:widowControl w:val="0"/>
              <w:spacing w:line="480" w:lineRule="auto"/>
              <w:jc w:val="center"/>
              <w:rPr>
                <w:sz w:val="24"/>
                <w:szCs w:val="24"/>
              </w:rPr>
            </w:pPr>
            <w:r w:rsidRPr="004128C1">
              <w:rPr>
                <w:sz w:val="24"/>
                <w:szCs w:val="24"/>
              </w:rPr>
              <w:t>98(19.6%)</w:t>
            </w:r>
          </w:p>
        </w:tc>
        <w:tc>
          <w:tcPr>
            <w:tcW w:w="908" w:type="pct"/>
            <w:vAlign w:val="center"/>
          </w:tcPr>
          <w:p w:rsidR="004128C1" w:rsidRPr="004128C1" w:rsidRDefault="004128C1" w:rsidP="004128C1">
            <w:pPr>
              <w:widowControl w:val="0"/>
              <w:spacing w:line="480" w:lineRule="auto"/>
              <w:jc w:val="center"/>
              <w:rPr>
                <w:sz w:val="24"/>
                <w:szCs w:val="24"/>
              </w:rPr>
            </w:pPr>
            <w:r w:rsidRPr="004128C1">
              <w:rPr>
                <w:sz w:val="24"/>
                <w:szCs w:val="24"/>
              </w:rPr>
              <w:t>245(49.1%)</w:t>
            </w:r>
          </w:p>
        </w:tc>
        <w:tc>
          <w:tcPr>
            <w:tcW w:w="486" w:type="pct"/>
            <w:vAlign w:val="center"/>
          </w:tcPr>
          <w:p w:rsidR="004128C1" w:rsidRPr="004128C1" w:rsidRDefault="004128C1" w:rsidP="004128C1">
            <w:pPr>
              <w:widowControl w:val="0"/>
              <w:spacing w:line="480" w:lineRule="auto"/>
              <w:jc w:val="center"/>
              <w:rPr>
                <w:sz w:val="24"/>
                <w:szCs w:val="24"/>
              </w:rPr>
            </w:pPr>
            <w:r w:rsidRPr="004128C1">
              <w:rPr>
                <w:sz w:val="24"/>
                <w:szCs w:val="24"/>
              </w:rPr>
              <w:t>156(31.3%)</w:t>
            </w:r>
          </w:p>
        </w:tc>
      </w:tr>
      <w:tr w:rsidR="004128C1" w:rsidRPr="004128C1" w:rsidTr="004128C1">
        <w:trPr>
          <w:trHeight w:val="282"/>
        </w:trPr>
        <w:tc>
          <w:tcPr>
            <w:tcW w:w="2691" w:type="pct"/>
            <w:vAlign w:val="center"/>
          </w:tcPr>
          <w:p w:rsidR="004128C1" w:rsidRPr="004128C1" w:rsidRDefault="004128C1" w:rsidP="004128C1">
            <w:pPr>
              <w:widowControl w:val="0"/>
              <w:spacing w:line="480" w:lineRule="auto"/>
              <w:rPr>
                <w:b/>
                <w:sz w:val="24"/>
                <w:szCs w:val="24"/>
              </w:rPr>
            </w:pPr>
            <w:r w:rsidRPr="004128C1">
              <w:rPr>
                <w:b/>
                <w:sz w:val="24"/>
                <w:szCs w:val="24"/>
              </w:rPr>
              <w:lastRenderedPageBreak/>
              <w:t>9. For stroke patients with mild depression/anxiety and other complications, the medical staff's psychological rehabilitation program (including reasonable short-term exercise during the day, light music before bed to help sleep, deep breathing training, etc.) can effectively improve the patient's quality of life.</w:t>
            </w:r>
          </w:p>
        </w:tc>
        <w:tc>
          <w:tcPr>
            <w:tcW w:w="915" w:type="pct"/>
            <w:vAlign w:val="center"/>
          </w:tcPr>
          <w:p w:rsidR="004128C1" w:rsidRPr="004128C1" w:rsidRDefault="004128C1" w:rsidP="004128C1">
            <w:pPr>
              <w:widowControl w:val="0"/>
              <w:spacing w:line="480" w:lineRule="auto"/>
              <w:jc w:val="center"/>
              <w:rPr>
                <w:sz w:val="24"/>
                <w:szCs w:val="24"/>
              </w:rPr>
            </w:pPr>
            <w:r w:rsidRPr="004128C1">
              <w:rPr>
                <w:sz w:val="24"/>
                <w:szCs w:val="24"/>
              </w:rPr>
              <w:t>94(18.8%)</w:t>
            </w:r>
          </w:p>
        </w:tc>
        <w:tc>
          <w:tcPr>
            <w:tcW w:w="908" w:type="pct"/>
            <w:vAlign w:val="center"/>
          </w:tcPr>
          <w:p w:rsidR="004128C1" w:rsidRPr="004128C1" w:rsidRDefault="004128C1" w:rsidP="004128C1">
            <w:pPr>
              <w:widowControl w:val="0"/>
              <w:spacing w:line="480" w:lineRule="auto"/>
              <w:jc w:val="center"/>
              <w:rPr>
                <w:sz w:val="24"/>
                <w:szCs w:val="24"/>
              </w:rPr>
            </w:pPr>
            <w:r w:rsidRPr="004128C1">
              <w:rPr>
                <w:sz w:val="24"/>
                <w:szCs w:val="24"/>
              </w:rPr>
              <w:t>277(55.5%)</w:t>
            </w:r>
          </w:p>
        </w:tc>
        <w:tc>
          <w:tcPr>
            <w:tcW w:w="486" w:type="pct"/>
            <w:vAlign w:val="center"/>
          </w:tcPr>
          <w:p w:rsidR="004128C1" w:rsidRPr="004128C1" w:rsidRDefault="004128C1" w:rsidP="004128C1">
            <w:pPr>
              <w:widowControl w:val="0"/>
              <w:spacing w:line="480" w:lineRule="auto"/>
              <w:jc w:val="center"/>
              <w:rPr>
                <w:sz w:val="24"/>
                <w:szCs w:val="24"/>
              </w:rPr>
            </w:pPr>
            <w:r w:rsidRPr="004128C1">
              <w:rPr>
                <w:sz w:val="24"/>
                <w:szCs w:val="24"/>
              </w:rPr>
              <w:t>128(25.7%)</w:t>
            </w:r>
          </w:p>
        </w:tc>
      </w:tr>
      <w:tr w:rsidR="004128C1" w:rsidRPr="004128C1" w:rsidTr="004128C1">
        <w:trPr>
          <w:trHeight w:val="282"/>
        </w:trPr>
        <w:tc>
          <w:tcPr>
            <w:tcW w:w="2691" w:type="pct"/>
            <w:vAlign w:val="center"/>
          </w:tcPr>
          <w:p w:rsidR="004128C1" w:rsidRPr="004128C1" w:rsidRDefault="004128C1" w:rsidP="004128C1">
            <w:pPr>
              <w:widowControl w:val="0"/>
              <w:spacing w:line="480" w:lineRule="auto"/>
              <w:rPr>
                <w:b/>
                <w:sz w:val="24"/>
                <w:szCs w:val="24"/>
              </w:rPr>
            </w:pPr>
            <w:r w:rsidRPr="004128C1">
              <w:rPr>
                <w:b/>
                <w:sz w:val="24"/>
                <w:szCs w:val="24"/>
              </w:rPr>
              <w:t>10. For stroke patients with moderate to severe depression/anxiety and other complications, in addition to psychological rehabilitation programs, they also need to be treated with antidepressant/anti-anxiety drugs.</w:t>
            </w:r>
          </w:p>
        </w:tc>
        <w:tc>
          <w:tcPr>
            <w:tcW w:w="915" w:type="pct"/>
            <w:vAlign w:val="center"/>
          </w:tcPr>
          <w:p w:rsidR="004128C1" w:rsidRPr="004128C1" w:rsidRDefault="004128C1" w:rsidP="004128C1">
            <w:pPr>
              <w:widowControl w:val="0"/>
              <w:spacing w:line="480" w:lineRule="auto"/>
              <w:jc w:val="center"/>
              <w:rPr>
                <w:sz w:val="24"/>
                <w:szCs w:val="24"/>
              </w:rPr>
            </w:pPr>
            <w:r w:rsidRPr="004128C1">
              <w:rPr>
                <w:sz w:val="24"/>
                <w:szCs w:val="24"/>
              </w:rPr>
              <w:t>92(18.4%)</w:t>
            </w:r>
          </w:p>
        </w:tc>
        <w:tc>
          <w:tcPr>
            <w:tcW w:w="908" w:type="pct"/>
            <w:vAlign w:val="center"/>
          </w:tcPr>
          <w:p w:rsidR="004128C1" w:rsidRPr="004128C1" w:rsidRDefault="004128C1" w:rsidP="004128C1">
            <w:pPr>
              <w:widowControl w:val="0"/>
              <w:spacing w:line="480" w:lineRule="auto"/>
              <w:jc w:val="center"/>
              <w:rPr>
                <w:sz w:val="24"/>
                <w:szCs w:val="24"/>
              </w:rPr>
            </w:pPr>
            <w:r w:rsidRPr="004128C1">
              <w:rPr>
                <w:sz w:val="24"/>
                <w:szCs w:val="24"/>
              </w:rPr>
              <w:t>242(48.5%)</w:t>
            </w:r>
          </w:p>
        </w:tc>
        <w:tc>
          <w:tcPr>
            <w:tcW w:w="486" w:type="pct"/>
            <w:vAlign w:val="center"/>
          </w:tcPr>
          <w:p w:rsidR="004128C1" w:rsidRPr="004128C1" w:rsidRDefault="004128C1" w:rsidP="004128C1">
            <w:pPr>
              <w:widowControl w:val="0"/>
              <w:spacing w:line="480" w:lineRule="auto"/>
              <w:jc w:val="center"/>
              <w:rPr>
                <w:sz w:val="24"/>
                <w:szCs w:val="24"/>
              </w:rPr>
            </w:pPr>
            <w:r w:rsidRPr="004128C1">
              <w:rPr>
                <w:sz w:val="24"/>
                <w:szCs w:val="24"/>
              </w:rPr>
              <w:t>165(33.1%)</w:t>
            </w:r>
          </w:p>
        </w:tc>
      </w:tr>
    </w:tbl>
    <w:p w:rsidR="00DB328F" w:rsidRPr="00166F6F" w:rsidRDefault="00117D2D" w:rsidP="004128C1">
      <w:pPr>
        <w:spacing w:line="480" w:lineRule="auto"/>
        <w:rPr>
          <w:rFonts w:hint="eastAsia"/>
          <w:b/>
          <w:sz w:val="24"/>
          <w:szCs w:val="24"/>
        </w:rPr>
      </w:pPr>
      <w:bookmarkStart w:id="0" w:name="_GoBack"/>
      <w:bookmarkEnd w:id="0"/>
    </w:p>
    <w:sectPr w:rsidR="00DB328F" w:rsidRPr="00166F6F" w:rsidSect="004128C1">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D2D" w:rsidRDefault="00117D2D" w:rsidP="004128C1">
      <w:r>
        <w:separator/>
      </w:r>
    </w:p>
  </w:endnote>
  <w:endnote w:type="continuationSeparator" w:id="0">
    <w:p w:rsidR="00117D2D" w:rsidRDefault="00117D2D" w:rsidP="0041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ungsuh">
    <w:altName w:val="Arial Unicode MS"/>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D2D" w:rsidRDefault="00117D2D" w:rsidP="004128C1">
      <w:r>
        <w:separator/>
      </w:r>
    </w:p>
  </w:footnote>
  <w:footnote w:type="continuationSeparator" w:id="0">
    <w:p w:rsidR="00117D2D" w:rsidRDefault="00117D2D" w:rsidP="00412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B3"/>
    <w:rsid w:val="00117261"/>
    <w:rsid w:val="00117D2D"/>
    <w:rsid w:val="00166F6F"/>
    <w:rsid w:val="004128C1"/>
    <w:rsid w:val="005B01B3"/>
    <w:rsid w:val="005E7990"/>
    <w:rsid w:val="00D3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44E06"/>
  <w15:chartTrackingRefBased/>
  <w15:docId w15:val="{629D51A4-E178-4CC1-A992-1968CCDC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8C1"/>
    <w:pPr>
      <w:jc w:val="both"/>
    </w:pPr>
    <w:rPr>
      <w:rFonts w:ascii="Times New Roman" w:eastAsia="宋体" w:hAnsi="Times New Roman" w:cs="Times New Roman"/>
      <w:kern w:val="0"/>
      <w:szCs w:val="21"/>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8C1"/>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rPr>
  </w:style>
  <w:style w:type="character" w:customStyle="1" w:styleId="a4">
    <w:name w:val="页眉 字符"/>
    <w:basedOn w:val="a0"/>
    <w:link w:val="a3"/>
    <w:uiPriority w:val="99"/>
    <w:rsid w:val="004128C1"/>
    <w:rPr>
      <w:sz w:val="18"/>
      <w:szCs w:val="18"/>
    </w:rPr>
  </w:style>
  <w:style w:type="paragraph" w:styleId="a5">
    <w:name w:val="footer"/>
    <w:basedOn w:val="a"/>
    <w:link w:val="a6"/>
    <w:uiPriority w:val="99"/>
    <w:unhideWhenUsed/>
    <w:rsid w:val="004128C1"/>
    <w:pPr>
      <w:widowControl w:val="0"/>
      <w:tabs>
        <w:tab w:val="center" w:pos="4153"/>
        <w:tab w:val="right" w:pos="8306"/>
      </w:tabs>
      <w:snapToGrid w:val="0"/>
      <w:jc w:val="left"/>
    </w:pPr>
    <w:rPr>
      <w:rFonts w:asciiTheme="minorHAnsi" w:eastAsiaTheme="minorEastAsia" w:hAnsiTheme="minorHAnsi" w:cstheme="minorBidi"/>
      <w:kern w:val="2"/>
      <w:sz w:val="18"/>
      <w:szCs w:val="18"/>
      <w:lang w:val="en-US"/>
    </w:rPr>
  </w:style>
  <w:style w:type="character" w:customStyle="1" w:styleId="a6">
    <w:name w:val="页脚 字符"/>
    <w:basedOn w:val="a0"/>
    <w:link w:val="a5"/>
    <w:uiPriority w:val="99"/>
    <w:rsid w:val="004128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cp:revision>
  <dcterms:created xsi:type="dcterms:W3CDTF">2024-07-12T07:02:00Z</dcterms:created>
  <dcterms:modified xsi:type="dcterms:W3CDTF">2024-07-12T07:03:00Z</dcterms:modified>
</cp:coreProperties>
</file>