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0A" w:rsidRPr="00ED2EBA" w:rsidRDefault="00AE250A" w:rsidP="00AE250A">
      <w:pPr>
        <w:spacing w:line="480" w:lineRule="auto"/>
        <w:rPr>
          <w:b/>
          <w:sz w:val="24"/>
          <w:szCs w:val="24"/>
        </w:rPr>
      </w:pPr>
      <w:r w:rsidRPr="00ED2EBA">
        <w:rPr>
          <w:b/>
          <w:sz w:val="24"/>
          <w:szCs w:val="24"/>
        </w:rPr>
        <w:t xml:space="preserve">Table </w:t>
      </w:r>
      <w:r>
        <w:rPr>
          <w:b/>
          <w:sz w:val="24"/>
          <w:szCs w:val="24"/>
        </w:rPr>
        <w:t>S</w:t>
      </w:r>
      <w:r>
        <w:rPr>
          <w:rFonts w:hint="eastAsia"/>
          <w:b/>
          <w:sz w:val="24"/>
          <w:szCs w:val="24"/>
        </w:rPr>
        <w:t>3</w:t>
      </w:r>
      <w:r>
        <w:rPr>
          <w:b/>
          <w:sz w:val="24"/>
          <w:szCs w:val="24"/>
        </w:rPr>
        <w:t>.</w:t>
      </w:r>
      <w:r w:rsidRPr="00ED2EBA">
        <w:rPr>
          <w:b/>
          <w:sz w:val="24"/>
          <w:szCs w:val="24"/>
        </w:rPr>
        <w:t xml:space="preserve"> Attitude dimension</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7228"/>
        <w:gridCol w:w="1345"/>
        <w:gridCol w:w="1346"/>
        <w:gridCol w:w="1346"/>
        <w:gridCol w:w="1346"/>
        <w:gridCol w:w="1346"/>
      </w:tblGrid>
      <w:tr w:rsidR="00AE250A" w:rsidRPr="00ED2EBA" w:rsidTr="00AE250A">
        <w:trPr>
          <w:trHeight w:val="510"/>
        </w:trPr>
        <w:tc>
          <w:tcPr>
            <w:tcW w:w="7228" w:type="dxa"/>
            <w:tcBorders>
              <w:bottom w:val="single" w:sz="4" w:space="0" w:color="auto"/>
            </w:tcBorders>
            <w:vAlign w:val="center"/>
          </w:tcPr>
          <w:p w:rsidR="00AE250A" w:rsidRPr="00ED2EBA" w:rsidRDefault="00AE250A" w:rsidP="00E0182D">
            <w:pPr>
              <w:widowControl w:val="0"/>
              <w:spacing w:line="480" w:lineRule="auto"/>
              <w:jc w:val="center"/>
              <w:rPr>
                <w:b/>
                <w:color w:val="000000"/>
                <w:sz w:val="24"/>
                <w:szCs w:val="24"/>
              </w:rPr>
            </w:pPr>
            <w:r w:rsidRPr="00ED2EBA">
              <w:rPr>
                <w:b/>
                <w:color w:val="000000"/>
                <w:sz w:val="24"/>
                <w:szCs w:val="24"/>
              </w:rPr>
              <w:t>Attitude</w:t>
            </w:r>
          </w:p>
        </w:tc>
        <w:tc>
          <w:tcPr>
            <w:tcW w:w="1345" w:type="dxa"/>
            <w:tcBorders>
              <w:bottom w:val="single" w:sz="4" w:space="0" w:color="auto"/>
            </w:tcBorders>
            <w:vAlign w:val="center"/>
          </w:tcPr>
          <w:p w:rsidR="00AE250A" w:rsidRPr="00ED2EBA" w:rsidRDefault="00AE250A" w:rsidP="00E0182D">
            <w:pPr>
              <w:widowControl w:val="0"/>
              <w:spacing w:line="480" w:lineRule="auto"/>
              <w:jc w:val="center"/>
              <w:rPr>
                <w:b/>
                <w:sz w:val="24"/>
                <w:szCs w:val="24"/>
              </w:rPr>
            </w:pPr>
            <w:r w:rsidRPr="00ED2EBA">
              <w:rPr>
                <w:b/>
                <w:sz w:val="24"/>
                <w:szCs w:val="24"/>
                <w:lang w:val="en-US"/>
              </w:rPr>
              <w:t xml:space="preserve">Strongly </w:t>
            </w:r>
            <w:r w:rsidRPr="00ED2EBA">
              <w:rPr>
                <w:b/>
                <w:sz w:val="24"/>
                <w:szCs w:val="24"/>
              </w:rPr>
              <w:t>agree</w:t>
            </w:r>
          </w:p>
        </w:tc>
        <w:tc>
          <w:tcPr>
            <w:tcW w:w="1346" w:type="dxa"/>
            <w:tcBorders>
              <w:bottom w:val="single" w:sz="4" w:space="0" w:color="auto"/>
            </w:tcBorders>
            <w:vAlign w:val="center"/>
          </w:tcPr>
          <w:p w:rsidR="00AE250A" w:rsidRPr="00ED2EBA" w:rsidRDefault="00AE250A" w:rsidP="00E0182D">
            <w:pPr>
              <w:widowControl w:val="0"/>
              <w:spacing w:line="480" w:lineRule="auto"/>
              <w:jc w:val="center"/>
              <w:rPr>
                <w:b/>
                <w:sz w:val="24"/>
                <w:szCs w:val="24"/>
              </w:rPr>
            </w:pPr>
            <w:r w:rsidRPr="00ED2EBA">
              <w:rPr>
                <w:b/>
                <w:sz w:val="24"/>
                <w:szCs w:val="24"/>
                <w:lang w:val="en-US"/>
              </w:rPr>
              <w:t>A</w:t>
            </w:r>
            <w:r w:rsidRPr="00ED2EBA">
              <w:rPr>
                <w:b/>
                <w:sz w:val="24"/>
                <w:szCs w:val="24"/>
              </w:rPr>
              <w:t>gree</w:t>
            </w:r>
          </w:p>
        </w:tc>
        <w:tc>
          <w:tcPr>
            <w:tcW w:w="1346" w:type="dxa"/>
            <w:tcBorders>
              <w:bottom w:val="single" w:sz="4" w:space="0" w:color="auto"/>
            </w:tcBorders>
            <w:vAlign w:val="center"/>
          </w:tcPr>
          <w:p w:rsidR="00AE250A" w:rsidRPr="00ED2EBA" w:rsidRDefault="00AE250A" w:rsidP="00E0182D">
            <w:pPr>
              <w:widowControl w:val="0"/>
              <w:spacing w:line="480" w:lineRule="auto"/>
              <w:jc w:val="center"/>
              <w:rPr>
                <w:b/>
                <w:sz w:val="24"/>
                <w:szCs w:val="24"/>
                <w:lang w:val="en-US"/>
              </w:rPr>
            </w:pPr>
            <w:r w:rsidRPr="00ED2EBA">
              <w:rPr>
                <w:b/>
                <w:sz w:val="24"/>
                <w:szCs w:val="24"/>
                <w:lang w:val="en-US"/>
              </w:rPr>
              <w:t>Neutral</w:t>
            </w:r>
          </w:p>
        </w:tc>
        <w:tc>
          <w:tcPr>
            <w:tcW w:w="1346" w:type="dxa"/>
            <w:tcBorders>
              <w:bottom w:val="single" w:sz="4" w:space="0" w:color="auto"/>
            </w:tcBorders>
            <w:vAlign w:val="center"/>
          </w:tcPr>
          <w:p w:rsidR="00AE250A" w:rsidRPr="00ED2EBA" w:rsidRDefault="00AE250A" w:rsidP="00E0182D">
            <w:pPr>
              <w:widowControl w:val="0"/>
              <w:spacing w:line="480" w:lineRule="auto"/>
              <w:jc w:val="center"/>
              <w:rPr>
                <w:b/>
                <w:sz w:val="24"/>
                <w:szCs w:val="24"/>
              </w:rPr>
            </w:pPr>
            <w:r w:rsidRPr="00ED2EBA">
              <w:rPr>
                <w:b/>
                <w:sz w:val="24"/>
                <w:szCs w:val="24"/>
                <w:lang w:val="en-US"/>
              </w:rPr>
              <w:t>D</w:t>
            </w:r>
            <w:r w:rsidRPr="00ED2EBA">
              <w:rPr>
                <w:b/>
                <w:sz w:val="24"/>
                <w:szCs w:val="24"/>
              </w:rPr>
              <w:t>isagree</w:t>
            </w:r>
          </w:p>
        </w:tc>
        <w:tc>
          <w:tcPr>
            <w:tcW w:w="1346" w:type="dxa"/>
            <w:tcBorders>
              <w:bottom w:val="single" w:sz="4" w:space="0" w:color="auto"/>
            </w:tcBorders>
            <w:vAlign w:val="center"/>
          </w:tcPr>
          <w:p w:rsidR="00AE250A" w:rsidRPr="00ED2EBA" w:rsidRDefault="00AE250A" w:rsidP="00E0182D">
            <w:pPr>
              <w:widowControl w:val="0"/>
              <w:spacing w:line="480" w:lineRule="auto"/>
              <w:jc w:val="center"/>
              <w:rPr>
                <w:b/>
                <w:sz w:val="24"/>
                <w:szCs w:val="24"/>
              </w:rPr>
            </w:pPr>
            <w:r w:rsidRPr="00ED2EBA">
              <w:rPr>
                <w:b/>
                <w:sz w:val="24"/>
                <w:szCs w:val="24"/>
                <w:lang w:val="en-US"/>
              </w:rPr>
              <w:t>S</w:t>
            </w:r>
            <w:r w:rsidRPr="00ED2EBA">
              <w:rPr>
                <w:b/>
                <w:sz w:val="24"/>
                <w:szCs w:val="24"/>
              </w:rPr>
              <w:t>trongly disagree</w:t>
            </w:r>
          </w:p>
        </w:tc>
      </w:tr>
      <w:tr w:rsidR="00AE250A" w:rsidRPr="00ED2EBA" w:rsidTr="00AE250A">
        <w:trPr>
          <w:trHeight w:val="282"/>
        </w:trPr>
        <w:tc>
          <w:tcPr>
            <w:tcW w:w="7228" w:type="dxa"/>
            <w:tcBorders>
              <w:top w:val="single" w:sz="4" w:space="0" w:color="auto"/>
              <w:bottom w:val="nil"/>
            </w:tcBorders>
            <w:vAlign w:val="center"/>
          </w:tcPr>
          <w:p w:rsidR="00AE250A" w:rsidRPr="00ED2EBA" w:rsidRDefault="00AE250A" w:rsidP="00E0182D">
            <w:pPr>
              <w:widowControl w:val="0"/>
              <w:spacing w:line="480" w:lineRule="auto"/>
              <w:rPr>
                <w:b/>
                <w:sz w:val="24"/>
                <w:szCs w:val="24"/>
              </w:rPr>
            </w:pPr>
            <w:bookmarkStart w:id="0" w:name="_GoBack"/>
            <w:r w:rsidRPr="00ED2EBA">
              <w:rPr>
                <w:b/>
                <w:sz w:val="24"/>
                <w:szCs w:val="24"/>
              </w:rPr>
              <w:t>1. You are very interested in learning the causes, treatment methods, exercise intervention programs, psychological intervention programs and other related knowledge of stroke.</w:t>
            </w:r>
          </w:p>
        </w:tc>
        <w:tc>
          <w:tcPr>
            <w:tcW w:w="1345" w:type="dxa"/>
            <w:tcBorders>
              <w:top w:val="single" w:sz="4" w:space="0" w:color="auto"/>
              <w:bottom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107(21.4%)</w:t>
            </w:r>
          </w:p>
        </w:tc>
        <w:tc>
          <w:tcPr>
            <w:tcW w:w="1346" w:type="dxa"/>
            <w:tcBorders>
              <w:top w:val="single" w:sz="4" w:space="0" w:color="auto"/>
              <w:bottom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263(52.7%)</w:t>
            </w:r>
          </w:p>
        </w:tc>
        <w:tc>
          <w:tcPr>
            <w:tcW w:w="1346" w:type="dxa"/>
            <w:tcBorders>
              <w:top w:val="single" w:sz="4" w:space="0" w:color="auto"/>
              <w:bottom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118(23.6%)</w:t>
            </w:r>
          </w:p>
        </w:tc>
        <w:tc>
          <w:tcPr>
            <w:tcW w:w="1346" w:type="dxa"/>
            <w:tcBorders>
              <w:top w:val="single" w:sz="4" w:space="0" w:color="auto"/>
              <w:bottom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10(2%)</w:t>
            </w:r>
          </w:p>
        </w:tc>
        <w:tc>
          <w:tcPr>
            <w:tcW w:w="1346" w:type="dxa"/>
            <w:tcBorders>
              <w:top w:val="single" w:sz="4" w:space="0" w:color="auto"/>
              <w:bottom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1(0.2%)</w:t>
            </w:r>
          </w:p>
        </w:tc>
      </w:tr>
      <w:bookmarkEnd w:id="0"/>
      <w:tr w:rsidR="00AE250A" w:rsidRPr="00ED2EBA" w:rsidTr="00AE250A">
        <w:trPr>
          <w:trHeight w:val="282"/>
        </w:trPr>
        <w:tc>
          <w:tcPr>
            <w:tcW w:w="7228" w:type="dxa"/>
            <w:tcBorders>
              <w:top w:val="nil"/>
            </w:tcBorders>
            <w:vAlign w:val="center"/>
          </w:tcPr>
          <w:p w:rsidR="00AE250A" w:rsidRPr="00ED2EBA" w:rsidRDefault="00AE250A" w:rsidP="00E0182D">
            <w:pPr>
              <w:widowControl w:val="0"/>
              <w:spacing w:line="480" w:lineRule="auto"/>
              <w:rPr>
                <w:b/>
                <w:sz w:val="24"/>
                <w:szCs w:val="24"/>
              </w:rPr>
            </w:pPr>
            <w:r w:rsidRPr="00ED2EBA">
              <w:rPr>
                <w:b/>
                <w:sz w:val="24"/>
                <w:szCs w:val="24"/>
              </w:rPr>
              <w:t>2. You believe that stroke is a serious disease that requires you and your caregivers to pay attention to details.</w:t>
            </w:r>
          </w:p>
        </w:tc>
        <w:tc>
          <w:tcPr>
            <w:tcW w:w="1345" w:type="dxa"/>
            <w:tcBorders>
              <w:top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167(33.5%)</w:t>
            </w:r>
          </w:p>
        </w:tc>
        <w:tc>
          <w:tcPr>
            <w:tcW w:w="1346" w:type="dxa"/>
            <w:tcBorders>
              <w:top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244(48.9%)</w:t>
            </w:r>
          </w:p>
        </w:tc>
        <w:tc>
          <w:tcPr>
            <w:tcW w:w="1346" w:type="dxa"/>
            <w:tcBorders>
              <w:top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75(15%)</w:t>
            </w:r>
          </w:p>
        </w:tc>
        <w:tc>
          <w:tcPr>
            <w:tcW w:w="1346" w:type="dxa"/>
            <w:tcBorders>
              <w:top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9(1.8%)</w:t>
            </w:r>
          </w:p>
        </w:tc>
        <w:tc>
          <w:tcPr>
            <w:tcW w:w="1346" w:type="dxa"/>
            <w:tcBorders>
              <w:top w:val="nil"/>
            </w:tcBorders>
            <w:vAlign w:val="center"/>
          </w:tcPr>
          <w:p w:rsidR="00AE250A" w:rsidRPr="00ED2EBA" w:rsidRDefault="00AE250A" w:rsidP="00E0182D">
            <w:pPr>
              <w:widowControl w:val="0"/>
              <w:spacing w:line="480" w:lineRule="auto"/>
              <w:jc w:val="center"/>
              <w:rPr>
                <w:sz w:val="24"/>
                <w:szCs w:val="24"/>
              </w:rPr>
            </w:pPr>
            <w:r w:rsidRPr="00ED2EBA">
              <w:rPr>
                <w:sz w:val="24"/>
                <w:szCs w:val="24"/>
              </w:rPr>
              <w:t>4(0.8%)</w:t>
            </w:r>
          </w:p>
        </w:tc>
      </w:tr>
      <w:tr w:rsidR="00AE250A" w:rsidRPr="00ED2EBA" w:rsidTr="00AE250A">
        <w:tc>
          <w:tcPr>
            <w:tcW w:w="7228" w:type="dxa"/>
            <w:vAlign w:val="center"/>
          </w:tcPr>
          <w:p w:rsidR="00AE250A" w:rsidRPr="00ED2EBA" w:rsidRDefault="00AE250A" w:rsidP="00E0182D">
            <w:pPr>
              <w:widowControl w:val="0"/>
              <w:spacing w:line="480" w:lineRule="auto"/>
              <w:rPr>
                <w:b/>
                <w:sz w:val="24"/>
                <w:szCs w:val="24"/>
              </w:rPr>
            </w:pPr>
            <w:r w:rsidRPr="00ED2EBA">
              <w:rPr>
                <w:b/>
                <w:sz w:val="24"/>
                <w:szCs w:val="24"/>
              </w:rPr>
              <w:t>3. You trust the treatment plans, exercise and psychological intervention plans provided to you by doctors and nursing staff, and confirm that you can strictly implement the exercise and psychological rehabilitation plans provided by doctors and therapists.</w:t>
            </w:r>
          </w:p>
        </w:tc>
        <w:tc>
          <w:tcPr>
            <w:tcW w:w="1345" w:type="dxa"/>
            <w:vAlign w:val="center"/>
          </w:tcPr>
          <w:p w:rsidR="00AE250A" w:rsidRPr="00ED2EBA" w:rsidRDefault="00AE250A" w:rsidP="00E0182D">
            <w:pPr>
              <w:widowControl w:val="0"/>
              <w:spacing w:line="480" w:lineRule="auto"/>
              <w:jc w:val="center"/>
              <w:rPr>
                <w:sz w:val="24"/>
                <w:szCs w:val="24"/>
              </w:rPr>
            </w:pPr>
            <w:r w:rsidRPr="00ED2EBA">
              <w:rPr>
                <w:sz w:val="24"/>
                <w:szCs w:val="24"/>
              </w:rPr>
              <w:t>170(34.1%)</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250(50.1%)</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68(13.6%)</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8(1.6%)</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3(0.6%)</w:t>
            </w:r>
          </w:p>
        </w:tc>
      </w:tr>
      <w:tr w:rsidR="00AE250A" w:rsidRPr="00ED2EBA" w:rsidTr="00AE250A">
        <w:tc>
          <w:tcPr>
            <w:tcW w:w="7228" w:type="dxa"/>
            <w:vAlign w:val="center"/>
          </w:tcPr>
          <w:p w:rsidR="00AE250A" w:rsidRPr="00ED2EBA" w:rsidRDefault="00AE250A" w:rsidP="00E0182D">
            <w:pPr>
              <w:widowControl w:val="0"/>
              <w:spacing w:line="480" w:lineRule="auto"/>
              <w:rPr>
                <w:b/>
                <w:sz w:val="24"/>
                <w:szCs w:val="24"/>
              </w:rPr>
            </w:pPr>
            <w:r w:rsidRPr="00ED2EBA">
              <w:rPr>
                <w:b/>
                <w:sz w:val="24"/>
                <w:szCs w:val="24"/>
              </w:rPr>
              <w:t xml:space="preserve">4. You know the key risk factors for disease progression and pay </w:t>
            </w:r>
            <w:r w:rsidRPr="00ED2EBA">
              <w:rPr>
                <w:b/>
                <w:sz w:val="24"/>
                <w:szCs w:val="24"/>
              </w:rPr>
              <w:lastRenderedPageBreak/>
              <w:t>careful attention to these details in your daily life.</w:t>
            </w:r>
          </w:p>
        </w:tc>
        <w:tc>
          <w:tcPr>
            <w:tcW w:w="1345" w:type="dxa"/>
            <w:vAlign w:val="center"/>
          </w:tcPr>
          <w:p w:rsidR="00AE250A" w:rsidRPr="00ED2EBA" w:rsidRDefault="00AE250A" w:rsidP="00E0182D">
            <w:pPr>
              <w:widowControl w:val="0"/>
              <w:spacing w:line="480" w:lineRule="auto"/>
              <w:jc w:val="center"/>
              <w:rPr>
                <w:sz w:val="24"/>
                <w:szCs w:val="24"/>
              </w:rPr>
            </w:pPr>
            <w:r w:rsidRPr="00ED2EBA">
              <w:rPr>
                <w:sz w:val="24"/>
                <w:szCs w:val="24"/>
              </w:rPr>
              <w:lastRenderedPageBreak/>
              <w:t>132(26.5%</w:t>
            </w:r>
            <w:r w:rsidRPr="00ED2EBA">
              <w:rPr>
                <w:sz w:val="24"/>
                <w:szCs w:val="24"/>
              </w:rPr>
              <w:lastRenderedPageBreak/>
              <w:t>)</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lastRenderedPageBreak/>
              <w:t>243(48.7%</w:t>
            </w:r>
            <w:r w:rsidRPr="00ED2EBA">
              <w:rPr>
                <w:sz w:val="24"/>
                <w:szCs w:val="24"/>
              </w:rPr>
              <w:lastRenderedPageBreak/>
              <w:t>)</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lastRenderedPageBreak/>
              <w:t>108(21.6%</w:t>
            </w:r>
            <w:r w:rsidRPr="00ED2EBA">
              <w:rPr>
                <w:sz w:val="24"/>
                <w:szCs w:val="24"/>
              </w:rPr>
              <w:lastRenderedPageBreak/>
              <w:t>)</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lastRenderedPageBreak/>
              <w:t>13(2.6%)</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3(0.6%)</w:t>
            </w:r>
          </w:p>
        </w:tc>
      </w:tr>
      <w:tr w:rsidR="00AE250A" w:rsidRPr="00ED2EBA" w:rsidTr="00AE250A">
        <w:tc>
          <w:tcPr>
            <w:tcW w:w="7228" w:type="dxa"/>
            <w:vAlign w:val="center"/>
          </w:tcPr>
          <w:p w:rsidR="00AE250A" w:rsidRPr="00ED2EBA" w:rsidRDefault="00AE250A" w:rsidP="00E0182D">
            <w:pPr>
              <w:widowControl w:val="0"/>
              <w:spacing w:line="480" w:lineRule="auto"/>
              <w:rPr>
                <w:b/>
                <w:sz w:val="24"/>
                <w:szCs w:val="24"/>
              </w:rPr>
            </w:pPr>
            <w:r w:rsidRPr="00ED2EBA">
              <w:rPr>
                <w:b/>
                <w:sz w:val="24"/>
                <w:szCs w:val="24"/>
              </w:rPr>
              <w:t>5. You are worried about the possibility of relapse even if you strictly follow the exercise and psychological rehabilitation programs given by doctors and caregivers.</w:t>
            </w:r>
          </w:p>
        </w:tc>
        <w:tc>
          <w:tcPr>
            <w:tcW w:w="1345" w:type="dxa"/>
            <w:vAlign w:val="center"/>
          </w:tcPr>
          <w:p w:rsidR="00AE250A" w:rsidRPr="00ED2EBA" w:rsidRDefault="00AE250A" w:rsidP="00E0182D">
            <w:pPr>
              <w:widowControl w:val="0"/>
              <w:spacing w:line="480" w:lineRule="auto"/>
              <w:jc w:val="center"/>
              <w:rPr>
                <w:sz w:val="24"/>
                <w:szCs w:val="24"/>
              </w:rPr>
            </w:pPr>
            <w:r w:rsidRPr="00ED2EBA">
              <w:rPr>
                <w:sz w:val="24"/>
                <w:szCs w:val="24"/>
              </w:rPr>
              <w:t>122(24.4%)</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236(47.3%)</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101(20.2%)</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36(7.2%)</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4(0.8%)</w:t>
            </w:r>
          </w:p>
        </w:tc>
      </w:tr>
      <w:tr w:rsidR="00AE250A" w:rsidRPr="00ED2EBA" w:rsidTr="00AE250A">
        <w:tc>
          <w:tcPr>
            <w:tcW w:w="7228" w:type="dxa"/>
            <w:vAlign w:val="center"/>
          </w:tcPr>
          <w:p w:rsidR="00AE250A" w:rsidRPr="00ED2EBA" w:rsidRDefault="00AE250A" w:rsidP="00E0182D">
            <w:pPr>
              <w:widowControl w:val="0"/>
              <w:spacing w:line="480" w:lineRule="auto"/>
              <w:rPr>
                <w:b/>
                <w:sz w:val="24"/>
                <w:szCs w:val="24"/>
              </w:rPr>
            </w:pPr>
            <w:r w:rsidRPr="00ED2EBA">
              <w:rPr>
                <w:b/>
                <w:sz w:val="24"/>
                <w:szCs w:val="24"/>
              </w:rPr>
              <w:t>6. Do you believe that home-based rehabilitation exercise training and psychological rehabilitation programs are necessary to prevent disease progression and relapse.</w:t>
            </w:r>
          </w:p>
        </w:tc>
        <w:tc>
          <w:tcPr>
            <w:tcW w:w="1345" w:type="dxa"/>
            <w:vAlign w:val="center"/>
          </w:tcPr>
          <w:p w:rsidR="00AE250A" w:rsidRPr="00ED2EBA" w:rsidRDefault="00AE250A" w:rsidP="00E0182D">
            <w:pPr>
              <w:widowControl w:val="0"/>
              <w:spacing w:line="480" w:lineRule="auto"/>
              <w:jc w:val="center"/>
              <w:rPr>
                <w:sz w:val="24"/>
                <w:szCs w:val="24"/>
              </w:rPr>
            </w:pPr>
            <w:r w:rsidRPr="00ED2EBA">
              <w:rPr>
                <w:sz w:val="24"/>
                <w:szCs w:val="24"/>
              </w:rPr>
              <w:t>139(27.9%)</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241(48.3%)</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105(21%)</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12(2.4%)</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2(0.4%)</w:t>
            </w:r>
          </w:p>
        </w:tc>
      </w:tr>
      <w:tr w:rsidR="00AE250A" w:rsidRPr="00ED2EBA" w:rsidTr="00AE250A">
        <w:tc>
          <w:tcPr>
            <w:tcW w:w="7228" w:type="dxa"/>
            <w:vAlign w:val="center"/>
          </w:tcPr>
          <w:p w:rsidR="00AE250A" w:rsidRPr="00ED2EBA" w:rsidRDefault="00AE250A" w:rsidP="00E0182D">
            <w:pPr>
              <w:widowControl w:val="0"/>
              <w:spacing w:line="480" w:lineRule="auto"/>
              <w:rPr>
                <w:b/>
                <w:sz w:val="24"/>
                <w:szCs w:val="24"/>
              </w:rPr>
            </w:pPr>
            <w:r w:rsidRPr="00ED2EBA">
              <w:rPr>
                <w:b/>
                <w:sz w:val="24"/>
                <w:szCs w:val="24"/>
              </w:rPr>
              <w:t>7. Do you think you can continue to follow the exercise and psychological rehabilitation programs recommended to you by doctors and nursing staff for a long time?</w:t>
            </w:r>
          </w:p>
        </w:tc>
        <w:tc>
          <w:tcPr>
            <w:tcW w:w="1345" w:type="dxa"/>
            <w:vAlign w:val="center"/>
          </w:tcPr>
          <w:p w:rsidR="00AE250A" w:rsidRPr="00ED2EBA" w:rsidRDefault="00AE250A" w:rsidP="00E0182D">
            <w:pPr>
              <w:widowControl w:val="0"/>
              <w:spacing w:line="480" w:lineRule="auto"/>
              <w:jc w:val="center"/>
              <w:rPr>
                <w:sz w:val="24"/>
                <w:szCs w:val="24"/>
              </w:rPr>
            </w:pPr>
            <w:r w:rsidRPr="00ED2EBA">
              <w:rPr>
                <w:sz w:val="24"/>
                <w:szCs w:val="24"/>
              </w:rPr>
              <w:t>147(29.5%)</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267(53.5%)</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75(15%)</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10(2%)</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0 (0%)</w:t>
            </w:r>
          </w:p>
        </w:tc>
      </w:tr>
      <w:tr w:rsidR="00AE250A" w:rsidRPr="00ED2EBA" w:rsidTr="00AE250A">
        <w:tc>
          <w:tcPr>
            <w:tcW w:w="7228" w:type="dxa"/>
            <w:vAlign w:val="center"/>
          </w:tcPr>
          <w:p w:rsidR="00AE250A" w:rsidRPr="00ED2EBA" w:rsidRDefault="00AE250A" w:rsidP="00E0182D">
            <w:pPr>
              <w:widowControl w:val="0"/>
              <w:spacing w:line="480" w:lineRule="auto"/>
              <w:rPr>
                <w:b/>
                <w:sz w:val="24"/>
                <w:szCs w:val="24"/>
              </w:rPr>
            </w:pPr>
            <w:r w:rsidRPr="00ED2EBA">
              <w:rPr>
                <w:b/>
                <w:sz w:val="24"/>
                <w:szCs w:val="24"/>
              </w:rPr>
              <w:t>8. Do you think you should increase communication with your family and medical staff when you are depressed?</w:t>
            </w:r>
          </w:p>
        </w:tc>
        <w:tc>
          <w:tcPr>
            <w:tcW w:w="1345" w:type="dxa"/>
            <w:vAlign w:val="center"/>
          </w:tcPr>
          <w:p w:rsidR="00AE250A" w:rsidRPr="00ED2EBA" w:rsidRDefault="00AE250A" w:rsidP="00E0182D">
            <w:pPr>
              <w:widowControl w:val="0"/>
              <w:spacing w:line="480" w:lineRule="auto"/>
              <w:jc w:val="center"/>
              <w:rPr>
                <w:sz w:val="24"/>
                <w:szCs w:val="24"/>
              </w:rPr>
            </w:pPr>
            <w:r w:rsidRPr="00ED2EBA">
              <w:rPr>
                <w:sz w:val="24"/>
                <w:szCs w:val="24"/>
              </w:rPr>
              <w:t>165(33.1%)</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247(49.5%)</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73(14.6%)</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10(2%)</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4(0.8%)</w:t>
            </w:r>
          </w:p>
        </w:tc>
      </w:tr>
      <w:tr w:rsidR="00AE250A" w:rsidRPr="00ED2EBA" w:rsidTr="00AE250A">
        <w:tc>
          <w:tcPr>
            <w:tcW w:w="7228" w:type="dxa"/>
            <w:vAlign w:val="center"/>
          </w:tcPr>
          <w:p w:rsidR="00AE250A" w:rsidRPr="00ED2EBA" w:rsidRDefault="00AE250A" w:rsidP="00E0182D">
            <w:pPr>
              <w:widowControl w:val="0"/>
              <w:spacing w:line="480" w:lineRule="auto"/>
              <w:rPr>
                <w:b/>
                <w:sz w:val="24"/>
                <w:szCs w:val="24"/>
              </w:rPr>
            </w:pPr>
            <w:r w:rsidRPr="00ED2EBA">
              <w:rPr>
                <w:b/>
                <w:sz w:val="24"/>
                <w:szCs w:val="24"/>
              </w:rPr>
              <w:t xml:space="preserve">9. Do you think that after getting sick, your family will no longer value your opinions and your presence in the family will gradually </w:t>
            </w:r>
            <w:r w:rsidRPr="00ED2EBA">
              <w:rPr>
                <w:b/>
                <w:sz w:val="24"/>
                <w:szCs w:val="24"/>
              </w:rPr>
              <w:lastRenderedPageBreak/>
              <w:t>decrease; and you will often be discriminated against by others on the road.</w:t>
            </w:r>
          </w:p>
        </w:tc>
        <w:tc>
          <w:tcPr>
            <w:tcW w:w="1345" w:type="dxa"/>
            <w:vAlign w:val="center"/>
          </w:tcPr>
          <w:p w:rsidR="00AE250A" w:rsidRPr="00ED2EBA" w:rsidRDefault="00AE250A" w:rsidP="00E0182D">
            <w:pPr>
              <w:widowControl w:val="0"/>
              <w:spacing w:line="480" w:lineRule="auto"/>
              <w:jc w:val="center"/>
              <w:rPr>
                <w:sz w:val="24"/>
                <w:szCs w:val="24"/>
              </w:rPr>
            </w:pPr>
            <w:r w:rsidRPr="00ED2EBA">
              <w:rPr>
                <w:sz w:val="24"/>
                <w:szCs w:val="24"/>
              </w:rPr>
              <w:lastRenderedPageBreak/>
              <w:t>93(18.6%)</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159(31.9%)</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112(22.4%)</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105(21%)</w:t>
            </w:r>
          </w:p>
        </w:tc>
        <w:tc>
          <w:tcPr>
            <w:tcW w:w="1346" w:type="dxa"/>
            <w:vAlign w:val="center"/>
          </w:tcPr>
          <w:p w:rsidR="00AE250A" w:rsidRPr="00ED2EBA" w:rsidRDefault="00AE250A" w:rsidP="00E0182D">
            <w:pPr>
              <w:widowControl w:val="0"/>
              <w:spacing w:line="480" w:lineRule="auto"/>
              <w:jc w:val="center"/>
              <w:rPr>
                <w:sz w:val="24"/>
                <w:szCs w:val="24"/>
              </w:rPr>
            </w:pPr>
            <w:r w:rsidRPr="00ED2EBA">
              <w:rPr>
                <w:sz w:val="24"/>
                <w:szCs w:val="24"/>
              </w:rPr>
              <w:t>30(6%)</w:t>
            </w:r>
          </w:p>
        </w:tc>
      </w:tr>
    </w:tbl>
    <w:p w:rsidR="00DB328F" w:rsidRDefault="00392079"/>
    <w:sectPr w:rsidR="00DB328F" w:rsidSect="00AE250A">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79" w:rsidRDefault="00392079" w:rsidP="00AE250A">
      <w:r>
        <w:separator/>
      </w:r>
    </w:p>
  </w:endnote>
  <w:endnote w:type="continuationSeparator" w:id="0">
    <w:p w:rsidR="00392079" w:rsidRDefault="00392079" w:rsidP="00AE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79" w:rsidRDefault="00392079" w:rsidP="00AE250A">
      <w:r>
        <w:separator/>
      </w:r>
    </w:p>
  </w:footnote>
  <w:footnote w:type="continuationSeparator" w:id="0">
    <w:p w:rsidR="00392079" w:rsidRDefault="00392079" w:rsidP="00AE2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AA"/>
    <w:rsid w:val="00117261"/>
    <w:rsid w:val="00392079"/>
    <w:rsid w:val="005E7990"/>
    <w:rsid w:val="00700BAA"/>
    <w:rsid w:val="00AE250A"/>
    <w:rsid w:val="00D3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AE2E3"/>
  <w15:chartTrackingRefBased/>
  <w15:docId w15:val="{F6CAC84A-AA6B-4F5C-AACB-3990CE04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0A"/>
    <w:pPr>
      <w:jc w:val="both"/>
    </w:pPr>
    <w:rPr>
      <w:rFonts w:ascii="Times New Roman" w:eastAsia="宋体" w:hAnsi="Times New Roman" w:cs="Times New Roman"/>
      <w:kern w:val="0"/>
      <w:szCs w:val="21"/>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50A"/>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character" w:customStyle="1" w:styleId="a4">
    <w:name w:val="页眉 字符"/>
    <w:basedOn w:val="a0"/>
    <w:link w:val="a3"/>
    <w:uiPriority w:val="99"/>
    <w:rsid w:val="00AE250A"/>
    <w:rPr>
      <w:sz w:val="18"/>
      <w:szCs w:val="18"/>
    </w:rPr>
  </w:style>
  <w:style w:type="paragraph" w:styleId="a5">
    <w:name w:val="footer"/>
    <w:basedOn w:val="a"/>
    <w:link w:val="a6"/>
    <w:uiPriority w:val="99"/>
    <w:unhideWhenUsed/>
    <w:rsid w:val="00AE250A"/>
    <w:pPr>
      <w:widowControl w:val="0"/>
      <w:tabs>
        <w:tab w:val="center" w:pos="4153"/>
        <w:tab w:val="right" w:pos="8306"/>
      </w:tabs>
      <w:snapToGrid w:val="0"/>
      <w:jc w:val="left"/>
    </w:pPr>
    <w:rPr>
      <w:rFonts w:asciiTheme="minorHAnsi" w:eastAsiaTheme="minorEastAsia" w:hAnsiTheme="minorHAnsi" w:cstheme="minorBidi"/>
      <w:kern w:val="2"/>
      <w:sz w:val="18"/>
      <w:szCs w:val="18"/>
      <w:lang w:val="en-US"/>
    </w:rPr>
  </w:style>
  <w:style w:type="character" w:customStyle="1" w:styleId="a6">
    <w:name w:val="页脚 字符"/>
    <w:basedOn w:val="a0"/>
    <w:link w:val="a5"/>
    <w:uiPriority w:val="99"/>
    <w:rsid w:val="00AE25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2024-07-12T07:03:00Z</dcterms:created>
  <dcterms:modified xsi:type="dcterms:W3CDTF">2024-07-12T07:04:00Z</dcterms:modified>
</cp:coreProperties>
</file>