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312B" w14:textId="1E018E1C" w:rsidR="00490403" w:rsidRDefault="00866ADE">
      <w:pPr>
        <w:spacing w:after="160" w:line="360" w:lineRule="auto"/>
        <w:jc w:val="center"/>
        <w:rPr>
          <w:rFonts w:ascii="Times New Roman" w:eastAsia="等线" w:hAnsi="Times New Roman" w:cs="Times New Roman"/>
          <w:b/>
          <w:bCs/>
          <w:sz w:val="24"/>
          <w:lang w:bidi="ar"/>
        </w:rPr>
      </w:pPr>
      <w:r w:rsidRPr="00866ADE">
        <w:rPr>
          <w:rFonts w:ascii="Times New Roman" w:eastAsia="等线" w:hAnsi="Times New Roman" w:cs="Times New Roman"/>
          <w:b/>
          <w:bCs/>
          <w:sz w:val="24"/>
          <w:lang w:bidi="ar"/>
        </w:rPr>
        <w:t>Supplementary Tables</w:t>
      </w:r>
      <w:r>
        <w:rPr>
          <w:rFonts w:ascii="Times New Roman" w:eastAsia="等线" w:hAnsi="Times New Roman" w:cs="Times New Roman"/>
          <w:b/>
          <w:bCs/>
          <w:sz w:val="24"/>
          <w:lang w:bidi="ar"/>
        </w:rPr>
        <w:t xml:space="preserve"> for</w:t>
      </w:r>
    </w:p>
    <w:p w14:paraId="2A185C8E" w14:textId="77777777" w:rsidR="00C5401B" w:rsidRPr="00DC1160" w:rsidRDefault="00C5401B" w:rsidP="002E446C">
      <w:pPr>
        <w:spacing w:afterLines="100" w:after="312"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B03E4">
        <w:rPr>
          <w:rFonts w:ascii="Times New Roman" w:hAnsi="Times New Roman" w:cs="Times New Roman" w:hint="eastAsia"/>
          <w:b/>
          <w:bCs/>
          <w:sz w:val="24"/>
        </w:rPr>
        <w:t>An elevated sustained neutrophil-lymphocyte ratio (NLR) was associated with 90-day case fatality in severe heat stroke: A 13-year retrospective cohort study</w:t>
      </w:r>
    </w:p>
    <w:p w14:paraId="43A34A44" w14:textId="77777777" w:rsidR="0049040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zCs w:val="21"/>
        </w:rPr>
        <w:t xml:space="preserve">Dynamic changes of the 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white blood cell </w:t>
      </w:r>
      <w:proofErr w:type="gramStart"/>
      <w:r>
        <w:rPr>
          <w:rFonts w:ascii="Times New Roman" w:hAnsi="Times New Roman" w:cs="Times New Roman" w:hint="eastAsia"/>
          <w:b/>
          <w:bCs/>
          <w:szCs w:val="21"/>
        </w:rPr>
        <w:t>counts</w:t>
      </w:r>
      <w:proofErr w:type="gramEnd"/>
      <w:r>
        <w:rPr>
          <w:rFonts w:ascii="Times New Roman" w:hAnsi="Times New Roman" w:cs="Times New Roman"/>
          <w:b/>
          <w:bCs/>
          <w:szCs w:val="21"/>
        </w:rPr>
        <w:t xml:space="preserve"> in the survivor and non-survivor patients with </w:t>
      </w:r>
      <w:r>
        <w:rPr>
          <w:rFonts w:ascii="Times New Roman" w:hAnsi="Times New Roman" w:cs="Times New Roman" w:hint="eastAsia"/>
          <w:b/>
          <w:bCs/>
          <w:szCs w:val="21"/>
        </w:rPr>
        <w:t>heatstroke.</w:t>
      </w:r>
    </w:p>
    <w:tbl>
      <w:tblPr>
        <w:tblW w:w="90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2062"/>
        <w:gridCol w:w="1877"/>
        <w:gridCol w:w="2094"/>
        <w:gridCol w:w="1397"/>
      </w:tblGrid>
      <w:tr w:rsidR="00490403" w14:paraId="53790812" w14:textId="77777777">
        <w:trPr>
          <w:trHeight w:val="170"/>
        </w:trPr>
        <w:tc>
          <w:tcPr>
            <w:tcW w:w="16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A64FB73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F0F686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Overall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D26354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Survivor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DD5CAAA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Non-survivor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DCCC39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value</w:t>
            </w:r>
          </w:p>
        </w:tc>
      </w:tr>
      <w:tr w:rsidR="00490403" w14:paraId="19B8A61E" w14:textId="77777777">
        <w:trPr>
          <w:trHeight w:val="170"/>
        </w:trPr>
        <w:tc>
          <w:tcPr>
            <w:tcW w:w="160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537708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N</w:t>
            </w:r>
          </w:p>
        </w:tc>
        <w:tc>
          <w:tcPr>
            <w:tcW w:w="2062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AE5E58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87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0A2719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09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72ED4F2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9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5027113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403" w14:paraId="62A56CF9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C999E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WBC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22E872" w14:textId="77777777" w:rsidR="00490403" w:rsidRDefault="0049040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3C44F7" w14:textId="77777777" w:rsidR="00490403" w:rsidRDefault="0049040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2E929E" w14:textId="77777777" w:rsidR="00490403" w:rsidRDefault="0049040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BB9DE7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403" w14:paraId="594A629E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52864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dmission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F6AC1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11.15 [8.37, 14.48]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3399E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11.03 [8.39, 14.36]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A5418A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11.67 [8.19, 16.00]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D00B3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</w:tr>
      <w:tr w:rsidR="00490403" w14:paraId="4FDBAF5C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B61EF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CFB6B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9.02 [6.93, 12.14]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A1460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8.80 [6.77, 11.59]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0923B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9.70 [8.38, 13.73]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ABBF6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</w:tr>
      <w:tr w:rsidR="00490403" w14:paraId="48B910CE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E3327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12E09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8.13 [6.38, 10.75]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3F860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7.97 [6.37, 10.06]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6A89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10.91 [7.32, 13.75]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7DA89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</w:tr>
      <w:tr w:rsidR="00490403" w14:paraId="76B2D10E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C67CE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B2DAD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7.14 [5.76, 9.54]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81A4F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6.98 [5.76, 8.93]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A1BF0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9.69 [5.76, 12.54]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29D3E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</w:tr>
      <w:tr w:rsidR="00490403" w14:paraId="3EEC8F4D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0AF04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B0139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6.99 [5.62, 9.83]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BFB6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6.92 [5.59, 9.46]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190BD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8.52 [5.83, 12.08]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E90EE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</w:tr>
      <w:tr w:rsidR="00490403" w14:paraId="52B873CE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42545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AA5F8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8.40 [6.41, 11.98]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1E9FC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7.81 [6.25, 10.09]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E516F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14.06 [11.39, 17.92]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AF1B5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6E4F9440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3F7D3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305C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8.48 [6.99, 12.56]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F1DE5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8.19 [6.92, 10.26]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EA8B4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18.88 [10.97, 19.19]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EE62C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532DE316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F74B0A" w14:textId="77777777" w:rsidR="0049040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Neutrophil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06BF23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DF68FA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CAE856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3FD07B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403" w14:paraId="1B45E31D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DAC1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dmission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70CEA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8.85 [6.34, 12.18]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B552C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8.78 [6.35, 11.91]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369D2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9.97 [6.38, 13.89]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36AAD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0.35</w:t>
            </w:r>
          </w:p>
        </w:tc>
      </w:tr>
      <w:tr w:rsidR="00490403" w14:paraId="2CD2C9EF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26888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1923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7.11 [4.99, 10.23]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623D2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6.72 [4.80, 9.54]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D051A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8.71 [7.46, 12.83]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D9BA7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41586133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99AED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D53FD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6.14 [4.34, 8.65]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FF6E8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5.91 [4.13, 7.85]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4107D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10.14 [6.75, 12.92]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D69D2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7A7AD1F8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95AE8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564CE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5.12 [3.95, 7.58]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D2547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4.84 [3.95, 7.13]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FEA1A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8.84 [4.95, 11.80]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8BA66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</w:tr>
      <w:tr w:rsidR="00490403" w14:paraId="5848EE60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D6052A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90EFA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4.91 [3.50, 7.56]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46B9E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4.77 [3.47, 7.15]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55A8E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6.47 [3.64, 10.58]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3DA0A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</w:tr>
      <w:tr w:rsidR="00490403" w14:paraId="4DC87B9C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EDAC4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F6B34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6.02 [4.28, 10.20]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4866F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5.12 [4.10, 8.00]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A2CB3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11.74 [8.76, 14.34]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5A49A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4057BF3F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3AF7C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3F3FB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6.12 [4.49, 9.89]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7B32F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5.50 [4.09, 7.60]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5EA9B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14.78 [9.35, 17.32]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07FE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7565E4A7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50B752" w14:textId="77777777" w:rsidR="0049040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Lymphocyte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9579B1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6A37EB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F015B0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7CE4E3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403" w14:paraId="73A653EE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01D52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dmission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5BF89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1.03 [0.56, 1.84]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5C792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1.08 [0.62, 1.81]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A0546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0.54 [0.29, 2.34]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D417EA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</w:tr>
      <w:tr w:rsidR="00490403" w14:paraId="360BF637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EECF3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8F5CD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1.26 [0.70, 1.72]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E9C6B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1.31 [0.96, 1.83]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78A10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0.36 [0.28, 0.47]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C5BDB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0E81F556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F1629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5F0C3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1.23 [0.62, 1.83]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63CADA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1.34 [0.86, 1.91]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6A149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0.34 [0.22, 0.43]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A4C76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0E671B2A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ADABF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AA5C9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1.11 [0.65, 1.58]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AF32D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1.29 [0.74, 1.76]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3D88F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0.37 [0.23, 0.55]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BB598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6E0FCCA1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89E2CA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CE32A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1.22 [0.71, 1.75]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791CC2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1.33 [0.93, 1.81]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51294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0.57 [0.25, 0.84]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A84FF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1DB81A2C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2A34E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3C317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1.26 [0.82, 1.90]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43BC2A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1.32 [0.86, 2.03]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9667B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0.99 [0.50, 1.38]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164DE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</w:t>
            </w:r>
          </w:p>
        </w:tc>
      </w:tr>
      <w:tr w:rsidR="00490403" w14:paraId="47B0324F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D0CFB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BE89F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1.23 [0.85, 2.06]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C059D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1.46 [0.95, 2.08]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43907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0.70 [0.28, 1.51]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099BF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</w:t>
            </w:r>
          </w:p>
        </w:tc>
      </w:tr>
      <w:tr w:rsidR="00490403" w14:paraId="15DC4187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86DEBC" w14:textId="77777777" w:rsidR="0049040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NLR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1BAA90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B2F1B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FADBA8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C95C07" w14:textId="77777777" w:rsidR="00490403" w:rsidRDefault="004904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403" w14:paraId="08F990E2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CA885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dmission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DE846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9.02 [4.21, 17.72]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8AE9E3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8.91 [4.06, 16.40]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3BB4A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13.08 [5.09, 30.32]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8F63E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</w:tr>
      <w:tr w:rsidR="00490403" w14:paraId="22B7CF40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37E56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6855D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6.11 [3.23, 12.00]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B2068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5.21 [3.00, 9.23]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B03DD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27.92 [19.80, 43.67]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40EC5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4C7BEAF2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96979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41CDA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5.20 [2.81, 13.35]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7A4A3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4.28 [2.54, 9.61]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7D21B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28.32 [20.76, 43.52]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82441E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52EC511E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F11AA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72h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98899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4.59 [2.81, 11.06]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E2D7D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4.08 [2.52, 8.08]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7F549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19.89 [11.66, 32.02]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DCAD2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281FD3D4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F0C77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20D25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4.18 [2.41, 9.97]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32DAC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3.39 [2.30, 7.25]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FEF4F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11.71 [6.39, 22.77]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08227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615CC93F" w14:textId="77777777">
        <w:trPr>
          <w:trHeight w:val="170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0E2B4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7d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9E422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5.00 [2.77, 10.92]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5C3DA4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3.74 [2.48, 7.75]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B578E6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13.26 [7.75, 23.18]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EBE27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:rsidR="00490403" w14:paraId="5DA49B2A" w14:textId="77777777">
        <w:trPr>
          <w:trHeight w:val="170"/>
        </w:trPr>
        <w:tc>
          <w:tcPr>
            <w:tcW w:w="160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FA16F0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14d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F2DEE2F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4.59 [2.74, 9.79]</w:t>
            </w:r>
          </w:p>
        </w:tc>
        <w:tc>
          <w:tcPr>
            <w:tcW w:w="187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0175E37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4.19 [2.31, 6.40]</w:t>
            </w:r>
          </w:p>
        </w:tc>
        <w:tc>
          <w:tcPr>
            <w:tcW w:w="209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B860EFD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23.09 [9.79, 38.96]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0F9E3CB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</w:tbl>
    <w:p w14:paraId="7EA4E168" w14:textId="70677DC3" w:rsidR="00490403" w:rsidRDefault="00490403"/>
    <w:p w14:paraId="16686019" w14:textId="77777777" w:rsidR="00490403" w:rsidRDefault="00000000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</w:rPr>
        <w:lastRenderedPageBreak/>
        <w:t xml:space="preserve">Table S2 </w:t>
      </w:r>
      <w:r>
        <w:rPr>
          <w:rFonts w:ascii="Times New Roman" w:hAnsi="Times New Roman" w:cs="Times New Roman"/>
          <w:b/>
          <w:bCs/>
          <w:szCs w:val="21"/>
        </w:rPr>
        <w:t>Comparison of the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AUC of NLR for 90-day mortality at different time points.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90403" w14:paraId="01FE55CE" w14:textId="77777777"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D3B68BD" w14:textId="77777777" w:rsidR="00490403" w:rsidRDefault="0049040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B2DE358" w14:textId="77777777" w:rsidR="0049040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Threshold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A7761CA" w14:textId="77777777" w:rsidR="0049040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Specificity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0EF4C69" w14:textId="77777777" w:rsidR="0049040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Sensitivity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75343AB" w14:textId="77777777" w:rsidR="0049040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Youden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4057C3C6" w14:textId="77777777" w:rsidR="0049040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95% CI</w:t>
            </w:r>
          </w:p>
        </w:tc>
      </w:tr>
      <w:tr w:rsidR="00490403" w14:paraId="201F0900" w14:textId="77777777">
        <w:trPr>
          <w:trHeight w:val="289"/>
        </w:trPr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14:paraId="152E6F45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Ad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16F5CB9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19.629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844E799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0.829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6758983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0.452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06293186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0.281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755D875E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0.469-0.723</w:t>
            </w:r>
          </w:p>
        </w:tc>
      </w:tr>
      <w:tr w:rsidR="00490403" w14:paraId="5A0BA816" w14:textId="77777777">
        <w:tc>
          <w:tcPr>
            <w:tcW w:w="1420" w:type="dxa"/>
            <w:vAlign w:val="bottom"/>
          </w:tcPr>
          <w:p w14:paraId="61A9158C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24h</w:t>
            </w:r>
          </w:p>
        </w:tc>
        <w:tc>
          <w:tcPr>
            <w:tcW w:w="1420" w:type="dxa"/>
          </w:tcPr>
          <w:p w14:paraId="2EAC7FD1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11.981</w:t>
            </w:r>
          </w:p>
        </w:tc>
        <w:tc>
          <w:tcPr>
            <w:tcW w:w="1420" w:type="dxa"/>
          </w:tcPr>
          <w:p w14:paraId="2AB0343E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0.846</w:t>
            </w:r>
          </w:p>
        </w:tc>
        <w:tc>
          <w:tcPr>
            <w:tcW w:w="1420" w:type="dxa"/>
          </w:tcPr>
          <w:p w14:paraId="44D0F4A8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0.909</w:t>
            </w:r>
          </w:p>
        </w:tc>
        <w:tc>
          <w:tcPr>
            <w:tcW w:w="1421" w:type="dxa"/>
            <w:vAlign w:val="center"/>
          </w:tcPr>
          <w:p w14:paraId="1F46AB79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0.755</w:t>
            </w:r>
          </w:p>
        </w:tc>
        <w:tc>
          <w:tcPr>
            <w:tcW w:w="1421" w:type="dxa"/>
          </w:tcPr>
          <w:p w14:paraId="752CFDA5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0.885-0.970</w:t>
            </w:r>
          </w:p>
        </w:tc>
      </w:tr>
      <w:tr w:rsidR="00490403" w14:paraId="5DAE9A66" w14:textId="77777777">
        <w:tc>
          <w:tcPr>
            <w:tcW w:w="1420" w:type="dxa"/>
            <w:vAlign w:val="bottom"/>
          </w:tcPr>
          <w:p w14:paraId="0C3C4BA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48h</w:t>
            </w:r>
          </w:p>
        </w:tc>
        <w:tc>
          <w:tcPr>
            <w:tcW w:w="1420" w:type="dxa"/>
          </w:tcPr>
          <w:p w14:paraId="002F2295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13.291</w:t>
            </w:r>
          </w:p>
        </w:tc>
        <w:tc>
          <w:tcPr>
            <w:tcW w:w="1420" w:type="dxa"/>
          </w:tcPr>
          <w:p w14:paraId="2B4E6A99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0.853</w:t>
            </w:r>
          </w:p>
        </w:tc>
        <w:tc>
          <w:tcPr>
            <w:tcW w:w="1420" w:type="dxa"/>
          </w:tcPr>
          <w:p w14:paraId="7A5C3976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0.933</w:t>
            </w:r>
          </w:p>
        </w:tc>
        <w:tc>
          <w:tcPr>
            <w:tcW w:w="1421" w:type="dxa"/>
            <w:vAlign w:val="center"/>
          </w:tcPr>
          <w:p w14:paraId="3F154FD7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0.786</w:t>
            </w:r>
          </w:p>
        </w:tc>
        <w:tc>
          <w:tcPr>
            <w:tcW w:w="1421" w:type="dxa"/>
          </w:tcPr>
          <w:p w14:paraId="2FA4BB35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0.901-0.970</w:t>
            </w:r>
          </w:p>
        </w:tc>
      </w:tr>
      <w:tr w:rsidR="00490403" w14:paraId="55186F1B" w14:textId="77777777">
        <w:tc>
          <w:tcPr>
            <w:tcW w:w="1420" w:type="dxa"/>
            <w:vAlign w:val="bottom"/>
          </w:tcPr>
          <w:p w14:paraId="0E661319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72h</w:t>
            </w:r>
          </w:p>
        </w:tc>
        <w:tc>
          <w:tcPr>
            <w:tcW w:w="1420" w:type="dxa"/>
          </w:tcPr>
          <w:p w14:paraId="7CF769F7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9.189</w:t>
            </w:r>
          </w:p>
        </w:tc>
        <w:tc>
          <w:tcPr>
            <w:tcW w:w="1420" w:type="dxa"/>
          </w:tcPr>
          <w:p w14:paraId="3AA9184D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0.786</w:t>
            </w:r>
          </w:p>
        </w:tc>
        <w:tc>
          <w:tcPr>
            <w:tcW w:w="1420" w:type="dxa"/>
          </w:tcPr>
          <w:p w14:paraId="04160749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0.893</w:t>
            </w:r>
          </w:p>
        </w:tc>
        <w:tc>
          <w:tcPr>
            <w:tcW w:w="1421" w:type="dxa"/>
            <w:vAlign w:val="center"/>
          </w:tcPr>
          <w:p w14:paraId="5C222FAB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0.679</w:t>
            </w:r>
          </w:p>
        </w:tc>
        <w:tc>
          <w:tcPr>
            <w:tcW w:w="1421" w:type="dxa"/>
          </w:tcPr>
          <w:p w14:paraId="268B9D26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0.837-0.948</w:t>
            </w:r>
          </w:p>
        </w:tc>
      </w:tr>
      <w:tr w:rsidR="00490403" w14:paraId="2132B366" w14:textId="77777777">
        <w:tc>
          <w:tcPr>
            <w:tcW w:w="1420" w:type="dxa"/>
            <w:vAlign w:val="bottom"/>
          </w:tcPr>
          <w:p w14:paraId="256B3068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5d</w:t>
            </w:r>
          </w:p>
        </w:tc>
        <w:tc>
          <w:tcPr>
            <w:tcW w:w="1420" w:type="dxa"/>
          </w:tcPr>
          <w:p w14:paraId="1C2CD834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5.844</w:t>
            </w:r>
          </w:p>
        </w:tc>
        <w:tc>
          <w:tcPr>
            <w:tcW w:w="1420" w:type="dxa"/>
          </w:tcPr>
          <w:p w14:paraId="7F6F153C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0.698</w:t>
            </w:r>
          </w:p>
        </w:tc>
        <w:tc>
          <w:tcPr>
            <w:tcW w:w="1420" w:type="dxa"/>
          </w:tcPr>
          <w:p w14:paraId="638E9089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0.880</w:t>
            </w:r>
          </w:p>
        </w:tc>
        <w:tc>
          <w:tcPr>
            <w:tcW w:w="1421" w:type="dxa"/>
            <w:vAlign w:val="center"/>
          </w:tcPr>
          <w:p w14:paraId="6F4BCDC7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0.578</w:t>
            </w:r>
          </w:p>
        </w:tc>
        <w:tc>
          <w:tcPr>
            <w:tcW w:w="1421" w:type="dxa"/>
          </w:tcPr>
          <w:p w14:paraId="4A224EB8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0.728-0.916</w:t>
            </w:r>
          </w:p>
        </w:tc>
      </w:tr>
      <w:tr w:rsidR="00490403" w14:paraId="4B361A44" w14:textId="77777777">
        <w:tc>
          <w:tcPr>
            <w:tcW w:w="1420" w:type="dxa"/>
            <w:vAlign w:val="bottom"/>
          </w:tcPr>
          <w:p w14:paraId="31191FA1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7d</w:t>
            </w:r>
          </w:p>
        </w:tc>
        <w:tc>
          <w:tcPr>
            <w:tcW w:w="1420" w:type="dxa"/>
          </w:tcPr>
          <w:p w14:paraId="2BDF3995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8.172</w:t>
            </w:r>
          </w:p>
        </w:tc>
        <w:tc>
          <w:tcPr>
            <w:tcW w:w="1420" w:type="dxa"/>
          </w:tcPr>
          <w:p w14:paraId="2DB0D7A8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0.782</w:t>
            </w:r>
          </w:p>
        </w:tc>
        <w:tc>
          <w:tcPr>
            <w:tcW w:w="1420" w:type="dxa"/>
          </w:tcPr>
          <w:p w14:paraId="744E094A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0.750</w:t>
            </w:r>
          </w:p>
        </w:tc>
        <w:tc>
          <w:tcPr>
            <w:tcW w:w="1421" w:type="dxa"/>
            <w:vAlign w:val="center"/>
          </w:tcPr>
          <w:p w14:paraId="70C7641A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0.532</w:t>
            </w:r>
          </w:p>
        </w:tc>
        <w:tc>
          <w:tcPr>
            <w:tcW w:w="1421" w:type="dxa"/>
          </w:tcPr>
          <w:p w14:paraId="2C581BFA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0.710-0.912</w:t>
            </w:r>
          </w:p>
        </w:tc>
      </w:tr>
      <w:tr w:rsidR="00490403" w14:paraId="08DE222E" w14:textId="77777777">
        <w:tc>
          <w:tcPr>
            <w:tcW w:w="1420" w:type="dxa"/>
            <w:tcBorders>
              <w:bottom w:val="single" w:sz="4" w:space="0" w:color="auto"/>
            </w:tcBorders>
            <w:vAlign w:val="bottom"/>
          </w:tcPr>
          <w:p w14:paraId="759A7160" w14:textId="77777777" w:rsidR="0049040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14d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40FC6570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6.418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DCC5361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12A773FA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3D18F917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218B4D6" w14:textId="77777777" w:rsidR="00490403" w:rsidRDefault="0000000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0.845-0.998</w:t>
            </w:r>
          </w:p>
        </w:tc>
      </w:tr>
    </w:tbl>
    <w:p w14:paraId="4CD1E72D" w14:textId="77777777" w:rsidR="00490403" w:rsidRDefault="00490403">
      <w:pPr>
        <w:rPr>
          <w:rFonts w:ascii="Times New Roman" w:hAnsi="Times New Roman" w:cs="Times New Roman"/>
          <w:b/>
          <w:bCs/>
          <w:szCs w:val="21"/>
        </w:rPr>
      </w:pPr>
    </w:p>
    <w:p w14:paraId="2B9E771E" w14:textId="77777777" w:rsidR="00490403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br w:type="page"/>
      </w:r>
    </w:p>
    <w:p w14:paraId="794C72EA" w14:textId="77777777" w:rsidR="00490403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Table S3 Comparison of the outcome between the heatstroke patients in NLR low group and NLR high group</w:t>
      </w:r>
    </w:p>
    <w:tbl>
      <w:tblPr>
        <w:tblW w:w="907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927"/>
        <w:gridCol w:w="1927"/>
        <w:gridCol w:w="1821"/>
        <w:gridCol w:w="1515"/>
      </w:tblGrid>
      <w:tr w:rsidR="00490403" w14:paraId="0407420E" w14:textId="77777777">
        <w:trPr>
          <w:trHeight w:val="380"/>
          <w:tblCellSpacing w:w="0" w:type="dxa"/>
        </w:trPr>
        <w:tc>
          <w:tcPr>
            <w:tcW w:w="1882" w:type="dxa"/>
            <w:tcBorders>
              <w:top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4E183FB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A90E92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44D8D7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NLR =&lt; 11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E397B61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NLR &gt; 11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E3F0DF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sz w:val="20"/>
                <w:szCs w:val="20"/>
                <w:lang w:bidi="ar"/>
              </w:rPr>
              <w:t>P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0"/>
                <w:szCs w:val="20"/>
                <w:lang w:bidi="ar"/>
              </w:rPr>
              <w:t xml:space="preserve"> value</w:t>
            </w:r>
          </w:p>
        </w:tc>
      </w:tr>
      <w:tr w:rsidR="00490403" w14:paraId="41B8F12F" w14:textId="77777777">
        <w:trPr>
          <w:trHeight w:val="380"/>
          <w:tblCellSpacing w:w="0" w:type="dxa"/>
        </w:trPr>
        <w:tc>
          <w:tcPr>
            <w:tcW w:w="1882" w:type="dxa"/>
            <w:tcBorders>
              <w:top w:val="single" w:sz="6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57DC2A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27" w:type="dxa"/>
            <w:tcBorders>
              <w:top w:val="single" w:sz="6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4A1DAB5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27" w:type="dxa"/>
            <w:tcBorders>
              <w:top w:val="single" w:sz="6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05041A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21" w:type="dxa"/>
            <w:tcBorders>
              <w:top w:val="single" w:sz="6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1F251DF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15" w:type="dxa"/>
            <w:tcBorders>
              <w:top w:val="single" w:sz="6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83B9B13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0403" w14:paraId="771AB1AA" w14:textId="77777777">
        <w:trPr>
          <w:trHeight w:val="360"/>
          <w:tblCellSpacing w:w="0" w:type="dxa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F09644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ICU time (d)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658C73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5.00 [3.00, 10.25]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6DF778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4.00 [3.00, 7.00]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5F8404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9.00 [6.00, 15.50]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FC65793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768A6393" w14:textId="77777777">
        <w:trPr>
          <w:trHeight w:val="380"/>
          <w:tblCellSpacing w:w="0" w:type="dxa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61EABF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fatality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1B8CBAB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96A5941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FEEEF73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C64EAA3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0403" w14:paraId="38AE5B91" w14:textId="77777777">
        <w:trPr>
          <w:trHeight w:val="380"/>
          <w:tblCellSpacing w:w="0" w:type="dxa"/>
        </w:trPr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61B020D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urvivor (%)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52A8C1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(86.7)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C4DCA6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(98.1)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F5B1FD9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(59.7)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5E18B6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4326E65B" w14:textId="77777777">
        <w:trPr>
          <w:trHeight w:val="380"/>
          <w:tblCellSpacing w:w="0" w:type="dxa"/>
        </w:trPr>
        <w:tc>
          <w:tcPr>
            <w:tcW w:w="1882" w:type="dxa"/>
            <w:tcBorders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3FB9F6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Non-survivor (%)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71EB7BD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(13.3)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07BA38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(1.9)</w:t>
            </w:r>
          </w:p>
        </w:tc>
        <w:tc>
          <w:tcPr>
            <w:tcW w:w="1821" w:type="dxa"/>
            <w:tcBorders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23D520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(40.3)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580A42B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65FF7A4" w14:textId="77777777" w:rsidR="00490403" w:rsidRDefault="00490403"/>
    <w:p w14:paraId="6AAC2C76" w14:textId="77777777" w:rsidR="00490403" w:rsidRDefault="00000000">
      <w:r>
        <w:br w:type="page"/>
      </w:r>
    </w:p>
    <w:p w14:paraId="6A329B8F" w14:textId="690AB40C" w:rsidR="00490403" w:rsidRDefault="00000000" w:rsidP="00BB103D">
      <w:pPr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szCs w:val="21"/>
        </w:rPr>
        <w:t>S4</w:t>
      </w:r>
      <w:r>
        <w:rPr>
          <w:rFonts w:ascii="Times New Roman" w:hAnsi="Times New Roman" w:cs="Times New Roman"/>
          <w:b/>
          <w:bCs/>
          <w:szCs w:val="21"/>
        </w:rPr>
        <w:t xml:space="preserve"> Comparison of the characteristics between the Survivor and Non-survivor in </w:t>
      </w:r>
      <w:r>
        <w:rPr>
          <w:rFonts w:ascii="Times New Roman" w:hAnsi="Times New Roman" w:cs="Times New Roman" w:hint="eastAsia"/>
          <w:b/>
          <w:bCs/>
          <w:szCs w:val="21"/>
        </w:rPr>
        <w:t>NLR high</w:t>
      </w:r>
      <w:r>
        <w:rPr>
          <w:rFonts w:ascii="Times New Roman" w:hAnsi="Times New Roman" w:cs="Times New Roman"/>
          <w:b/>
          <w:bCs/>
          <w:szCs w:val="21"/>
        </w:rPr>
        <w:t xml:space="preserve"> group</w:t>
      </w:r>
    </w:p>
    <w:tbl>
      <w:tblPr>
        <w:tblW w:w="9051" w:type="dxa"/>
        <w:tblCellSpacing w:w="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349"/>
        <w:gridCol w:w="2285"/>
        <w:gridCol w:w="2415"/>
        <w:gridCol w:w="750"/>
      </w:tblGrid>
      <w:tr w:rsidR="00490403" w14:paraId="569D66EC" w14:textId="77777777" w:rsidTr="00BB103D">
        <w:trPr>
          <w:trHeight w:val="320"/>
          <w:tblCellSpacing w:w="0" w:type="dxa"/>
        </w:trPr>
        <w:tc>
          <w:tcPr>
            <w:tcW w:w="1252" w:type="dxa"/>
            <w:tcBorders>
              <w:top w:val="single" w:sz="12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2869DFC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12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16788A3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285" w:type="dxa"/>
            <w:tcBorders>
              <w:top w:val="single" w:sz="12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BF1C8F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Survivor</w:t>
            </w:r>
          </w:p>
        </w:tc>
        <w:tc>
          <w:tcPr>
            <w:tcW w:w="2415" w:type="dxa"/>
            <w:tcBorders>
              <w:top w:val="single" w:sz="12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5B81115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Non-survivor</w:t>
            </w:r>
          </w:p>
        </w:tc>
        <w:tc>
          <w:tcPr>
            <w:tcW w:w="750" w:type="dxa"/>
            <w:tcBorders>
              <w:top w:val="single" w:sz="12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17452E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sz w:val="20"/>
                <w:szCs w:val="20"/>
                <w:lang w:bidi="ar"/>
              </w:rPr>
              <w:t>P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0"/>
                <w:szCs w:val="20"/>
                <w:lang w:bidi="ar"/>
              </w:rPr>
              <w:t xml:space="preserve"> value</w:t>
            </w:r>
          </w:p>
        </w:tc>
      </w:tr>
      <w:tr w:rsidR="00490403" w14:paraId="122D1AE6" w14:textId="77777777" w:rsidTr="00BB103D">
        <w:trPr>
          <w:trHeight w:val="320"/>
          <w:tblCellSpacing w:w="0" w:type="dxa"/>
        </w:trPr>
        <w:tc>
          <w:tcPr>
            <w:tcW w:w="1252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F82410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N</w:t>
            </w:r>
          </w:p>
        </w:tc>
        <w:tc>
          <w:tcPr>
            <w:tcW w:w="2349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30491F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85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160790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5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D10330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18338F7" w14:textId="77777777" w:rsidR="00490403" w:rsidRDefault="0049040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0403" w14:paraId="31C58C63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76DA1C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APACH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3E3256D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9.50 [4.00, 17.25]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C1FCF4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5.00 [2.00, 10.00]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B5F4989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19.00 [18.00, 20.00]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194BA8D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7EC109D9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2A791A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SOFA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18B656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6.00 [3.00, 11.00]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BBEAB1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4.00 [2.00, 6.00]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CB66D7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13.00 [11.00, 14.00]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D916AF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500F3ADC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EA3C9B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GCS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C7F0D8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11.00 [6.00, 14.00]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1370B4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13.00 [10.00, 14.00]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7B75F0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5.00 [4.00, 6.00]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0C4918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408A5130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351F5D1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PLT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A504259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49.00 [31.00, 63.00]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40E07B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54.50 [30.75, 70.00]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94A672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49.00 [34.00, 57.00]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663DFB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0.531</w:t>
            </w:r>
          </w:p>
        </w:tc>
      </w:tr>
      <w:tr w:rsidR="00490403" w14:paraId="4003A179" w14:textId="77777777" w:rsidTr="00BB103D">
        <w:trPr>
          <w:trHeight w:val="397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55972E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TBIL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39916C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57.70 [40.20, 103.00]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30B9F7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53.50 [37.85, 83.65]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FF27E6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95.60 [49.37, 177.28]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4E77F19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0.026</w:t>
            </w:r>
          </w:p>
        </w:tc>
      </w:tr>
      <w:tr w:rsidR="00490403" w14:paraId="6EDF2BC4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6566C0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ALT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C7C51C5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1074.00 [270.00, 2088.00]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859AFA1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879.00 [226.50, 1727.50]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3B3B51D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1530.00 [664.25, 2397.25]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037FC8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0.147</w:t>
            </w:r>
          </w:p>
        </w:tc>
      </w:tr>
      <w:tr w:rsidR="00490403" w14:paraId="2D2C00B4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29EF9E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AST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7E6354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832.50 [242.50, 2693.75]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59722F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634.00 [198.00, 1590.50]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225285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2545.00 [674.50, 5138.50]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68A27F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0.045</w:t>
            </w:r>
          </w:p>
        </w:tc>
      </w:tr>
      <w:tr w:rsidR="00490403" w14:paraId="3D3A3419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C23C87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BUN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3CD62B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7.30 [4.80, 9.60]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95164F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7.60 [4.90, 10.10]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29A568F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7.25 [4.80, 7.80]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5F759B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0.314</w:t>
            </w:r>
          </w:p>
        </w:tc>
      </w:tr>
      <w:tr w:rsidR="00490403" w14:paraId="50864E31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CED82C3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SCR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EBE715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140.00 [93.00, 225.00]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B0E21A5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103.00 [76.00, 150.50]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82D7C0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224.50 [196.25, 260.75]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3FBDE2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05DEEC36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B72875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CysC</w:t>
            </w:r>
            <w:proofErr w:type="spellEnd"/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3BEF0C5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1.30 [0.88, 1.92]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F27791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 [0.84, 1.44]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85CC0F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1.90 [1.36, 2.59]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964AA1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0.016</w:t>
            </w:r>
          </w:p>
        </w:tc>
      </w:tr>
      <w:tr w:rsidR="00490403" w14:paraId="733114C8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41886A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CK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BF2362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3015.00 [1057.00, 7304.00]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614DB6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2252.00 [962.50, 5510.00]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930BDD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3344.00 [1373.75, 10300.50]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DF0351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0.226</w:t>
            </w:r>
          </w:p>
        </w:tc>
      </w:tr>
      <w:tr w:rsidR="00490403" w14:paraId="2547E511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CF738A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PT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3459CE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23.30 [16.60, 29.20]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0A1779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19.70 [16.25, 24.15]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D762A95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28.90 [24.75, 32.75]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94C759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0.002</w:t>
            </w:r>
          </w:p>
        </w:tc>
      </w:tr>
      <w:tr w:rsidR="00490403" w14:paraId="11E761C4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22B946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INR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CE8AAA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 [1.34, 2.88]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4E798D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1.67 [1.29, 2.20]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3DF57B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2.76 [2.26, 3.26]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A3582C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0.002</w:t>
            </w:r>
          </w:p>
        </w:tc>
      </w:tr>
      <w:tr w:rsidR="00490403" w14:paraId="6B565A83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49E62A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APTT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B3AD729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47.10 [41.78, 62.90]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B5D38E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43.20 [39.45, 50.00]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25CDD3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67.20 [53.40, 75.70]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FA07FDF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650E4B01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ADB3EE3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808687F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21.80 [17.10, 25.92]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59DCED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17.90 [16.90, 22.25]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214EDF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26.20 [22.20, 34.75]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7F8F651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490403" w14:paraId="7A1E505E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0604D7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Fib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987A6F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2.60 [2.02, 3.27]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41E27E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2.70 [2.25, 3.40]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3EE9E24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2.10 [1.80, 2.75]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435AC4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</w:tr>
      <w:tr w:rsidR="00490403" w14:paraId="7EA893CA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7FE11A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D.D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8F8C022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10.00 [6.56, 17.22]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9EFD1A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8.30 [3.36, 14.48]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04B1D2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16.91 [10.00, 20.00]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CAA5C6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0.003</w:t>
            </w:r>
          </w:p>
        </w:tc>
      </w:tr>
      <w:tr w:rsidR="00490403" w14:paraId="5C0D7A35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43AB68D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Mb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B7A16F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836.00 [237.00, 1000.00]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5CFD01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338.00 [82.47, 1000.00]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06F75A5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1000.00 [770.75, 1000.00]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F0132FA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0.003</w:t>
            </w:r>
          </w:p>
        </w:tc>
      </w:tr>
      <w:tr w:rsidR="00490403" w14:paraId="201DD1D3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C1637D9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CTNI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B692539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260.00 [62.00, 688.85]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BC5C7B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70.00 [47.03, 460.00]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D8A6576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620.40 [278.58, 2860.00]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1630E07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490403" w14:paraId="4CAFF615" w14:textId="77777777" w:rsidTr="00BB103D">
        <w:trPr>
          <w:trHeight w:val="320"/>
          <w:tblCellSpacing w:w="0" w:type="dxa"/>
        </w:trPr>
        <w:tc>
          <w:tcPr>
            <w:tcW w:w="1252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30756B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2349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B971DEC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3.50 [1.81, 6.47]</w:t>
            </w:r>
          </w:p>
        </w:tc>
        <w:tc>
          <w:tcPr>
            <w:tcW w:w="228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F63C658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2.16 [1.65, 4.03]</w:t>
            </w:r>
          </w:p>
        </w:tc>
        <w:tc>
          <w:tcPr>
            <w:tcW w:w="2415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1BCEF1E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5.10 [3.76, 12.96]</w:t>
            </w:r>
          </w:p>
        </w:tc>
        <w:tc>
          <w:tcPr>
            <w:tcW w:w="750" w:type="dxa"/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82E20DF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490403" w14:paraId="2164F8FE" w14:textId="77777777" w:rsidTr="00BB103D">
        <w:trPr>
          <w:trHeight w:val="320"/>
          <w:tblCellSpacing w:w="0" w:type="dxa"/>
        </w:trPr>
        <w:tc>
          <w:tcPr>
            <w:tcW w:w="1252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5807320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CRP</w:t>
            </w:r>
          </w:p>
        </w:tc>
        <w:tc>
          <w:tcPr>
            <w:tcW w:w="2349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BCD50E3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4.85 [3.30, 13.08]</w:t>
            </w:r>
          </w:p>
        </w:tc>
        <w:tc>
          <w:tcPr>
            <w:tcW w:w="2285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EA5127F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10.98 [5.13, 26.70]</w:t>
            </w:r>
          </w:p>
        </w:tc>
        <w:tc>
          <w:tcPr>
            <w:tcW w:w="2415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DC359B1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3.30 [2.94, 3.92]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A54C70B" w14:textId="77777777" w:rsidR="00490403" w:rsidRDefault="00000000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</w:tr>
    </w:tbl>
    <w:p w14:paraId="6159BF5E" w14:textId="77777777" w:rsidR="00BB103D" w:rsidRPr="00F206E2" w:rsidRDefault="00BB103D" w:rsidP="00BB103D">
      <w:pPr>
        <w:spacing w:line="480" w:lineRule="auto"/>
        <w:rPr>
          <w:rFonts w:ascii="Times New Roman" w:hAnsi="Times New Roman" w:cs="Times New Roman" w:hint="eastAsia"/>
          <w:szCs w:val="21"/>
        </w:rPr>
      </w:pPr>
      <w:r w:rsidRPr="00993D52">
        <w:rPr>
          <w:rFonts w:ascii="Times New Roman" w:hAnsi="Times New Roman" w:cs="Times New Roman"/>
          <w:szCs w:val="21"/>
        </w:rPr>
        <w:t>ALT: alanine transaminase; APACHE-Ⅱ: Acute Physiology and Chronic Health Evaluation-Ⅱ</w:t>
      </w:r>
      <w:r>
        <w:rPr>
          <w:rFonts w:ascii="Times New Roman" w:hAnsi="Times New Roman" w:cs="Times New Roman" w:hint="eastAsia"/>
          <w:szCs w:val="21"/>
        </w:rPr>
        <w:t xml:space="preserve">; </w:t>
      </w:r>
      <w:r w:rsidRPr="00993D52">
        <w:rPr>
          <w:rFonts w:ascii="Times New Roman" w:hAnsi="Times New Roman" w:cs="Times New Roman"/>
          <w:szCs w:val="21"/>
        </w:rPr>
        <w:t xml:space="preserve">APTT: activated partial </w:t>
      </w:r>
      <w:proofErr w:type="spellStart"/>
      <w:r w:rsidRPr="00993D52">
        <w:rPr>
          <w:rFonts w:ascii="Times New Roman" w:hAnsi="Times New Roman" w:cs="Times New Roman"/>
          <w:szCs w:val="21"/>
        </w:rPr>
        <w:t>thromboplasting</w:t>
      </w:r>
      <w:proofErr w:type="spellEnd"/>
      <w:r w:rsidRPr="00993D52">
        <w:rPr>
          <w:rFonts w:ascii="Times New Roman" w:hAnsi="Times New Roman" w:cs="Times New Roman"/>
          <w:szCs w:val="21"/>
        </w:rPr>
        <w:t xml:space="preserve"> time</w:t>
      </w:r>
      <w:r>
        <w:rPr>
          <w:rFonts w:ascii="Times New Roman" w:hAnsi="Times New Roman" w:cs="Times New Roman" w:hint="eastAsia"/>
          <w:szCs w:val="21"/>
        </w:rPr>
        <w:t xml:space="preserve">; </w:t>
      </w:r>
      <w:r w:rsidRPr="00993D52">
        <w:rPr>
          <w:rFonts w:ascii="Times New Roman" w:hAnsi="Times New Roman" w:cs="Times New Roman"/>
          <w:szCs w:val="21"/>
        </w:rPr>
        <w:t xml:space="preserve">AST: </w:t>
      </w:r>
      <w:proofErr w:type="spellStart"/>
      <w:r w:rsidRPr="00993D52">
        <w:rPr>
          <w:rFonts w:ascii="Times New Roman" w:hAnsi="Times New Roman" w:cs="Times New Roman"/>
          <w:szCs w:val="21"/>
        </w:rPr>
        <w:t>aspertate</w:t>
      </w:r>
      <w:proofErr w:type="spellEnd"/>
      <w:r w:rsidRPr="00993D52">
        <w:rPr>
          <w:rFonts w:ascii="Times New Roman" w:hAnsi="Times New Roman" w:cs="Times New Roman"/>
          <w:szCs w:val="21"/>
        </w:rPr>
        <w:t xml:space="preserve"> aminotransferase;</w:t>
      </w:r>
      <w:r>
        <w:rPr>
          <w:rFonts w:ascii="Times New Roman" w:hAnsi="Times New Roman" w:cs="Times New Roman" w:hint="eastAsia"/>
          <w:szCs w:val="21"/>
        </w:rPr>
        <w:t xml:space="preserve"> BUN: b</w:t>
      </w:r>
      <w:r w:rsidRPr="0077514E">
        <w:rPr>
          <w:rFonts w:ascii="Times New Roman" w:hAnsi="Times New Roman" w:cs="Times New Roman"/>
          <w:szCs w:val="21"/>
        </w:rPr>
        <w:t xml:space="preserve">lood </w:t>
      </w:r>
      <w:r>
        <w:rPr>
          <w:rFonts w:ascii="Times New Roman" w:hAnsi="Times New Roman" w:cs="Times New Roman" w:hint="eastAsia"/>
          <w:szCs w:val="21"/>
        </w:rPr>
        <w:t>u</w:t>
      </w:r>
      <w:r w:rsidRPr="0077514E">
        <w:rPr>
          <w:rFonts w:ascii="Times New Roman" w:hAnsi="Times New Roman" w:cs="Times New Roman"/>
          <w:szCs w:val="21"/>
        </w:rPr>
        <w:t xml:space="preserve">rea </w:t>
      </w:r>
      <w:r>
        <w:rPr>
          <w:rFonts w:ascii="Times New Roman" w:hAnsi="Times New Roman" w:cs="Times New Roman" w:hint="eastAsia"/>
          <w:szCs w:val="21"/>
        </w:rPr>
        <w:t>n</w:t>
      </w:r>
      <w:r w:rsidRPr="0077514E">
        <w:rPr>
          <w:rFonts w:ascii="Times New Roman" w:hAnsi="Times New Roman" w:cs="Times New Roman"/>
          <w:szCs w:val="21"/>
        </w:rPr>
        <w:t>itrogen</w:t>
      </w:r>
      <w:r>
        <w:rPr>
          <w:rFonts w:ascii="Times New Roman" w:hAnsi="Times New Roman" w:cs="Times New Roman" w:hint="eastAsia"/>
          <w:szCs w:val="21"/>
        </w:rPr>
        <w:t>; CK: c</w:t>
      </w:r>
      <w:r w:rsidRPr="0077514E">
        <w:rPr>
          <w:rFonts w:ascii="Times New Roman" w:hAnsi="Times New Roman" w:cs="Times New Roman"/>
          <w:szCs w:val="21"/>
        </w:rPr>
        <w:t xml:space="preserve">reatine </w:t>
      </w:r>
      <w:r>
        <w:rPr>
          <w:rFonts w:ascii="Times New Roman" w:hAnsi="Times New Roman" w:cs="Times New Roman" w:hint="eastAsia"/>
          <w:szCs w:val="21"/>
        </w:rPr>
        <w:t>k</w:t>
      </w:r>
      <w:r w:rsidRPr="0077514E">
        <w:rPr>
          <w:rFonts w:ascii="Times New Roman" w:hAnsi="Times New Roman" w:cs="Times New Roman"/>
          <w:szCs w:val="21"/>
        </w:rPr>
        <w:t>inase</w:t>
      </w:r>
      <w:r w:rsidRPr="0077514E"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 w:hint="eastAsia"/>
          <w:szCs w:val="21"/>
        </w:rPr>
        <w:t xml:space="preserve"> CKMB: c</w:t>
      </w:r>
      <w:r w:rsidRPr="0077514E">
        <w:rPr>
          <w:rFonts w:ascii="Times New Roman" w:hAnsi="Times New Roman" w:cs="Times New Roman"/>
          <w:szCs w:val="21"/>
        </w:rPr>
        <w:t xml:space="preserve">reatine </w:t>
      </w:r>
      <w:r>
        <w:rPr>
          <w:rFonts w:ascii="Times New Roman" w:hAnsi="Times New Roman" w:cs="Times New Roman" w:hint="eastAsia"/>
          <w:szCs w:val="21"/>
        </w:rPr>
        <w:t>k</w:t>
      </w:r>
      <w:r w:rsidRPr="0077514E">
        <w:rPr>
          <w:rFonts w:ascii="Times New Roman" w:hAnsi="Times New Roman" w:cs="Times New Roman"/>
          <w:szCs w:val="21"/>
        </w:rPr>
        <w:t>inase-</w:t>
      </w:r>
      <w:r>
        <w:rPr>
          <w:rFonts w:ascii="Times New Roman" w:hAnsi="Times New Roman" w:cs="Times New Roman" w:hint="eastAsia"/>
          <w:szCs w:val="21"/>
        </w:rPr>
        <w:t>m</w:t>
      </w:r>
      <w:r w:rsidRPr="0077514E">
        <w:rPr>
          <w:rFonts w:ascii="Times New Roman" w:hAnsi="Times New Roman" w:cs="Times New Roman"/>
          <w:szCs w:val="21"/>
        </w:rPr>
        <w:t xml:space="preserve">yocardial </w:t>
      </w:r>
      <w:r>
        <w:rPr>
          <w:rFonts w:ascii="Times New Roman" w:hAnsi="Times New Roman" w:cs="Times New Roman" w:hint="eastAsia"/>
          <w:szCs w:val="21"/>
        </w:rPr>
        <w:t>b</w:t>
      </w:r>
      <w:r w:rsidRPr="0077514E">
        <w:rPr>
          <w:rFonts w:ascii="Times New Roman" w:hAnsi="Times New Roman" w:cs="Times New Roman"/>
          <w:szCs w:val="21"/>
        </w:rPr>
        <w:t>and</w:t>
      </w:r>
      <w:r>
        <w:rPr>
          <w:rFonts w:ascii="Times New Roman" w:hAnsi="Times New Roman" w:cs="Times New Roman" w:hint="eastAsia"/>
          <w:szCs w:val="21"/>
        </w:rPr>
        <w:t>;</w:t>
      </w:r>
      <w:r w:rsidRPr="0077514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CRP: C</w:t>
      </w:r>
      <w:r w:rsidRPr="00F206E2"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r</w:t>
      </w:r>
      <w:r w:rsidRPr="00F206E2">
        <w:rPr>
          <w:rFonts w:ascii="Times New Roman" w:hAnsi="Times New Roman" w:cs="Times New Roman"/>
          <w:szCs w:val="21"/>
        </w:rPr>
        <w:t xml:space="preserve">eactive </w:t>
      </w:r>
      <w:r>
        <w:rPr>
          <w:rFonts w:ascii="Times New Roman" w:hAnsi="Times New Roman" w:cs="Times New Roman" w:hint="eastAsia"/>
          <w:szCs w:val="21"/>
        </w:rPr>
        <w:t>p</w:t>
      </w:r>
      <w:r w:rsidRPr="00F206E2">
        <w:rPr>
          <w:rFonts w:ascii="Times New Roman" w:hAnsi="Times New Roman" w:cs="Times New Roman"/>
          <w:szCs w:val="21"/>
        </w:rPr>
        <w:t>rotein</w:t>
      </w:r>
      <w:r>
        <w:rPr>
          <w:rFonts w:ascii="Times New Roman" w:hAnsi="Times New Roman" w:cs="Times New Roman" w:hint="eastAsia"/>
          <w:szCs w:val="21"/>
        </w:rPr>
        <w:t>; CTNI: c</w:t>
      </w:r>
      <w:r w:rsidRPr="00F206E2">
        <w:rPr>
          <w:rFonts w:ascii="Times New Roman" w:hAnsi="Times New Roman" w:cs="Times New Roman"/>
          <w:szCs w:val="21"/>
        </w:rPr>
        <w:t xml:space="preserve">ardiac </w:t>
      </w:r>
      <w:r>
        <w:rPr>
          <w:rFonts w:ascii="Times New Roman" w:hAnsi="Times New Roman" w:cs="Times New Roman" w:hint="eastAsia"/>
          <w:szCs w:val="21"/>
        </w:rPr>
        <w:t>t</w:t>
      </w:r>
      <w:r w:rsidRPr="00F206E2">
        <w:rPr>
          <w:rFonts w:ascii="Times New Roman" w:hAnsi="Times New Roman" w:cs="Times New Roman"/>
          <w:szCs w:val="21"/>
        </w:rPr>
        <w:t>roponin I</w:t>
      </w:r>
      <w:r>
        <w:rPr>
          <w:rFonts w:ascii="Times New Roman" w:hAnsi="Times New Roman" w:cs="Times New Roman" w:hint="eastAsia"/>
          <w:szCs w:val="21"/>
        </w:rPr>
        <w:t xml:space="preserve">; </w:t>
      </w:r>
      <w:proofErr w:type="spellStart"/>
      <w:r>
        <w:rPr>
          <w:rFonts w:ascii="Times New Roman" w:hAnsi="Times New Roman" w:cs="Times New Roman" w:hint="eastAsia"/>
          <w:szCs w:val="21"/>
        </w:rPr>
        <w:t>CysC</w:t>
      </w:r>
      <w:proofErr w:type="spellEnd"/>
      <w:r>
        <w:rPr>
          <w:rFonts w:ascii="Times New Roman" w:hAnsi="Times New Roman" w:cs="Times New Roman" w:hint="eastAsia"/>
          <w:szCs w:val="21"/>
        </w:rPr>
        <w:t>: c</w:t>
      </w:r>
      <w:r w:rsidRPr="0077514E">
        <w:rPr>
          <w:rFonts w:ascii="Times New Roman" w:hAnsi="Times New Roman" w:cs="Times New Roman"/>
          <w:szCs w:val="21"/>
        </w:rPr>
        <w:t>ystatin C</w:t>
      </w:r>
      <w:r w:rsidRPr="0077514E">
        <w:rPr>
          <w:rFonts w:ascii="Times New Roman" w:hAnsi="Times New Roman" w:cs="Times New Roman" w:hint="eastAsia"/>
          <w:szCs w:val="21"/>
        </w:rPr>
        <w:t xml:space="preserve">; </w:t>
      </w:r>
      <w:r>
        <w:rPr>
          <w:rFonts w:ascii="Times New Roman" w:hAnsi="Times New Roman" w:cs="Times New Roman" w:hint="eastAsia"/>
          <w:szCs w:val="21"/>
        </w:rPr>
        <w:t>D.D: d</w:t>
      </w:r>
      <w:r w:rsidRPr="00F206E2"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d</w:t>
      </w:r>
      <w:r w:rsidRPr="00F206E2">
        <w:rPr>
          <w:rFonts w:ascii="Times New Roman" w:hAnsi="Times New Roman" w:cs="Times New Roman"/>
          <w:szCs w:val="21"/>
        </w:rPr>
        <w:t>imer</w:t>
      </w:r>
      <w:r>
        <w:rPr>
          <w:rFonts w:ascii="Times New Roman" w:hAnsi="Times New Roman" w:cs="Times New Roman" w:hint="eastAsia"/>
          <w:szCs w:val="21"/>
        </w:rPr>
        <w:t>; Fib: f</w:t>
      </w:r>
      <w:r w:rsidRPr="00F206E2">
        <w:rPr>
          <w:rFonts w:ascii="Times New Roman" w:hAnsi="Times New Roman" w:cs="Times New Roman"/>
          <w:szCs w:val="21"/>
        </w:rPr>
        <w:t>ibrinogen</w:t>
      </w:r>
      <w:r>
        <w:rPr>
          <w:rFonts w:ascii="Times New Roman" w:hAnsi="Times New Roman" w:cs="Times New Roman" w:hint="eastAsia"/>
          <w:szCs w:val="21"/>
        </w:rPr>
        <w:t xml:space="preserve">; </w:t>
      </w:r>
      <w:r w:rsidRPr="00993D52">
        <w:rPr>
          <w:rFonts w:ascii="Times New Roman" w:hAnsi="Times New Roman" w:cs="Times New Roman"/>
          <w:szCs w:val="21"/>
        </w:rPr>
        <w:t xml:space="preserve">GCS: Glasgow coma scale; </w:t>
      </w:r>
      <w:r>
        <w:rPr>
          <w:rFonts w:ascii="Times New Roman" w:hAnsi="Times New Roman" w:cs="Times New Roman" w:hint="eastAsia"/>
          <w:szCs w:val="21"/>
        </w:rPr>
        <w:t>INR: i</w:t>
      </w:r>
      <w:r w:rsidRPr="00F206E2">
        <w:rPr>
          <w:rFonts w:ascii="Times New Roman" w:hAnsi="Times New Roman" w:cs="Times New Roman"/>
          <w:szCs w:val="21"/>
        </w:rPr>
        <w:t xml:space="preserve">nternational </w:t>
      </w:r>
      <w:r>
        <w:rPr>
          <w:rFonts w:ascii="Times New Roman" w:hAnsi="Times New Roman" w:cs="Times New Roman" w:hint="eastAsia"/>
          <w:szCs w:val="21"/>
        </w:rPr>
        <w:t>n</w:t>
      </w:r>
      <w:r w:rsidRPr="00F206E2">
        <w:rPr>
          <w:rFonts w:ascii="Times New Roman" w:hAnsi="Times New Roman" w:cs="Times New Roman"/>
          <w:szCs w:val="21"/>
        </w:rPr>
        <w:t xml:space="preserve">ormalized </w:t>
      </w:r>
      <w:r>
        <w:rPr>
          <w:rFonts w:ascii="Times New Roman" w:hAnsi="Times New Roman" w:cs="Times New Roman" w:hint="eastAsia"/>
          <w:szCs w:val="21"/>
        </w:rPr>
        <w:t>r</w:t>
      </w:r>
      <w:r w:rsidRPr="00F206E2">
        <w:rPr>
          <w:rFonts w:ascii="Times New Roman" w:hAnsi="Times New Roman" w:cs="Times New Roman"/>
          <w:szCs w:val="21"/>
        </w:rPr>
        <w:t>atio</w:t>
      </w:r>
      <w:r>
        <w:rPr>
          <w:rFonts w:ascii="Times New Roman" w:hAnsi="Times New Roman" w:cs="Times New Roman" w:hint="eastAsia"/>
          <w:szCs w:val="21"/>
        </w:rPr>
        <w:t>;</w:t>
      </w:r>
      <w:r w:rsidRPr="00F206E2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Mb: m</w:t>
      </w:r>
      <w:r w:rsidRPr="00F206E2">
        <w:rPr>
          <w:rFonts w:ascii="Times New Roman" w:hAnsi="Times New Roman" w:cs="Times New Roman"/>
          <w:szCs w:val="21"/>
        </w:rPr>
        <w:t>yoglobin</w:t>
      </w:r>
      <w:r>
        <w:rPr>
          <w:rFonts w:ascii="Times New Roman" w:hAnsi="Times New Roman" w:cs="Times New Roman" w:hint="eastAsia"/>
          <w:szCs w:val="21"/>
        </w:rPr>
        <w:t>; PCT: p</w:t>
      </w:r>
      <w:r w:rsidRPr="00F206E2">
        <w:rPr>
          <w:rFonts w:ascii="Times New Roman" w:hAnsi="Times New Roman" w:cs="Times New Roman"/>
          <w:szCs w:val="21"/>
        </w:rPr>
        <w:t>rocalcitonin</w:t>
      </w:r>
      <w:r>
        <w:rPr>
          <w:rFonts w:ascii="Times New Roman" w:hAnsi="Times New Roman" w:cs="Times New Roman" w:hint="eastAsia"/>
          <w:szCs w:val="21"/>
        </w:rPr>
        <w:t xml:space="preserve">; PLT: </w:t>
      </w:r>
      <w:r w:rsidRPr="00993D52">
        <w:rPr>
          <w:rFonts w:ascii="Times New Roman" w:hAnsi="Times New Roman" w:cs="Times New Roman"/>
          <w:szCs w:val="21"/>
        </w:rPr>
        <w:t>Platelet</w:t>
      </w:r>
      <w:r>
        <w:rPr>
          <w:rFonts w:ascii="Times New Roman" w:hAnsi="Times New Roman" w:cs="Times New Roman" w:hint="eastAsia"/>
          <w:szCs w:val="21"/>
        </w:rPr>
        <w:t xml:space="preserve">; </w:t>
      </w:r>
      <w:r w:rsidRPr="00993D52">
        <w:rPr>
          <w:rFonts w:ascii="Times New Roman" w:hAnsi="Times New Roman" w:cs="Times New Roman"/>
          <w:szCs w:val="21"/>
        </w:rPr>
        <w:t>PT: prothrombin time;</w:t>
      </w:r>
      <w:r>
        <w:rPr>
          <w:rFonts w:ascii="Times New Roman" w:hAnsi="Times New Roman" w:cs="Times New Roman" w:hint="eastAsia"/>
          <w:szCs w:val="21"/>
        </w:rPr>
        <w:t xml:space="preserve"> SCR: s</w:t>
      </w:r>
      <w:r w:rsidRPr="0077514E">
        <w:rPr>
          <w:rFonts w:ascii="Times New Roman" w:hAnsi="Times New Roman" w:cs="Times New Roman"/>
          <w:szCs w:val="21"/>
        </w:rPr>
        <w:t xml:space="preserve">erum </w:t>
      </w:r>
      <w:r>
        <w:rPr>
          <w:rFonts w:ascii="Times New Roman" w:hAnsi="Times New Roman" w:cs="Times New Roman" w:hint="eastAsia"/>
          <w:szCs w:val="21"/>
        </w:rPr>
        <w:t>c</w:t>
      </w:r>
      <w:r w:rsidRPr="0077514E">
        <w:rPr>
          <w:rFonts w:ascii="Times New Roman" w:hAnsi="Times New Roman" w:cs="Times New Roman"/>
          <w:szCs w:val="21"/>
        </w:rPr>
        <w:t>reatinine</w:t>
      </w:r>
      <w:r w:rsidRPr="0077514E">
        <w:rPr>
          <w:rFonts w:ascii="Times New Roman" w:hAnsi="Times New Roman" w:cs="Times New Roman" w:hint="eastAsia"/>
          <w:szCs w:val="21"/>
        </w:rPr>
        <w:t xml:space="preserve">; </w:t>
      </w:r>
      <w:r w:rsidRPr="00993D52">
        <w:rPr>
          <w:rFonts w:ascii="Times New Roman" w:hAnsi="Times New Roman" w:cs="Times New Roman"/>
          <w:szCs w:val="21"/>
        </w:rPr>
        <w:t>SOFA: sequential organ failure assessment</w:t>
      </w:r>
      <w:r>
        <w:rPr>
          <w:rFonts w:ascii="Times New Roman" w:hAnsi="Times New Roman" w:cs="Times New Roman" w:hint="eastAsia"/>
          <w:szCs w:val="21"/>
        </w:rPr>
        <w:t>; TBIL: t</w:t>
      </w:r>
      <w:r w:rsidRPr="0077514E">
        <w:rPr>
          <w:rFonts w:ascii="Times New Roman" w:hAnsi="Times New Roman" w:cs="Times New Roman"/>
          <w:szCs w:val="21"/>
        </w:rPr>
        <w:t xml:space="preserve">otal </w:t>
      </w:r>
      <w:r>
        <w:rPr>
          <w:rFonts w:ascii="Times New Roman" w:hAnsi="Times New Roman" w:cs="Times New Roman" w:hint="eastAsia"/>
          <w:szCs w:val="21"/>
        </w:rPr>
        <w:lastRenderedPageBreak/>
        <w:t>b</w:t>
      </w:r>
      <w:r w:rsidRPr="0077514E">
        <w:rPr>
          <w:rFonts w:ascii="Times New Roman" w:hAnsi="Times New Roman" w:cs="Times New Roman"/>
          <w:szCs w:val="21"/>
        </w:rPr>
        <w:t>ilirubin</w:t>
      </w:r>
      <w:r>
        <w:rPr>
          <w:rFonts w:ascii="Times New Roman" w:hAnsi="Times New Roman" w:cs="Times New Roman" w:hint="eastAsia"/>
          <w:szCs w:val="21"/>
        </w:rPr>
        <w:t>; TT: t</w:t>
      </w:r>
      <w:r w:rsidRPr="00F206E2">
        <w:rPr>
          <w:rFonts w:ascii="Times New Roman" w:hAnsi="Times New Roman" w:cs="Times New Roman"/>
          <w:szCs w:val="21"/>
        </w:rPr>
        <w:t xml:space="preserve">hrombin </w:t>
      </w:r>
      <w:r>
        <w:rPr>
          <w:rFonts w:ascii="Times New Roman" w:hAnsi="Times New Roman" w:cs="Times New Roman" w:hint="eastAsia"/>
          <w:szCs w:val="21"/>
        </w:rPr>
        <w:t>t</w:t>
      </w:r>
      <w:r w:rsidRPr="00F206E2">
        <w:rPr>
          <w:rFonts w:ascii="Times New Roman" w:hAnsi="Times New Roman" w:cs="Times New Roman"/>
          <w:szCs w:val="21"/>
        </w:rPr>
        <w:t>ime</w:t>
      </w:r>
      <w:r>
        <w:rPr>
          <w:rFonts w:ascii="Times New Roman" w:hAnsi="Times New Roman" w:cs="Times New Roman" w:hint="eastAsia"/>
          <w:szCs w:val="21"/>
        </w:rPr>
        <w:t>.</w:t>
      </w:r>
    </w:p>
    <w:p w14:paraId="39B0F5D3" w14:textId="77777777" w:rsidR="00490403" w:rsidRPr="00BB103D" w:rsidRDefault="00490403"/>
    <w:p w14:paraId="54D3796A" w14:textId="77777777" w:rsidR="00490403" w:rsidRDefault="00490403"/>
    <w:sectPr w:rsidR="0049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DD7D" w14:textId="77777777" w:rsidR="007A7E57" w:rsidRDefault="007A7E57" w:rsidP="00C5401B">
      <w:r>
        <w:separator/>
      </w:r>
    </w:p>
  </w:endnote>
  <w:endnote w:type="continuationSeparator" w:id="0">
    <w:p w14:paraId="5B524916" w14:textId="77777777" w:rsidR="007A7E57" w:rsidRDefault="007A7E57" w:rsidP="00C5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7122" w14:textId="77777777" w:rsidR="007A7E57" w:rsidRDefault="007A7E57" w:rsidP="00C5401B">
      <w:r>
        <w:separator/>
      </w:r>
    </w:p>
  </w:footnote>
  <w:footnote w:type="continuationSeparator" w:id="0">
    <w:p w14:paraId="24D7E234" w14:textId="77777777" w:rsidR="007A7E57" w:rsidRDefault="007A7E57" w:rsidP="00C5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YwYjBmNTM3NmExYzEyOTgzZjJkMjZjNTIyODg4YWYifQ=="/>
    <w:docVar w:name="KSO_WPS_MARK_KEY" w:val="497bbcb6-bdab-49d5-90cf-05c751d016d6"/>
  </w:docVars>
  <w:rsids>
    <w:rsidRoot w:val="2E777415"/>
    <w:rsid w:val="000616EF"/>
    <w:rsid w:val="00292A61"/>
    <w:rsid w:val="002E446C"/>
    <w:rsid w:val="00490403"/>
    <w:rsid w:val="007A7E57"/>
    <w:rsid w:val="00866ADE"/>
    <w:rsid w:val="00A20CEC"/>
    <w:rsid w:val="00B9627B"/>
    <w:rsid w:val="00BB103D"/>
    <w:rsid w:val="00C5401B"/>
    <w:rsid w:val="00DC2C94"/>
    <w:rsid w:val="1BAC28E0"/>
    <w:rsid w:val="2E777415"/>
    <w:rsid w:val="31C06B69"/>
    <w:rsid w:val="3D2130AF"/>
    <w:rsid w:val="6BF60A56"/>
    <w:rsid w:val="7C097B0B"/>
    <w:rsid w:val="7C4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178A4"/>
  <w15:docId w15:val="{4B1A65A8-69BA-4E40-9039-4EF9167D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26E5" w:themeColor="hyperlink"/>
      <w:u w:val="single"/>
    </w:rPr>
  </w:style>
  <w:style w:type="paragraph" w:styleId="a6">
    <w:name w:val="header"/>
    <w:basedOn w:val="a"/>
    <w:link w:val="a7"/>
    <w:rsid w:val="00C540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540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5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540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六日</dc:creator>
  <cp:lastModifiedBy>huili guo</cp:lastModifiedBy>
  <cp:revision>6</cp:revision>
  <dcterms:created xsi:type="dcterms:W3CDTF">2025-03-03T16:33:00Z</dcterms:created>
  <dcterms:modified xsi:type="dcterms:W3CDTF">2025-03-07T13:22:00Z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43D2D61FB61842FFA1CFB99667225FFE</vt:lpwstr>
  </property>
</Properties>
</file>