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9E12" w14:textId="103F3857" w:rsidR="006E419B" w:rsidRPr="006E419B" w:rsidRDefault="006E419B" w:rsidP="006E419B">
      <w:pPr>
        <w:rPr>
          <w:b/>
          <w:bCs/>
        </w:rPr>
      </w:pPr>
      <w:r w:rsidRPr="006E419B">
        <w:rPr>
          <w:b/>
          <w:bCs/>
        </w:rPr>
        <w:t>Supplementary Table S</w:t>
      </w:r>
      <w:r>
        <w:rPr>
          <w:rFonts w:hint="eastAsia"/>
          <w:b/>
          <w:bCs/>
        </w:rPr>
        <w:t>1</w:t>
      </w:r>
      <w:r w:rsidRPr="006E419B">
        <w:rPr>
          <w:b/>
          <w:bCs/>
        </w:rPr>
        <w:t>: Additional atherosclerosis-specific biomarkers</w:t>
      </w:r>
    </w:p>
    <w:p w14:paraId="60EAFAFE" w14:textId="7DA5FEF3" w:rsidR="006E419B" w:rsidRPr="006E419B" w:rsidRDefault="006E419B" w:rsidP="006E419B">
      <w:r w:rsidRPr="006E419B">
        <w:rPr>
          <w:b/>
          <w:bCs/>
        </w:rPr>
        <w:t>Table S</w:t>
      </w:r>
      <w:r>
        <w:rPr>
          <w:rFonts w:hint="eastAsia"/>
          <w:b/>
          <w:bCs/>
        </w:rPr>
        <w:t>1</w:t>
      </w:r>
      <w:r w:rsidRPr="006E419B">
        <w:rPr>
          <w:b/>
          <w:bCs/>
        </w:rPr>
        <w:t>. Comparison of ox-LDL and Lp-PLA2 levels between the two groups before and after treatment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323"/>
        <w:gridCol w:w="1924"/>
        <w:gridCol w:w="2256"/>
        <w:gridCol w:w="542"/>
        <w:gridCol w:w="689"/>
      </w:tblGrid>
      <w:tr w:rsidR="006E419B" w:rsidRPr="006E419B" w14:paraId="3F8CAC85" w14:textId="77777777" w:rsidTr="006E419B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ABD60A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</w:rPr>
              <w:t>Biomarkers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F0976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</w:rPr>
              <w:t>Time point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5AC6D1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</w:rPr>
              <w:t>Control group (n=40)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89F653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</w:rPr>
              <w:t>Observation group (n=40)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BBA30D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6AD57C" w14:textId="77777777" w:rsidR="006E419B" w:rsidRPr="006E419B" w:rsidRDefault="006E419B" w:rsidP="006E419B">
            <w:pPr>
              <w:rPr>
                <w:b/>
                <w:bCs/>
              </w:rPr>
            </w:pPr>
            <w:r w:rsidRPr="006E419B">
              <w:rPr>
                <w:b/>
                <w:bCs/>
                <w:i/>
                <w:iCs/>
              </w:rPr>
              <w:t>P</w:t>
            </w:r>
          </w:p>
        </w:tc>
      </w:tr>
      <w:tr w:rsidR="006E419B" w:rsidRPr="006E419B" w14:paraId="5A83DE36" w14:textId="77777777" w:rsidTr="006E419B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2C3462E" w14:textId="77777777" w:rsidR="006E419B" w:rsidRPr="006E419B" w:rsidRDefault="006E419B" w:rsidP="006E419B">
            <w:r w:rsidRPr="006E419B">
              <w:rPr>
                <w:b/>
                <w:bCs/>
              </w:rPr>
              <w:t>ox-LDL (U/L)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86820B6" w14:textId="77777777" w:rsidR="006E419B" w:rsidRPr="006E419B" w:rsidRDefault="006E419B" w:rsidP="006E419B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DBBC353" w14:textId="77777777" w:rsidR="006E419B" w:rsidRPr="006E419B" w:rsidRDefault="006E419B" w:rsidP="006E419B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74145DC" w14:textId="77777777" w:rsidR="006E419B" w:rsidRPr="006E419B" w:rsidRDefault="006E419B" w:rsidP="006E419B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E21C265" w14:textId="77777777" w:rsidR="006E419B" w:rsidRPr="006E419B" w:rsidRDefault="006E419B" w:rsidP="006E419B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02B5C61" w14:textId="77777777" w:rsidR="006E419B" w:rsidRPr="006E419B" w:rsidRDefault="006E419B" w:rsidP="006E419B"/>
        </w:tc>
      </w:tr>
      <w:tr w:rsidR="006E419B" w:rsidRPr="006E419B" w14:paraId="6C05C883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0FF0A9D1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EAF757E" w14:textId="77777777" w:rsidR="006E419B" w:rsidRPr="006E419B" w:rsidRDefault="006E419B" w:rsidP="006E419B">
            <w:r w:rsidRPr="006E419B">
              <w:t>Pre-treatment</w:t>
            </w:r>
          </w:p>
        </w:tc>
        <w:tc>
          <w:tcPr>
            <w:tcW w:w="0" w:type="auto"/>
            <w:vAlign w:val="center"/>
            <w:hideMark/>
          </w:tcPr>
          <w:p w14:paraId="4C3B2FF3" w14:textId="77777777" w:rsidR="006E419B" w:rsidRPr="006E419B" w:rsidRDefault="006E419B" w:rsidP="006E419B">
            <w:r w:rsidRPr="006E419B">
              <w:t>142.35±18.76</w:t>
            </w:r>
          </w:p>
        </w:tc>
        <w:tc>
          <w:tcPr>
            <w:tcW w:w="0" w:type="auto"/>
            <w:vAlign w:val="center"/>
            <w:hideMark/>
          </w:tcPr>
          <w:p w14:paraId="15AB5A91" w14:textId="77777777" w:rsidR="006E419B" w:rsidRPr="006E419B" w:rsidRDefault="006E419B" w:rsidP="006E419B">
            <w:r w:rsidRPr="006E419B">
              <w:t>145.28±20.14</w:t>
            </w:r>
          </w:p>
        </w:tc>
        <w:tc>
          <w:tcPr>
            <w:tcW w:w="0" w:type="auto"/>
            <w:vAlign w:val="center"/>
            <w:hideMark/>
          </w:tcPr>
          <w:p w14:paraId="69BE259E" w14:textId="77777777" w:rsidR="006E419B" w:rsidRPr="006E419B" w:rsidRDefault="006E419B" w:rsidP="006E419B">
            <w:r w:rsidRPr="006E419B">
              <w:t>0.675</w:t>
            </w:r>
          </w:p>
        </w:tc>
        <w:tc>
          <w:tcPr>
            <w:tcW w:w="0" w:type="auto"/>
            <w:vAlign w:val="center"/>
            <w:hideMark/>
          </w:tcPr>
          <w:p w14:paraId="3EB62066" w14:textId="77777777" w:rsidR="006E419B" w:rsidRPr="006E419B" w:rsidRDefault="006E419B" w:rsidP="006E419B">
            <w:r w:rsidRPr="006E419B">
              <w:t>0.502</w:t>
            </w:r>
          </w:p>
        </w:tc>
      </w:tr>
      <w:tr w:rsidR="006E419B" w:rsidRPr="006E419B" w14:paraId="630BC167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34EA332A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7B9A98D" w14:textId="77777777" w:rsidR="006E419B" w:rsidRPr="006E419B" w:rsidRDefault="006E419B" w:rsidP="006E419B">
            <w:r w:rsidRPr="006E419B">
              <w:t>Post-treatment</w:t>
            </w:r>
          </w:p>
        </w:tc>
        <w:tc>
          <w:tcPr>
            <w:tcW w:w="0" w:type="auto"/>
            <w:vAlign w:val="center"/>
            <w:hideMark/>
          </w:tcPr>
          <w:p w14:paraId="48AA5127" w14:textId="77777777" w:rsidR="006E419B" w:rsidRPr="006E419B" w:rsidRDefault="006E419B" w:rsidP="006E419B">
            <w:r w:rsidRPr="006E419B">
              <w:t>118.62±16.23</w:t>
            </w:r>
          </w:p>
        </w:tc>
        <w:tc>
          <w:tcPr>
            <w:tcW w:w="0" w:type="auto"/>
            <w:vAlign w:val="center"/>
            <w:hideMark/>
          </w:tcPr>
          <w:p w14:paraId="48F81138" w14:textId="77777777" w:rsidR="006E419B" w:rsidRPr="006E419B" w:rsidRDefault="006E419B" w:rsidP="006E419B">
            <w:r w:rsidRPr="006E419B">
              <w:t>98.47±14.85</w:t>
            </w:r>
          </w:p>
        </w:tc>
        <w:tc>
          <w:tcPr>
            <w:tcW w:w="0" w:type="auto"/>
            <w:vAlign w:val="center"/>
            <w:hideMark/>
          </w:tcPr>
          <w:p w14:paraId="6FB97931" w14:textId="77777777" w:rsidR="006E419B" w:rsidRPr="006E419B" w:rsidRDefault="006E419B" w:rsidP="006E419B">
            <w:r w:rsidRPr="006E419B">
              <w:t>5.781</w:t>
            </w:r>
          </w:p>
        </w:tc>
        <w:tc>
          <w:tcPr>
            <w:tcW w:w="0" w:type="auto"/>
            <w:vAlign w:val="center"/>
            <w:hideMark/>
          </w:tcPr>
          <w:p w14:paraId="396B4390" w14:textId="77777777" w:rsidR="006E419B" w:rsidRPr="006E419B" w:rsidRDefault="006E419B" w:rsidP="006E419B">
            <w:r w:rsidRPr="006E419B">
              <w:t>&lt;0.001</w:t>
            </w:r>
          </w:p>
        </w:tc>
      </w:tr>
      <w:tr w:rsidR="006E419B" w:rsidRPr="006E419B" w14:paraId="452E9C86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5507814E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BF874F7" w14:textId="77777777" w:rsidR="006E419B" w:rsidRPr="006E419B" w:rsidRDefault="006E419B" w:rsidP="006E419B">
            <w:r w:rsidRPr="006E419B">
              <w:rPr>
                <w:i/>
                <w:i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5ABE33A" w14:textId="77777777" w:rsidR="006E419B" w:rsidRPr="006E419B" w:rsidRDefault="006E419B" w:rsidP="006E419B">
            <w:r w:rsidRPr="006E419B">
              <w:t>8.234</w:t>
            </w:r>
          </w:p>
        </w:tc>
        <w:tc>
          <w:tcPr>
            <w:tcW w:w="0" w:type="auto"/>
            <w:vAlign w:val="center"/>
            <w:hideMark/>
          </w:tcPr>
          <w:p w14:paraId="4E38E416" w14:textId="77777777" w:rsidR="006E419B" w:rsidRPr="006E419B" w:rsidRDefault="006E419B" w:rsidP="006E419B">
            <w:r w:rsidRPr="006E419B">
              <w:t>11.962</w:t>
            </w:r>
          </w:p>
        </w:tc>
        <w:tc>
          <w:tcPr>
            <w:tcW w:w="0" w:type="auto"/>
            <w:vAlign w:val="center"/>
            <w:hideMark/>
          </w:tcPr>
          <w:p w14:paraId="77930CC9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5F5E7154" w14:textId="77777777" w:rsidR="006E419B" w:rsidRPr="006E419B" w:rsidRDefault="006E419B" w:rsidP="006E419B"/>
        </w:tc>
      </w:tr>
      <w:tr w:rsidR="006E419B" w:rsidRPr="006E419B" w14:paraId="07B1D4A6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2837A7EF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7A323AD6" w14:textId="77777777" w:rsidR="006E419B" w:rsidRPr="006E419B" w:rsidRDefault="006E419B" w:rsidP="006E419B">
            <w:r w:rsidRPr="006E419B">
              <w:rPr>
                <w:i/>
                <w:i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4081ABA" w14:textId="77777777" w:rsidR="006E419B" w:rsidRPr="006E419B" w:rsidRDefault="006E419B" w:rsidP="006E419B">
            <w:r w:rsidRPr="006E419B">
              <w:t>&lt;0.001</w:t>
            </w:r>
          </w:p>
        </w:tc>
        <w:tc>
          <w:tcPr>
            <w:tcW w:w="0" w:type="auto"/>
            <w:vAlign w:val="center"/>
            <w:hideMark/>
          </w:tcPr>
          <w:p w14:paraId="75F63C7D" w14:textId="77777777" w:rsidR="006E419B" w:rsidRPr="006E419B" w:rsidRDefault="006E419B" w:rsidP="006E419B">
            <w:r w:rsidRPr="006E419B">
              <w:t>&lt;0.001</w:t>
            </w:r>
          </w:p>
        </w:tc>
        <w:tc>
          <w:tcPr>
            <w:tcW w:w="0" w:type="auto"/>
            <w:vAlign w:val="center"/>
            <w:hideMark/>
          </w:tcPr>
          <w:p w14:paraId="027B8F69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59395655" w14:textId="77777777" w:rsidR="006E419B" w:rsidRPr="006E419B" w:rsidRDefault="006E419B" w:rsidP="006E419B"/>
        </w:tc>
      </w:tr>
      <w:tr w:rsidR="006E419B" w:rsidRPr="006E419B" w14:paraId="7EFE2AFE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4C379FA6" w14:textId="77777777" w:rsidR="006E419B" w:rsidRPr="006E419B" w:rsidRDefault="006E419B" w:rsidP="006E419B">
            <w:r w:rsidRPr="006E419B">
              <w:rPr>
                <w:b/>
                <w:bCs/>
              </w:rPr>
              <w:t>Lp-PLA2 (ng/mL)</w:t>
            </w:r>
          </w:p>
        </w:tc>
        <w:tc>
          <w:tcPr>
            <w:tcW w:w="0" w:type="auto"/>
            <w:vAlign w:val="center"/>
            <w:hideMark/>
          </w:tcPr>
          <w:p w14:paraId="0CF477C1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9A2CF6D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5FC57CD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0CC106BA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642BCA56" w14:textId="77777777" w:rsidR="006E419B" w:rsidRPr="006E419B" w:rsidRDefault="006E419B" w:rsidP="006E419B"/>
        </w:tc>
      </w:tr>
      <w:tr w:rsidR="006E419B" w:rsidRPr="006E419B" w14:paraId="07CE7D4C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77C445BC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3FB43A0E" w14:textId="77777777" w:rsidR="006E419B" w:rsidRPr="006E419B" w:rsidRDefault="006E419B" w:rsidP="006E419B">
            <w:r w:rsidRPr="006E419B">
              <w:t>Pre-treatment</w:t>
            </w:r>
          </w:p>
        </w:tc>
        <w:tc>
          <w:tcPr>
            <w:tcW w:w="0" w:type="auto"/>
            <w:vAlign w:val="center"/>
            <w:hideMark/>
          </w:tcPr>
          <w:p w14:paraId="0023EF33" w14:textId="77777777" w:rsidR="006E419B" w:rsidRPr="006E419B" w:rsidRDefault="006E419B" w:rsidP="006E419B">
            <w:r w:rsidRPr="006E419B">
              <w:t>287.43±42.58</w:t>
            </w:r>
          </w:p>
        </w:tc>
        <w:tc>
          <w:tcPr>
            <w:tcW w:w="0" w:type="auto"/>
            <w:vAlign w:val="center"/>
            <w:hideMark/>
          </w:tcPr>
          <w:p w14:paraId="7D9C2F45" w14:textId="77777777" w:rsidR="006E419B" w:rsidRPr="006E419B" w:rsidRDefault="006E419B" w:rsidP="006E419B">
            <w:r w:rsidRPr="006E419B">
              <w:t>291.67±45.31</w:t>
            </w:r>
          </w:p>
        </w:tc>
        <w:tc>
          <w:tcPr>
            <w:tcW w:w="0" w:type="auto"/>
            <w:vAlign w:val="center"/>
            <w:hideMark/>
          </w:tcPr>
          <w:p w14:paraId="6BCE6FAA" w14:textId="77777777" w:rsidR="006E419B" w:rsidRPr="006E419B" w:rsidRDefault="006E419B" w:rsidP="006E419B">
            <w:r w:rsidRPr="006E419B">
              <w:t>0.432</w:t>
            </w:r>
          </w:p>
        </w:tc>
        <w:tc>
          <w:tcPr>
            <w:tcW w:w="0" w:type="auto"/>
            <w:vAlign w:val="center"/>
            <w:hideMark/>
          </w:tcPr>
          <w:p w14:paraId="699EAFE3" w14:textId="77777777" w:rsidR="006E419B" w:rsidRPr="006E419B" w:rsidRDefault="006E419B" w:rsidP="006E419B">
            <w:r w:rsidRPr="006E419B">
              <w:t>0.667</w:t>
            </w:r>
          </w:p>
        </w:tc>
      </w:tr>
      <w:tr w:rsidR="006E419B" w:rsidRPr="006E419B" w14:paraId="41A29E80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17A97A52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5BC6479F" w14:textId="77777777" w:rsidR="006E419B" w:rsidRPr="006E419B" w:rsidRDefault="006E419B" w:rsidP="006E419B">
            <w:r w:rsidRPr="006E419B">
              <w:t>Post-treatment</w:t>
            </w:r>
          </w:p>
        </w:tc>
        <w:tc>
          <w:tcPr>
            <w:tcW w:w="0" w:type="auto"/>
            <w:vAlign w:val="center"/>
            <w:hideMark/>
          </w:tcPr>
          <w:p w14:paraId="60B68291" w14:textId="77777777" w:rsidR="006E419B" w:rsidRPr="006E419B" w:rsidRDefault="006E419B" w:rsidP="006E419B">
            <w:r w:rsidRPr="006E419B">
              <w:t>235.78±38.42</w:t>
            </w:r>
          </w:p>
        </w:tc>
        <w:tc>
          <w:tcPr>
            <w:tcW w:w="0" w:type="auto"/>
            <w:vAlign w:val="center"/>
            <w:hideMark/>
          </w:tcPr>
          <w:p w14:paraId="54BBCC6A" w14:textId="77777777" w:rsidR="006E419B" w:rsidRPr="006E419B" w:rsidRDefault="006E419B" w:rsidP="006E419B">
            <w:r w:rsidRPr="006E419B">
              <w:t>198.35±32.16</w:t>
            </w:r>
          </w:p>
        </w:tc>
        <w:tc>
          <w:tcPr>
            <w:tcW w:w="0" w:type="auto"/>
            <w:vAlign w:val="center"/>
            <w:hideMark/>
          </w:tcPr>
          <w:p w14:paraId="439DF33F" w14:textId="77777777" w:rsidR="006E419B" w:rsidRPr="006E419B" w:rsidRDefault="006E419B" w:rsidP="006E419B">
            <w:r w:rsidRPr="006E419B">
              <w:t>4.726</w:t>
            </w:r>
          </w:p>
        </w:tc>
        <w:tc>
          <w:tcPr>
            <w:tcW w:w="0" w:type="auto"/>
            <w:vAlign w:val="center"/>
            <w:hideMark/>
          </w:tcPr>
          <w:p w14:paraId="1D899194" w14:textId="77777777" w:rsidR="006E419B" w:rsidRPr="006E419B" w:rsidRDefault="006E419B" w:rsidP="006E419B">
            <w:r w:rsidRPr="006E419B">
              <w:t>&lt;0.001</w:t>
            </w:r>
          </w:p>
        </w:tc>
      </w:tr>
      <w:tr w:rsidR="006E419B" w:rsidRPr="006E419B" w14:paraId="13776EAE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16A77622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316BC3D4" w14:textId="77777777" w:rsidR="006E419B" w:rsidRPr="006E419B" w:rsidRDefault="006E419B" w:rsidP="006E419B">
            <w:r w:rsidRPr="006E419B">
              <w:rPr>
                <w:i/>
                <w:i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E446ED1" w14:textId="77777777" w:rsidR="006E419B" w:rsidRPr="006E419B" w:rsidRDefault="006E419B" w:rsidP="006E419B">
            <w:r w:rsidRPr="006E419B">
              <w:t>7.156</w:t>
            </w:r>
          </w:p>
        </w:tc>
        <w:tc>
          <w:tcPr>
            <w:tcW w:w="0" w:type="auto"/>
            <w:vAlign w:val="center"/>
            <w:hideMark/>
          </w:tcPr>
          <w:p w14:paraId="725BF062" w14:textId="77777777" w:rsidR="006E419B" w:rsidRPr="006E419B" w:rsidRDefault="006E419B" w:rsidP="006E419B">
            <w:r w:rsidRPr="006E419B">
              <w:t>10.438</w:t>
            </w:r>
          </w:p>
        </w:tc>
        <w:tc>
          <w:tcPr>
            <w:tcW w:w="0" w:type="auto"/>
            <w:vAlign w:val="center"/>
            <w:hideMark/>
          </w:tcPr>
          <w:p w14:paraId="4C21E31A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4B122DE4" w14:textId="77777777" w:rsidR="006E419B" w:rsidRPr="006E419B" w:rsidRDefault="006E419B" w:rsidP="006E419B"/>
        </w:tc>
      </w:tr>
      <w:tr w:rsidR="006E419B" w:rsidRPr="006E419B" w14:paraId="100BD6DA" w14:textId="77777777" w:rsidTr="006E419B">
        <w:trPr>
          <w:cantSplit/>
        </w:trPr>
        <w:tc>
          <w:tcPr>
            <w:tcW w:w="0" w:type="auto"/>
            <w:vAlign w:val="center"/>
            <w:hideMark/>
          </w:tcPr>
          <w:p w14:paraId="67DDBD6F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40B93C51" w14:textId="77777777" w:rsidR="006E419B" w:rsidRPr="006E419B" w:rsidRDefault="006E419B" w:rsidP="006E419B">
            <w:r w:rsidRPr="006E419B">
              <w:rPr>
                <w:i/>
                <w:i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D4BC5F8" w14:textId="77777777" w:rsidR="006E419B" w:rsidRPr="006E419B" w:rsidRDefault="006E419B" w:rsidP="006E419B">
            <w:r w:rsidRPr="006E419B">
              <w:t>&lt;0.001</w:t>
            </w:r>
          </w:p>
        </w:tc>
        <w:tc>
          <w:tcPr>
            <w:tcW w:w="0" w:type="auto"/>
            <w:vAlign w:val="center"/>
            <w:hideMark/>
          </w:tcPr>
          <w:p w14:paraId="7EF68D10" w14:textId="77777777" w:rsidR="006E419B" w:rsidRPr="006E419B" w:rsidRDefault="006E419B" w:rsidP="006E419B">
            <w:r w:rsidRPr="006E419B">
              <w:t>&lt;0.001</w:t>
            </w:r>
          </w:p>
        </w:tc>
        <w:tc>
          <w:tcPr>
            <w:tcW w:w="0" w:type="auto"/>
            <w:vAlign w:val="center"/>
            <w:hideMark/>
          </w:tcPr>
          <w:p w14:paraId="538E9413" w14:textId="77777777" w:rsidR="006E419B" w:rsidRPr="006E419B" w:rsidRDefault="006E419B" w:rsidP="006E419B"/>
        </w:tc>
        <w:tc>
          <w:tcPr>
            <w:tcW w:w="0" w:type="auto"/>
            <w:vAlign w:val="center"/>
            <w:hideMark/>
          </w:tcPr>
          <w:p w14:paraId="1FD38115" w14:textId="77777777" w:rsidR="006E419B" w:rsidRPr="006E419B" w:rsidRDefault="006E419B" w:rsidP="006E419B"/>
        </w:tc>
      </w:tr>
    </w:tbl>
    <w:p w14:paraId="313E22F7" w14:textId="77777777" w:rsidR="006E419B" w:rsidRPr="006E419B" w:rsidRDefault="006E419B" w:rsidP="006E419B">
      <w:r w:rsidRPr="006E419B">
        <w:rPr>
          <w:b/>
          <w:bCs/>
        </w:rPr>
        <w:t>Note:</w:t>
      </w:r>
      <w:r w:rsidRPr="006E419B">
        <w:t xml:space="preserve"> ox-LDL: oxidized low-density lipoprotein; Lp-PLA2: Lipoprotein-associated phospholipase A2. The Shapiro-Wilk test was used to </w:t>
      </w:r>
      <w:proofErr w:type="gramStart"/>
      <w:r w:rsidRPr="006E419B">
        <w:t>test for</w:t>
      </w:r>
      <w:proofErr w:type="gramEnd"/>
      <w:r w:rsidRPr="006E419B">
        <w:t xml:space="preserve"> normal distribution, and measurements conforming to normal distribution were expressed as mean ± standard deviation. Independent samples t-test was used for comparison between the two groups, and paired t-test was used for comparison before and after treatment within groups. The difference was considered statistically significant at P &lt; 0.05.</w:t>
      </w:r>
    </w:p>
    <w:p w14:paraId="2DC74F0A" w14:textId="77777777" w:rsidR="00732516" w:rsidRPr="006E419B" w:rsidRDefault="00732516">
      <w:pPr>
        <w:rPr>
          <w:rFonts w:hint="eastAsia"/>
        </w:rPr>
      </w:pPr>
    </w:p>
    <w:sectPr w:rsidR="00732516" w:rsidRPr="006E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9B"/>
    <w:rsid w:val="000F7EFF"/>
    <w:rsid w:val="005751E2"/>
    <w:rsid w:val="006E419B"/>
    <w:rsid w:val="00732516"/>
    <w:rsid w:val="00E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39DE"/>
  <w15:chartTrackingRefBased/>
  <w15:docId w15:val="{159ADB75-6F19-4514-A6EF-241CB57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9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4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骏凡 马</dc:creator>
  <cp:keywords/>
  <dc:description/>
  <cp:lastModifiedBy>骏凡 马</cp:lastModifiedBy>
  <cp:revision>1</cp:revision>
  <dcterms:created xsi:type="dcterms:W3CDTF">2025-07-05T17:31:00Z</dcterms:created>
  <dcterms:modified xsi:type="dcterms:W3CDTF">2025-07-05T17:33:00Z</dcterms:modified>
</cp:coreProperties>
</file>