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A756" w14:textId="1AD81F4C" w:rsidR="00F56810" w:rsidRPr="0001605D" w:rsidRDefault="00000000" w:rsidP="00AE19C5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60" w:right="60"/>
        <w:jc w:val="both"/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</w:pPr>
      <w:r w:rsidRPr="0001605D">
        <w:rPr>
          <w:rFonts w:ascii="Times New Roman" w:hAnsi="Times New Roman" w:cs="Times New Roman"/>
          <w:i w:val="0"/>
          <w:iCs/>
          <w:sz w:val="20"/>
          <w:szCs w:val="20"/>
        </w:rPr>
        <w:t xml:space="preserve">Table </w:t>
      </w:r>
      <w:r w:rsidR="00AE19C5" w:rsidRPr="0001605D">
        <w:rPr>
          <w:rFonts w:ascii="Times New Roman" w:hAnsi="Times New Roman" w:cs="Times New Roman"/>
          <w:i w:val="0"/>
          <w:iCs/>
          <w:sz w:val="20"/>
          <w:szCs w:val="20"/>
        </w:rPr>
        <w:t>S1</w:t>
      </w:r>
      <w:r w:rsidRPr="0001605D">
        <w:rPr>
          <w:rFonts w:ascii="Times New Roman" w:hAnsi="Times New Roman" w:cs="Times New Roman"/>
          <w:i w:val="0"/>
          <w:iCs/>
          <w:sz w:val="20"/>
          <w:szCs w:val="20"/>
        </w:rPr>
        <w:t>.</w:t>
      </w:r>
      <w:r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 Comparison of </w:t>
      </w:r>
      <w:r w:rsidR="00AE19C5"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d</w:t>
      </w:r>
      <w:r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escriptive </w:t>
      </w:r>
      <w:r w:rsidR="00AE19C5"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d</w:t>
      </w:r>
      <w:r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ata </w:t>
      </w:r>
      <w:r w:rsidR="00AE19C5"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b</w:t>
      </w:r>
      <w:r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 xml:space="preserve">etween </w:t>
      </w:r>
      <w:r w:rsidR="00AE19C5" w:rsidRPr="0001605D">
        <w:rPr>
          <w:rFonts w:ascii="Times New Roman" w:hAnsi="Times New Roman" w:cs="Times New Roman"/>
          <w:b w:val="0"/>
          <w:bCs/>
          <w:i w:val="0"/>
          <w:iCs/>
          <w:sz w:val="20"/>
          <w:szCs w:val="20"/>
        </w:rPr>
        <w:t>listwise deletion method and multiple imputation method.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694"/>
        <w:gridCol w:w="2975"/>
        <w:gridCol w:w="2683"/>
      </w:tblGrid>
      <w:tr w:rsidR="00E06E56" w:rsidRPr="005B3C5D" w14:paraId="138DA75B" w14:textId="77777777" w:rsidTr="00AE19C5">
        <w:trPr>
          <w:tblHeader/>
          <w:jc w:val="center"/>
        </w:trPr>
        <w:tc>
          <w:tcPr>
            <w:tcW w:w="1613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A757" w14:textId="77777777" w:rsidR="00E06E56" w:rsidRPr="005B3C5D" w:rsidRDefault="00E06E56" w:rsidP="00AE19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78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A758" w14:textId="3558FC30" w:rsidR="00E06E56" w:rsidRPr="005B3C5D" w:rsidRDefault="00E06E56" w:rsidP="00AE19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b/>
                <w:color w:val="000000"/>
                <w:sz w:val="20"/>
                <w:szCs w:val="20"/>
              </w:rPr>
              <w:t>Listwise deletion method</w:t>
            </w: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06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A759" w14:textId="5FC8E55B" w:rsidR="00E06E56" w:rsidRPr="005B3C5D" w:rsidRDefault="00E06E56" w:rsidP="00AE19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b/>
                <w:bCs/>
                <w:color w:val="000000"/>
                <w:sz w:val="20"/>
                <w:szCs w:val="20"/>
              </w:rPr>
              <w:t xml:space="preserve">Multiple imputation method  </w:t>
            </w:r>
          </w:p>
        </w:tc>
      </w:tr>
      <w:tr w:rsidR="005B3C5D" w:rsidRPr="005B3C5D" w14:paraId="138DA760" w14:textId="77777777" w:rsidTr="00AE19C5">
        <w:trPr>
          <w:jc w:val="center"/>
        </w:trPr>
        <w:tc>
          <w:tcPr>
            <w:tcW w:w="1613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5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781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5D" w14:textId="11355701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14.0 (13.0, 16.0)</w:t>
            </w:r>
          </w:p>
        </w:tc>
        <w:tc>
          <w:tcPr>
            <w:tcW w:w="1606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5E" w14:textId="371D2BBB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14.0 (13.0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16.0)</w:t>
            </w:r>
          </w:p>
        </w:tc>
      </w:tr>
      <w:tr w:rsidR="005B3C5D" w:rsidRPr="005B3C5D" w14:paraId="138DA765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1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6A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Boys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7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680 (49.3%)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8" w14:textId="18AC21C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680 (49.3%)</w:t>
            </w:r>
          </w:p>
        </w:tc>
      </w:tr>
      <w:tr w:rsidR="005B3C5D" w:rsidRPr="005B3C5D" w14:paraId="138DA76F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Girls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698 (50.7%)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6D" w14:textId="51F3636F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698 (50.7%)</w:t>
            </w:r>
          </w:p>
        </w:tc>
      </w:tr>
      <w:tr w:rsidR="005B3C5D" w:rsidRPr="005B3C5D" w14:paraId="138DA774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0" w14:textId="1C22713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SES status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1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79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5" w14:textId="705E08A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243 (21.9%)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7" w14:textId="39780E68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300 (21.8%)</w:t>
            </w:r>
          </w:p>
        </w:tc>
      </w:tr>
      <w:tr w:rsidR="005B3C5D" w:rsidRPr="005B3C5D" w14:paraId="138DA77E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A" w14:textId="627E8E96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Medium 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585 (52.7%)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C" w14:textId="5EC2F67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721 (52.3%)</w:t>
            </w:r>
          </w:p>
        </w:tc>
      </w:tr>
      <w:tr w:rsidR="005B3C5D" w:rsidRPr="005B3C5D" w14:paraId="138DA783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7F" w14:textId="6DC83776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0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283 (25.5%)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1" w14:textId="5D5188BC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357 (25.9%)</w:t>
            </w:r>
          </w:p>
        </w:tc>
      </w:tr>
      <w:tr w:rsidR="005B3C5D" w:rsidRPr="005B3C5D" w14:paraId="138DA788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4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5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6" w14:textId="0270968A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8D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9" w14:textId="0A17FEAD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Immigrant status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A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92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E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8F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836 (75.2%)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0" w14:textId="5F32A54F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1,038 (75.3%)</w:t>
            </w:r>
          </w:p>
        </w:tc>
      </w:tr>
      <w:tr w:rsidR="005B3C5D" w:rsidRPr="005B3C5D" w14:paraId="138DA797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Immigrant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4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275 (24.8%)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5" w14:textId="5C57CB16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340 (24.7%)</w:t>
            </w:r>
          </w:p>
        </w:tc>
      </w:tr>
      <w:tr w:rsidR="005B3C5D" w:rsidRPr="005B3C5D" w14:paraId="138DA79C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8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9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A" w14:textId="1DE51F14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A1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D" w14:textId="171E664F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Number of siblings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E" w14:textId="1760222E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1.0 (1.0, 2.0)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9F" w14:textId="1FBA3B10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1.0 (1.0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2.0)</w:t>
            </w:r>
          </w:p>
        </w:tc>
      </w:tr>
      <w:tr w:rsidR="005B3C5D" w:rsidRPr="005B3C5D" w14:paraId="138DA7A6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4" w14:textId="32E96E10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AB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7" w14:textId="2FC5FB48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Number of people at home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8" w14:textId="60145D5A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3.0 (3.0, 4.0)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9" w14:textId="0D8C2CFD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3.0 (3.0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4.0)</w:t>
            </w:r>
          </w:p>
        </w:tc>
      </w:tr>
      <w:tr w:rsidR="005B3C5D" w:rsidRPr="005B3C5D" w14:paraId="138DA7B0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D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AE" w14:textId="66CFD1AB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B5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1" w14:textId="5C97A393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Educational level (mother)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BA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Primary education or lower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7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342 (31.3%)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8" w14:textId="43EFF929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437 (31.7%)</w:t>
            </w:r>
          </w:p>
        </w:tc>
      </w:tr>
      <w:tr w:rsidR="005B3C5D" w:rsidRPr="005B3C5D" w14:paraId="138DA7BF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Secondary education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458 (41.9%)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BD" w14:textId="0AA9D47E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571 (41.4%)</w:t>
            </w:r>
          </w:p>
        </w:tc>
      </w:tr>
      <w:tr w:rsidR="005B3C5D" w:rsidRPr="005B3C5D" w14:paraId="138DA7C4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0" w14:textId="2D40C0C3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University education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1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293 (26.8%)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2" w14:textId="11D6C5F1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370 (26.9%)</w:t>
            </w:r>
          </w:p>
        </w:tc>
      </w:tr>
      <w:tr w:rsidR="005B3C5D" w:rsidRPr="005B3C5D" w14:paraId="138DA7C9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5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7" w14:textId="4A9BCD4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CE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A" w14:textId="236C6E93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Educational level (father)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D3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CF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Primary education or lower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0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385 (36.5%)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1" w14:textId="7EC5A10D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532 (38.6%)</w:t>
            </w:r>
          </w:p>
        </w:tc>
      </w:tr>
      <w:tr w:rsidR="005B3C5D" w:rsidRPr="005B3C5D" w14:paraId="138DA7D8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4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Secondary education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5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443 (42.0%)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6" w14:textId="38789E80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549 (39.8%)</w:t>
            </w:r>
          </w:p>
        </w:tc>
      </w:tr>
      <w:tr w:rsidR="005B3C5D" w:rsidRPr="005B3C5D" w14:paraId="138DA7DD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9" w14:textId="042204A8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University education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A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228 (21.6%)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B" w14:textId="79D9ED3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297 (21.6%)</w:t>
            </w:r>
          </w:p>
        </w:tc>
      </w:tr>
      <w:tr w:rsidR="005B3C5D" w:rsidRPr="005B3C5D" w14:paraId="138DA7E2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E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DF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0" w14:textId="71ADAF93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E7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3" w14:textId="76819672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4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5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7EC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8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Caucasian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9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924 (83.2%)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A" w14:textId="4AD50CDF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1,144 (83.0%)</w:t>
            </w:r>
          </w:p>
        </w:tc>
      </w:tr>
      <w:tr w:rsidR="005B3C5D" w:rsidRPr="005B3C5D" w14:paraId="138DA7F1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D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Non-Caucasian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E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187 (16.8%)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EF" w14:textId="57C961C8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234 (17.0%)</w:t>
            </w:r>
          </w:p>
        </w:tc>
      </w:tr>
      <w:tr w:rsidR="005B3C5D" w:rsidRPr="005B3C5D" w14:paraId="138DA7F6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4" w14:textId="4DFBC82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7FB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7" w14:textId="1655E10D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Type of family 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8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9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800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Nuclear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D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902 (81.2%)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7FE" w14:textId="0D4E0862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1,119 (81.2%)</w:t>
            </w:r>
          </w:p>
        </w:tc>
      </w:tr>
      <w:tr w:rsidR="005B3C5D" w:rsidRPr="005B3C5D" w14:paraId="138DA805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1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Single-parent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2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73 (6.6%)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3" w14:textId="0CC3FA3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95 (6.9%)</w:t>
            </w:r>
          </w:p>
        </w:tc>
      </w:tr>
      <w:tr w:rsidR="005B3C5D" w:rsidRPr="005B3C5D" w14:paraId="138DA80A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Extended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7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37 (3.3%)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8" w14:textId="489AF50E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47 (3.4%)</w:t>
            </w:r>
          </w:p>
        </w:tc>
      </w:tr>
      <w:tr w:rsidR="005B3C5D" w:rsidRPr="005B3C5D" w14:paraId="138DA80F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Diverse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C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99 (8.9%)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0D" w14:textId="5C4C0ECD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117 (8.5%)</w:t>
            </w:r>
          </w:p>
        </w:tc>
      </w:tr>
      <w:tr w:rsidR="005B3C5D" w:rsidRPr="005B3C5D" w14:paraId="138DA814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0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1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2" w14:textId="03DEFD22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819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5" w14:textId="52246E24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Type of schooling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7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81E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A" w14:textId="53207140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B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1,123 (81.5%)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C" w14:textId="01050D51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1,123 (81.5%)</w:t>
            </w:r>
          </w:p>
        </w:tc>
      </w:tr>
      <w:tr w:rsidR="005B3C5D" w:rsidRPr="005B3C5D" w14:paraId="138DA823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1F" w14:textId="3CDD0A9A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0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255 (18.5%)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1" w14:textId="5A6A468B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255 (18.5%)</w:t>
            </w:r>
          </w:p>
        </w:tc>
      </w:tr>
      <w:tr w:rsidR="005B3C5D" w:rsidRPr="005B3C5D" w14:paraId="138DA828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4" w14:textId="006096D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Area of residence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5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6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C5D" w:rsidRPr="005B3C5D" w14:paraId="138DA82D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9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A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823 (74.1%)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B" w14:textId="242636F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1,012 (73.4%)</w:t>
            </w:r>
          </w:p>
        </w:tc>
      </w:tr>
      <w:tr w:rsidR="005B3C5D" w:rsidRPr="005B3C5D" w14:paraId="138DA832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E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2F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288 (25.9%)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0" w14:textId="37CC18E5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366 (26.6%)</w:t>
            </w:r>
          </w:p>
        </w:tc>
      </w:tr>
      <w:tr w:rsidR="005B3C5D" w:rsidRPr="005B3C5D" w14:paraId="138DA837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3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4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5" w14:textId="5E08786B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3C5D" w:rsidRPr="005B3C5D" w14:paraId="138DA83C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8" w14:textId="622DF916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S-PPLI (score)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9" w14:textId="4B251246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33.0 (30.0, 37.0)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A" w14:textId="27ED6E38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33.0 (30.0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37.0)</w:t>
            </w:r>
          </w:p>
        </w:tc>
      </w:tr>
      <w:tr w:rsidR="005B3C5D" w:rsidRPr="005B3C5D" w14:paraId="138DA841" w14:textId="77777777" w:rsidTr="00AE19C5">
        <w:trPr>
          <w:jc w:val="center"/>
        </w:trPr>
        <w:tc>
          <w:tcPr>
            <w:tcW w:w="161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D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E" w14:textId="7777777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0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83F" w14:textId="206ABB47" w:rsidR="005B3C5D" w:rsidRPr="005B3C5D" w:rsidRDefault="005B3C5D" w:rsidP="005B3C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 w:rsidRPr="005B3C5D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38DA846" w14:textId="19310948" w:rsidR="00062A58" w:rsidRPr="005B3C5D" w:rsidRDefault="00A757C0" w:rsidP="005B3C5D">
      <w:pPr>
        <w:jc w:val="both"/>
        <w:rPr>
          <w:rFonts w:ascii="Times New Roman" w:hAnsi="Times New Roman" w:cs="Times New Roman"/>
          <w:sz w:val="20"/>
          <w:szCs w:val="20"/>
        </w:rPr>
      </w:pPr>
      <w:r w:rsidRPr="005B3C5D">
        <w:rPr>
          <w:rFonts w:ascii="Times New Roman" w:hAnsi="Times New Roman" w:cs="Times New Roman"/>
          <w:sz w:val="20"/>
          <w:szCs w:val="20"/>
        </w:rPr>
        <w:t>Median (interquartile range) or number (%). S-PPLI, Spanish Perceived Physical Literacy; SES, socioeconomic status.</w:t>
      </w:r>
    </w:p>
    <w:sectPr w:rsidR="00062A58" w:rsidRPr="005B3C5D" w:rsidSect="00AE19C5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5245974">
    <w:abstractNumId w:val="1"/>
  </w:num>
  <w:num w:numId="2" w16cid:durableId="1055005954">
    <w:abstractNumId w:val="2"/>
  </w:num>
  <w:num w:numId="3" w16cid:durableId="147876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10"/>
    <w:rsid w:val="0001605D"/>
    <w:rsid w:val="00062A58"/>
    <w:rsid w:val="00445C9B"/>
    <w:rsid w:val="005B3C5D"/>
    <w:rsid w:val="00A757C0"/>
    <w:rsid w:val="00AE19C5"/>
    <w:rsid w:val="00B93B03"/>
    <w:rsid w:val="00BE018B"/>
    <w:rsid w:val="00E06E56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DA755"/>
  <w15:docId w15:val="{17442BC8-FFCD-774F-9B99-494570B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basedOn w:val="Fuentedeprrafopredeter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a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clara-nfasis2">
    <w:name w:val="Light List Accent 2"/>
    <w:basedOn w:val="Tabla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aprofesional">
    <w:name w:val="Table Professional"/>
    <w:basedOn w:val="Tabla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Fuentedeprrafopredeter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López Gil</dc:creator>
  <cp:keywords/>
  <dc:description/>
  <cp:lastModifiedBy>José Francisco López Gil</cp:lastModifiedBy>
  <cp:revision>4</cp:revision>
  <dcterms:created xsi:type="dcterms:W3CDTF">2025-07-06T18:05:00Z</dcterms:created>
  <dcterms:modified xsi:type="dcterms:W3CDTF">2025-07-06T18:10:00Z</dcterms:modified>
  <cp:category/>
</cp:coreProperties>
</file>