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688E0E5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eastAsia="宋体" w:cs="Times New Roman"/>
          <w:b/>
          <w:szCs w:val="24"/>
          <w:lang w:val="en-US" w:eastAsia="zh-CN"/>
        </w:rPr>
        <w:t>Table</w:t>
      </w:r>
      <w:r>
        <w:rPr>
          <w:rFonts w:cs="Times New Roman"/>
          <w:b/>
          <w:szCs w:val="24"/>
        </w:rPr>
        <w:t xml:space="preserve"> </w:t>
      </w:r>
    </w:p>
    <w:p w14:paraId="1E0ECD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>Referring to the research practice of Lin et al.</w:t>
      </w:r>
      <w:r>
        <w:rPr>
          <w:rFonts w:hint="eastAsia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>(2024)</w:t>
      </w:r>
      <w:r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 xml:space="preserve"> this paper uses the methods of replacing the threshold variables and adjusting the sample size to test the robustness of the threshold effect model, respectively, by adopting a one-period lag for the level of AI and the level of human capital, and Winsorizing the level of financial development and re-substituting them respectively. The results are shown in </w:t>
      </w:r>
      <w:r>
        <w:rPr>
          <w:rFonts w:hint="default" w:ascii="Times New Roman" w:hAnsi="Times New Roman" w:eastAsia="宋体" w:cs="Times New Roman"/>
          <w:b w:val="0"/>
          <w:bCs w:val="0"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Supplementary </w:t>
      </w:r>
      <w:r>
        <w:rPr>
          <w:rFonts w:hint="default" w:eastAsia="Times New Roman" w:cs="Times New Roman"/>
          <w:b w:val="0"/>
          <w:bCs w:val="0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>Table</w:t>
      </w:r>
      <w:r>
        <w:rPr>
          <w:rFonts w:hint="eastAsia" w:eastAsia="Times New Roman" w:cs="Times New Roman"/>
          <w:b w:val="0"/>
          <w:bCs w:val="0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>1 and 2</w:t>
      </w:r>
      <w:r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  <w:t>, the thresholds are all significant at the 1% level.</w:t>
      </w:r>
    </w:p>
    <w:p w14:paraId="1F2B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Table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instrText xml:space="preserve"> SEQ Figure \* ARABIC </w:instrTex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 Threshold effect existence test</w:t>
      </w:r>
    </w:p>
    <w:tbl>
      <w:tblPr>
        <w:tblStyle w:val="21"/>
        <w:tblpPr w:leftFromText="180" w:rightFromText="180" w:vertAnchor="text" w:horzAnchor="page" w:tblpX="1554" w:tblpY="10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05"/>
        <w:gridCol w:w="831"/>
        <w:gridCol w:w="1452"/>
        <w:gridCol w:w="939"/>
        <w:gridCol w:w="1578"/>
        <w:gridCol w:w="959"/>
        <w:gridCol w:w="1181"/>
        <w:gridCol w:w="1083"/>
      </w:tblGrid>
      <w:tr w14:paraId="1D80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6CCC6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60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34FB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Threshold</w:t>
            </w:r>
          </w:p>
        </w:tc>
        <w:tc>
          <w:tcPr>
            <w:tcW w:w="41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5A73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BS</w:t>
            </w:r>
          </w:p>
        </w:tc>
        <w:tc>
          <w:tcPr>
            <w:tcW w:w="72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DEC5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Fstat</w:t>
            </w:r>
          </w:p>
        </w:tc>
        <w:tc>
          <w:tcPr>
            <w:tcW w:w="47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3EA9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Prob</w:t>
            </w:r>
          </w:p>
        </w:tc>
        <w:tc>
          <w:tcPr>
            <w:tcW w:w="79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B611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threshold value</w:t>
            </w:r>
          </w:p>
        </w:tc>
        <w:tc>
          <w:tcPr>
            <w:tcW w:w="1613" w:type="pct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6EE6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Critical value</w:t>
            </w:r>
          </w:p>
        </w:tc>
      </w:tr>
      <w:tr w14:paraId="5EB6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B72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L.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AI</w:t>
            </w:r>
          </w:p>
        </w:tc>
        <w:tc>
          <w:tcPr>
            <w:tcW w:w="60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916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Single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441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  <w:t>500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A57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85.45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47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FC9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0.000</w:t>
            </w:r>
          </w:p>
        </w:tc>
        <w:tc>
          <w:tcPr>
            <w:tcW w:w="7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B88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8.158</w:t>
            </w:r>
          </w:p>
        </w:tc>
        <w:tc>
          <w:tcPr>
            <w:tcW w:w="4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2F6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39.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830</w:t>
            </w: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68F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9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129</w:t>
            </w:r>
          </w:p>
        </w:tc>
        <w:tc>
          <w:tcPr>
            <w:tcW w:w="54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555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103.388</w:t>
            </w:r>
          </w:p>
        </w:tc>
      </w:tr>
      <w:tr w14:paraId="312C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F76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L.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HC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73F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Single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AEB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633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37.25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A10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578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0.056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AA9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70.804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381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90.055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F25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148.386</w:t>
            </w:r>
          </w:p>
        </w:tc>
      </w:tr>
      <w:tr w14:paraId="1356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41D33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Fi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n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F4F39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Single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D4ACF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A0A30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0.53</w:t>
            </w: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3E1D0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0.000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9036C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3.8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65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36F1F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54.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994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92485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68.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213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926DF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79646" w:themeColor="accent6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0.325</w:t>
            </w:r>
          </w:p>
        </w:tc>
      </w:tr>
    </w:tbl>
    <w:p w14:paraId="488381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</w:p>
    <w:p w14:paraId="75BD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Supplementary </w:t>
      </w:r>
      <w:r>
        <w:rPr>
          <w:rFonts w:hint="eastAsia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Table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/>
          <w:bCs/>
          <w:color w:val="F79646" w:themeColor="accent6"/>
          <w:kern w:val="2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 xml:space="preserve"> Robustness test results for threshold effects</w:t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162"/>
        <w:gridCol w:w="2592"/>
        <w:gridCol w:w="2592"/>
      </w:tblGrid>
      <w:tr w14:paraId="694F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2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074D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cr/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
</w:t>
            </w:r>
          </w:p>
        </w:tc>
        <w:tc>
          <w:tcPr>
            <w:tcW w:w="108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1382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(1)</w:t>
            </w:r>
          </w:p>
        </w:tc>
        <w:tc>
          <w:tcPr>
            <w:tcW w:w="129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674DD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29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1785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</w:tr>
      <w:tr w14:paraId="5CFB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C2F47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Threshold</w:t>
            </w: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variable</w:t>
            </w:r>
          </w:p>
        </w:tc>
        <w:tc>
          <w:tcPr>
            <w:tcW w:w="1082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FDB7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L.AI</w:t>
            </w: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3B0E4B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L.HC</w:t>
            </w: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963A7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Fin</w:t>
            </w:r>
          </w:p>
        </w:tc>
      </w:tr>
      <w:tr w14:paraId="3718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E3408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POP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FFE6A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0.348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BF672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0.368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F46A4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0.351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5A24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79232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3F4D8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(8.225)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8DFF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(8.399)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3AB6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(8.072)</w:t>
            </w:r>
          </w:p>
        </w:tc>
      </w:tr>
      <w:tr w14:paraId="2A7B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3CB6B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Ope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7DCF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-0.980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F6E0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-1.462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7D32B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-1.187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73D3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78AA3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AE0ACB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(-2.892)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BF5E7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(-4.181)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DE68C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(-3.407)</w:t>
            </w:r>
          </w:p>
        </w:tc>
      </w:tr>
      <w:tr w14:paraId="1F33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BD720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Gov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1F2DB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-0.778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3DDD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-0.907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48EC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-1.059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30BD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A91C7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E7BD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(-6.883)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DC4A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(-7.769)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D4C7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(-9.124)</w:t>
            </w:r>
          </w:p>
        </w:tc>
      </w:tr>
      <w:tr w14:paraId="4FC6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12073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FI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D66EF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0.010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A30A8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-0.000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EE4C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0.004</w:t>
            </w:r>
          </w:p>
        </w:tc>
      </w:tr>
      <w:tr w14:paraId="2B35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39C66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97372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(2.164)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C0642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(-0.011)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541F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(0.926)</w:t>
            </w:r>
          </w:p>
        </w:tc>
      </w:tr>
      <w:tr w14:paraId="4E07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C7C3D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ST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D593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4.914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6451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7.011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30336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7.298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2EC8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560CC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EC3DB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(8.421)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92C9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48FC3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40F1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98EF2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I1(AI≤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8.158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F8E37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0.111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8397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8FFEC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DCC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49BF3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E71BA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(6.357)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CB3176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AC50F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FBB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DB212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I1(AI&gt;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8.158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0371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0.202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849A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755D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6BE9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3B49D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460E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8D21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(11.852)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6A21E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7D5C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8205B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I2(HC≤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0.056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61CB4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3482F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0.096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195B2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59A0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8C3A6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52B63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48F1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(5.296)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4F10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2C33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E2E13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I2(HC&gt;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0.056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9791E6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97E57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0.182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EC62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68F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90524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56E79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84877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8D71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(12.479)</w:t>
            </w:r>
          </w:p>
        </w:tc>
      </w:tr>
      <w:tr w14:paraId="1FCA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02709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I3(Fin≤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3.8</w:t>
            </w:r>
            <w:r>
              <w:rPr>
                <w:rFonts w:hint="eastAsia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8ADC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CDDC6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EFADC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0.115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2352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508727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7A71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F3E5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7997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(6.416)</w:t>
            </w:r>
          </w:p>
        </w:tc>
      </w:tr>
      <w:tr w14:paraId="1CE0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907E7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AI×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I3(Fin&gt;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3.8</w:t>
            </w:r>
            <w:r>
              <w:rPr>
                <w:rFonts w:hint="eastAsia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65</w:t>
            </w: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09A1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F9FDA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54EE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0.184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7385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C0CD0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ECD78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(11.206)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379C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(9.476)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7AE0E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(9.781)</w:t>
            </w:r>
          </w:p>
        </w:tc>
      </w:tr>
      <w:tr w14:paraId="236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5333F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_cons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384F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-1.766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7E7CC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-1.821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A8C4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-1.760</w:t>
            </w: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***</w:t>
            </w:r>
          </w:p>
        </w:tc>
      </w:tr>
      <w:tr w14:paraId="56BF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D01B5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3F7495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(-7.217)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06BFB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(-7.194)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8C9A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(-6.997)</w:t>
            </w:r>
          </w:p>
        </w:tc>
      </w:tr>
      <w:tr w14:paraId="2A76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EB524C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year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11CF60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368C0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1011B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</w:tr>
      <w:tr w14:paraId="161A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46F4B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city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A04A73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169D0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9F8DD">
            <w:pPr>
              <w:widowControl w:val="0"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Yes</w:t>
            </w:r>
          </w:p>
        </w:tc>
      </w:tr>
      <w:tr w14:paraId="58C4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27241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  <w:t>Obs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78A9D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5149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A094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5149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210DC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5149</w:t>
            </w:r>
          </w:p>
        </w:tc>
      </w:tr>
      <w:tr w14:paraId="01FE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pct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66022">
            <w:pPr>
              <w:widowControl/>
              <w:wordWrap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en-US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iCs/>
                <w:color w:val="F79646" w:themeColor="accent6"/>
                <w:kern w:val="2"/>
                <w:sz w:val="21"/>
                <w:szCs w:val="21"/>
                <w:vertAlign w:val="superscript"/>
                <w:lang w:eastAsia="zh-CN"/>
                <w14:textFill>
                  <w14:solidFill>
                    <w14:schemeClr w14:val="accent6"/>
                  </w14:solidFill>
                </w14:textFill>
              </w:rP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6E33C9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0.476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4D920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0.440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39831">
            <w:pPr>
              <w:widowControl/>
              <w:spacing w:before="0" w:beforeLines="0" w:after="0" w:afterLines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F79646" w:themeColor="accent6"/>
                <w:kern w:val="2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0.446</w:t>
            </w:r>
          </w:p>
        </w:tc>
      </w:tr>
    </w:tbl>
    <w:p w14:paraId="2678A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/>
        </w:rPr>
      </w:pPr>
    </w:p>
    <w:p w14:paraId="753E47A8">
      <w:pPr>
        <w:rPr>
          <w:rFonts w:hint="default" w:eastAsia="宋体"/>
          <w:b/>
          <w:bCs/>
          <w:color w:val="F79646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eastAsia="宋体"/>
          <w:b/>
          <w:bCs/>
          <w:color w:val="F79646" w:themeColor="accent6"/>
          <w:lang w:val="en-US" w:eastAsia="zh-CN"/>
          <w14:textFill>
            <w14:solidFill>
              <w14:schemeClr w14:val="accent6"/>
            </w14:solidFill>
          </w14:textFill>
        </w:rPr>
        <w:t>Reference</w:t>
      </w:r>
    </w:p>
    <w:p w14:paraId="742F273F">
      <w:pPr>
        <w:wordWrap w:val="0"/>
        <w:spacing w:before="0" w:after="0" w:line="240" w:lineRule="auto"/>
        <w:rPr>
          <w:rFonts w:hint="default" w:eastAsia="Times New Roman" w:cs="Times New Roman"/>
          <w:color w:val="F79646" w:themeColor="accent6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F79646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Lin, C.Y., Wang, M.Y., Lan, X.J., Wen, C.H. (2024). Impact of Environmental Protection Tax on Regional Green Competitiveness: A Study Based on Market Integration Background. Resources and Environment in the Yangtze Basin 33(04):728-741.</w:t>
      </w:r>
    </w:p>
    <w:p w14:paraId="5CCA3818">
      <w:pPr>
        <w:spacing w:before="240"/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70612F8"/>
    <w:rsid w:val="45B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256</Words>
  <Characters>1552</Characters>
  <Lines>6</Lines>
  <Paragraphs>1</Paragraphs>
  <TotalTime>1</TotalTime>
  <ScaleCrop>false</ScaleCrop>
  <LinksUpToDate>false</LinksUpToDate>
  <CharactersWithSpaces>1684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Yuan_n</cp:lastModifiedBy>
  <cp:lastPrinted>2013-10-03T12:51:00Z</cp:lastPrinted>
  <dcterms:modified xsi:type="dcterms:W3CDTF">2025-06-11T11:54:27Z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eyJoZGlkIjoiNmQ4MWE3ODdjN2I0MDg1MzMxNDAxY2UwMzE4ODVlZjEiLCJ1c2VySWQiOiIxNDEwODcwMzMzIn0=</vt:lpwstr>
  </property>
  <property fmtid="{D5CDD505-2E9C-101B-9397-08002B2CF9AE}" pid="11" name="KSOProductBuildVer">
    <vt:lpwstr>2052-12.1.0.21171</vt:lpwstr>
  </property>
  <property fmtid="{D5CDD505-2E9C-101B-9397-08002B2CF9AE}" pid="12" name="ICV">
    <vt:lpwstr>07DEBB8C3811440480D33186681E87BE_12</vt:lpwstr>
  </property>
</Properties>
</file>