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11B3643" wp14:paraId="56F38193" wp14:textId="43814B9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11B3643" w:rsidR="75A63F6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Supplementary Table 1 </w:t>
      </w:r>
      <w:r w:rsidRPr="711B3643" w:rsidR="75A63F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Reflections from post-graduate public health students and trainees on what they wish they had known before their community engaged learning fellowships and advice for future fellows</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705"/>
        <w:gridCol w:w="1785"/>
        <w:gridCol w:w="2655"/>
        <w:gridCol w:w="3345"/>
        <w:gridCol w:w="840"/>
      </w:tblGrid>
      <w:tr w:rsidR="711B3643" w:rsidTr="711B3643" w14:paraId="0CAFC6EC">
        <w:trPr>
          <w:trHeight w:val="300"/>
        </w:trPr>
        <w:tc>
          <w:tcPr>
            <w:tcW w:w="705" w:type="dxa"/>
            <w:tcBorders>
              <w:top w:val="single" w:sz="6"/>
              <w:left w:val="single" w:sz="6"/>
            </w:tcBorders>
            <w:tcMar>
              <w:left w:w="90" w:type="dxa"/>
              <w:right w:w="90" w:type="dxa"/>
            </w:tcMar>
            <w:vAlign w:val="top"/>
          </w:tcPr>
          <w:p w:rsidR="711B3643" w:rsidP="711B3643" w:rsidRDefault="711B3643" w14:paraId="4D8D17F3" w14:textId="1A36577A">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 xml:space="preserve">No. </w:t>
            </w:r>
          </w:p>
        </w:tc>
        <w:tc>
          <w:tcPr>
            <w:tcW w:w="1785" w:type="dxa"/>
            <w:tcBorders>
              <w:top w:val="single" w:sz="6"/>
            </w:tcBorders>
            <w:tcMar>
              <w:left w:w="90" w:type="dxa"/>
              <w:right w:w="90" w:type="dxa"/>
            </w:tcMar>
            <w:vAlign w:val="top"/>
          </w:tcPr>
          <w:p w:rsidR="711B3643" w:rsidP="711B3643" w:rsidRDefault="711B3643" w14:paraId="24F9D6CC" w14:textId="6BE40AA8">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Code</w:t>
            </w:r>
          </w:p>
        </w:tc>
        <w:tc>
          <w:tcPr>
            <w:tcW w:w="2655" w:type="dxa"/>
            <w:tcBorders>
              <w:top w:val="single" w:sz="6"/>
            </w:tcBorders>
            <w:tcMar>
              <w:left w:w="90" w:type="dxa"/>
              <w:right w:w="90" w:type="dxa"/>
            </w:tcMar>
            <w:vAlign w:val="top"/>
          </w:tcPr>
          <w:p w:rsidR="711B3643" w:rsidP="711B3643" w:rsidRDefault="711B3643" w14:paraId="2D4784F6" w14:textId="0B0841FF">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Description/Inclusions</w:t>
            </w:r>
          </w:p>
        </w:tc>
        <w:tc>
          <w:tcPr>
            <w:tcW w:w="3345" w:type="dxa"/>
            <w:tcBorders>
              <w:top w:val="single" w:sz="6"/>
            </w:tcBorders>
            <w:tcMar>
              <w:left w:w="90" w:type="dxa"/>
              <w:right w:w="90" w:type="dxa"/>
            </w:tcMar>
            <w:vAlign w:val="top"/>
          </w:tcPr>
          <w:p w:rsidR="711B3643" w:rsidP="711B3643" w:rsidRDefault="711B3643" w14:paraId="0335DA83" w14:textId="1968B604">
            <w:pPr>
              <w:rPr>
                <w:rFonts w:ascii="Times New Roman" w:hAnsi="Times New Roman" w:eastAsia="Times New Roman" w:cs="Times New Roman"/>
                <w:b w:val="0"/>
                <w:bCs w:val="0"/>
                <w:i w:val="0"/>
                <w:iCs w:val="0"/>
                <w:sz w:val="16"/>
                <w:szCs w:val="16"/>
              </w:rPr>
            </w:pPr>
            <w:r w:rsidRPr="711B3643" w:rsidR="711B3643">
              <w:rPr>
                <w:rFonts w:ascii="Times New Roman" w:hAnsi="Times New Roman" w:eastAsia="Times New Roman" w:cs="Times New Roman"/>
                <w:b w:val="0"/>
                <w:bCs w:val="0"/>
                <w:i w:val="0"/>
                <w:iCs w:val="0"/>
                <w:sz w:val="20"/>
                <w:szCs w:val="20"/>
                <w:lang w:val="en-US"/>
              </w:rPr>
              <w:t xml:space="preserve">Example(s) </w:t>
            </w:r>
            <w:r w:rsidRPr="711B3643" w:rsidR="711B3643">
              <w:rPr>
                <w:rFonts w:ascii="Times New Roman" w:hAnsi="Times New Roman" w:eastAsia="Times New Roman" w:cs="Times New Roman"/>
                <w:b w:val="0"/>
                <w:bCs w:val="0"/>
                <w:i w:val="0"/>
                <w:iCs w:val="0"/>
                <w:sz w:val="20"/>
                <w:szCs w:val="20"/>
                <w:vertAlign w:val="superscript"/>
                <w:lang w:val="en-US"/>
              </w:rPr>
              <w:t>1</w:t>
            </w:r>
          </w:p>
        </w:tc>
        <w:tc>
          <w:tcPr>
            <w:tcW w:w="840" w:type="dxa"/>
            <w:tcBorders>
              <w:top w:val="single" w:sz="6"/>
              <w:right w:val="single" w:sz="6"/>
            </w:tcBorders>
            <w:tcMar>
              <w:left w:w="90" w:type="dxa"/>
              <w:right w:w="90" w:type="dxa"/>
            </w:tcMar>
            <w:vAlign w:val="top"/>
          </w:tcPr>
          <w:p w:rsidR="711B3643" w:rsidP="711B3643" w:rsidRDefault="711B3643" w14:paraId="0C82B750" w14:textId="33264142">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Exclusions</w:t>
            </w:r>
          </w:p>
        </w:tc>
      </w:tr>
      <w:tr w:rsidR="711B3643" w:rsidTr="711B3643" w14:paraId="142F75B6">
        <w:trPr>
          <w:trHeight w:val="300"/>
        </w:trPr>
        <w:tc>
          <w:tcPr>
            <w:tcW w:w="705" w:type="dxa"/>
            <w:tcBorders>
              <w:left w:val="single" w:sz="6"/>
            </w:tcBorders>
            <w:tcMar>
              <w:left w:w="90" w:type="dxa"/>
              <w:right w:w="90" w:type="dxa"/>
            </w:tcMar>
            <w:vAlign w:val="top"/>
          </w:tcPr>
          <w:p w:rsidR="711B3643" w:rsidP="711B3643" w:rsidRDefault="711B3643" w14:paraId="57BA3C55" w14:textId="23751B92">
            <w:pPr>
              <w:spacing w:after="0" w:afterAutospacing="off"/>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1"/>
                <w:bCs w:val="1"/>
                <w:i w:val="0"/>
                <w:iCs w:val="0"/>
                <w:sz w:val="20"/>
                <w:szCs w:val="20"/>
                <w:lang w:val="en-US"/>
              </w:rPr>
              <w:t>1</w:t>
            </w:r>
          </w:p>
        </w:tc>
        <w:tc>
          <w:tcPr>
            <w:tcW w:w="1785" w:type="dxa"/>
            <w:tcMar>
              <w:left w:w="90" w:type="dxa"/>
              <w:right w:w="90" w:type="dxa"/>
            </w:tcMar>
            <w:vAlign w:val="top"/>
          </w:tcPr>
          <w:p w:rsidR="711B3643" w:rsidP="711B3643" w:rsidRDefault="711B3643" w14:paraId="78B5CDE6" w14:textId="69B42C7D">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1"/>
                <w:bCs w:val="1"/>
                <w:i w:val="0"/>
                <w:iCs w:val="0"/>
                <w:sz w:val="20"/>
                <w:szCs w:val="20"/>
                <w:lang w:val="en-US"/>
              </w:rPr>
              <w:t>Personal formation</w:t>
            </w:r>
          </w:p>
        </w:tc>
        <w:tc>
          <w:tcPr>
            <w:tcW w:w="2655" w:type="dxa"/>
            <w:tcMar>
              <w:left w:w="90" w:type="dxa"/>
              <w:right w:w="90" w:type="dxa"/>
            </w:tcMar>
            <w:vAlign w:val="top"/>
          </w:tcPr>
          <w:p w:rsidR="711B3643" w:rsidP="711B3643" w:rsidRDefault="711B3643" w14:paraId="04FDD430" w14:textId="31A10BC3">
            <w:pPr>
              <w:rPr>
                <w:rFonts w:ascii="Times New Roman" w:hAnsi="Times New Roman" w:eastAsia="Times New Roman" w:cs="Times New Roman"/>
                <w:b w:val="0"/>
                <w:bCs w:val="0"/>
                <w:i w:val="0"/>
                <w:iCs w:val="0"/>
                <w:sz w:val="20"/>
                <w:szCs w:val="20"/>
              </w:rPr>
            </w:pPr>
          </w:p>
        </w:tc>
        <w:tc>
          <w:tcPr>
            <w:tcW w:w="3345" w:type="dxa"/>
            <w:tcMar>
              <w:left w:w="90" w:type="dxa"/>
              <w:right w:w="90" w:type="dxa"/>
            </w:tcMar>
            <w:vAlign w:val="top"/>
          </w:tcPr>
          <w:p w:rsidR="711B3643" w:rsidP="711B3643" w:rsidRDefault="711B3643" w14:paraId="78DC0FBD" w14:textId="7AE2ABB4">
            <w:pPr>
              <w:rPr>
                <w:rFonts w:ascii="Times New Roman" w:hAnsi="Times New Roman" w:eastAsia="Times New Roman" w:cs="Times New Roman"/>
                <w:b w:val="0"/>
                <w:bCs w:val="0"/>
                <w:i w:val="0"/>
                <w:iCs w:val="0"/>
                <w:sz w:val="20"/>
                <w:szCs w:val="20"/>
              </w:rPr>
            </w:pPr>
          </w:p>
        </w:tc>
        <w:tc>
          <w:tcPr>
            <w:tcW w:w="840" w:type="dxa"/>
            <w:tcBorders>
              <w:right w:val="single" w:sz="6"/>
            </w:tcBorders>
            <w:tcMar>
              <w:left w:w="90" w:type="dxa"/>
              <w:right w:w="90" w:type="dxa"/>
            </w:tcMar>
            <w:vAlign w:val="top"/>
          </w:tcPr>
          <w:p w:rsidR="711B3643" w:rsidP="711B3643" w:rsidRDefault="711B3643" w14:paraId="0988A66E" w14:textId="04CF1CC7">
            <w:pPr>
              <w:rPr>
                <w:rFonts w:ascii="Times New Roman" w:hAnsi="Times New Roman" w:eastAsia="Times New Roman" w:cs="Times New Roman"/>
                <w:b w:val="0"/>
                <w:bCs w:val="0"/>
                <w:i w:val="0"/>
                <w:iCs w:val="0"/>
                <w:sz w:val="20"/>
                <w:szCs w:val="20"/>
              </w:rPr>
            </w:pPr>
          </w:p>
        </w:tc>
      </w:tr>
      <w:tr w:rsidR="711B3643" w:rsidTr="711B3643" w14:paraId="7A6C50C5">
        <w:trPr>
          <w:trHeight w:val="300"/>
        </w:trPr>
        <w:tc>
          <w:tcPr>
            <w:tcW w:w="705" w:type="dxa"/>
            <w:tcBorders>
              <w:left w:val="single" w:sz="6"/>
            </w:tcBorders>
            <w:tcMar>
              <w:left w:w="90" w:type="dxa"/>
              <w:right w:w="90" w:type="dxa"/>
            </w:tcMar>
            <w:vAlign w:val="top"/>
          </w:tcPr>
          <w:p w:rsidR="711B3643" w:rsidP="711B3643" w:rsidRDefault="711B3643" w14:paraId="10CA74F4" w14:textId="234382AB">
            <w:pPr>
              <w:spacing w:before="0" w:beforeAutospacing="off" w:after="0" w:afterAutospacing="off" w:line="279" w:lineRule="auto"/>
              <w:ind w:left="0" w:right="0"/>
              <w:jc w:val="left"/>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 xml:space="preserve">1.1 </w:t>
            </w:r>
          </w:p>
          <w:p w:rsidR="711B3643" w:rsidP="711B3643" w:rsidRDefault="711B3643" w14:paraId="0804EC7A" w14:textId="5AC0E36F">
            <w:pPr>
              <w:rPr>
                <w:rFonts w:ascii="Times New Roman" w:hAnsi="Times New Roman" w:eastAsia="Times New Roman" w:cs="Times New Roman"/>
                <w:b w:val="0"/>
                <w:bCs w:val="0"/>
                <w:i w:val="0"/>
                <w:iCs w:val="0"/>
                <w:sz w:val="20"/>
                <w:szCs w:val="20"/>
              </w:rPr>
            </w:pPr>
          </w:p>
        </w:tc>
        <w:tc>
          <w:tcPr>
            <w:tcW w:w="1785" w:type="dxa"/>
            <w:tcMar>
              <w:left w:w="90" w:type="dxa"/>
              <w:right w:w="90" w:type="dxa"/>
            </w:tcMar>
            <w:vAlign w:val="top"/>
          </w:tcPr>
          <w:p w:rsidR="711B3643" w:rsidP="711B3643" w:rsidRDefault="711B3643" w14:paraId="2C01BC5F" w14:textId="2C7A75EA">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Balancing commitments, rest, and personal growth</w:t>
            </w:r>
          </w:p>
        </w:tc>
        <w:tc>
          <w:tcPr>
            <w:tcW w:w="2655" w:type="dxa"/>
            <w:tcMar>
              <w:left w:w="90" w:type="dxa"/>
              <w:right w:w="90" w:type="dxa"/>
            </w:tcMar>
            <w:vAlign w:val="top"/>
          </w:tcPr>
          <w:p w:rsidR="711B3643" w:rsidP="711B3643" w:rsidRDefault="711B3643" w14:paraId="5B036A8F" w14:textId="33DD7C22">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 xml:space="preserve">Remaining self-confident and tending to career development and respite during fellowship </w:t>
            </w:r>
          </w:p>
        </w:tc>
        <w:tc>
          <w:tcPr>
            <w:tcW w:w="3345" w:type="dxa"/>
            <w:tcMar>
              <w:left w:w="90" w:type="dxa"/>
              <w:right w:w="90" w:type="dxa"/>
            </w:tcMar>
            <w:vAlign w:val="top"/>
          </w:tcPr>
          <w:p w:rsidR="711B3643" w:rsidP="711B3643" w:rsidRDefault="711B3643" w14:paraId="2A89F44B" w14:textId="51058D43">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I wish I had known (or prepared) to take more breaks - passion and excitement still need to be replenished with rest.” (2024) (1)</w:t>
            </w:r>
          </w:p>
          <w:p w:rsidR="711B3643" w:rsidP="711B3643" w:rsidRDefault="711B3643" w14:paraId="2BF44CE2" w14:textId="75A0AE1B">
            <w:pPr>
              <w:rPr>
                <w:rFonts w:ascii="Times New Roman" w:hAnsi="Times New Roman" w:eastAsia="Times New Roman" w:cs="Times New Roman"/>
                <w:b w:val="0"/>
                <w:bCs w:val="0"/>
                <w:i w:val="0"/>
                <w:iCs w:val="0"/>
                <w:color w:val="000000" w:themeColor="text1" w:themeTint="FF" w:themeShade="FF"/>
                <w:sz w:val="20"/>
                <w:szCs w:val="20"/>
              </w:rPr>
            </w:pPr>
          </w:p>
          <w:p w:rsidR="711B3643" w:rsidP="711B3643" w:rsidRDefault="711B3643" w14:paraId="5D85EC19" w14:textId="3F2B7191">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“Be kind to yourself when you make mistakes or are corrected or when tasks are not completed. Have fun and learn.” (2023) (2)</w:t>
            </w:r>
          </w:p>
        </w:tc>
        <w:tc>
          <w:tcPr>
            <w:tcW w:w="840" w:type="dxa"/>
            <w:tcBorders>
              <w:right w:val="single" w:sz="6"/>
            </w:tcBorders>
            <w:tcMar>
              <w:left w:w="90" w:type="dxa"/>
              <w:right w:w="90" w:type="dxa"/>
            </w:tcMar>
            <w:vAlign w:val="top"/>
          </w:tcPr>
          <w:p w:rsidR="711B3643" w:rsidP="711B3643" w:rsidRDefault="711B3643" w14:paraId="46DE64BC" w14:textId="7590ED8F">
            <w:pPr>
              <w:rPr>
                <w:rFonts w:ascii="Times New Roman" w:hAnsi="Times New Roman" w:eastAsia="Times New Roman" w:cs="Times New Roman"/>
                <w:b w:val="0"/>
                <w:bCs w:val="0"/>
                <w:i w:val="0"/>
                <w:iCs w:val="0"/>
                <w:sz w:val="20"/>
                <w:szCs w:val="20"/>
              </w:rPr>
            </w:pPr>
          </w:p>
        </w:tc>
      </w:tr>
      <w:tr w:rsidR="711B3643" w:rsidTr="711B3643" w14:paraId="1BFC1BEC">
        <w:trPr>
          <w:trHeight w:val="300"/>
        </w:trPr>
        <w:tc>
          <w:tcPr>
            <w:tcW w:w="705" w:type="dxa"/>
            <w:tcBorders>
              <w:left w:val="single" w:sz="6"/>
            </w:tcBorders>
            <w:tcMar>
              <w:left w:w="90" w:type="dxa"/>
              <w:right w:w="90" w:type="dxa"/>
            </w:tcMar>
            <w:vAlign w:val="top"/>
          </w:tcPr>
          <w:p w:rsidR="711B3643" w:rsidP="711B3643" w:rsidRDefault="711B3643" w14:paraId="159A6EF6" w14:textId="5F1D6C14">
            <w:pPr>
              <w:spacing w:line="279" w:lineRule="auto"/>
              <w:jc w:val="left"/>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1.2</w:t>
            </w:r>
          </w:p>
        </w:tc>
        <w:tc>
          <w:tcPr>
            <w:tcW w:w="1785" w:type="dxa"/>
            <w:tcMar>
              <w:left w:w="90" w:type="dxa"/>
              <w:right w:w="90" w:type="dxa"/>
            </w:tcMar>
            <w:vAlign w:val="top"/>
          </w:tcPr>
          <w:p w:rsidR="711B3643" w:rsidP="711B3643" w:rsidRDefault="711B3643" w14:paraId="742F1C80" w14:textId="344AD8C7">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1"/>
                <w:iCs w:val="1"/>
                <w:strike w:val="0"/>
                <w:dstrike w:val="0"/>
                <w:color w:val="000000" w:themeColor="text1" w:themeTint="FF" w:themeShade="FF"/>
                <w:sz w:val="20"/>
                <w:szCs w:val="20"/>
                <w:u w:val="none"/>
                <w:lang w:val="en-US"/>
              </w:rPr>
              <w:t>Being human to be more present and proximal</w:t>
            </w:r>
          </w:p>
        </w:tc>
        <w:tc>
          <w:tcPr>
            <w:tcW w:w="2655" w:type="dxa"/>
            <w:tcMar>
              <w:left w:w="90" w:type="dxa"/>
              <w:right w:w="90" w:type="dxa"/>
            </w:tcMar>
            <w:vAlign w:val="top"/>
          </w:tcPr>
          <w:p w:rsidR="711B3643" w:rsidP="711B3643" w:rsidRDefault="711B3643" w14:paraId="0B8327FB" w14:textId="2382FB29">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The benefits of “being human” to cultivate a more present, empathetic, and open-minded disposition; includes shaking off formalities associated with position, titles</w:t>
            </w:r>
          </w:p>
        </w:tc>
        <w:tc>
          <w:tcPr>
            <w:tcW w:w="3345" w:type="dxa"/>
            <w:tcMar>
              <w:left w:w="90" w:type="dxa"/>
              <w:right w:w="90" w:type="dxa"/>
            </w:tcMar>
            <w:vAlign w:val="top"/>
          </w:tcPr>
          <w:p w:rsidR="711B3643" w:rsidP="711B3643" w:rsidRDefault="711B3643" w14:paraId="2911D692" w14:textId="7A94041E">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“Don't be afraid to be ‘unprofessional,’ in the sense that hierarchy, formalities, and posturing often only distance us. Let people interact with your most comfortable self; this experience should be reciprocal.” (2024) (2)</w:t>
            </w:r>
          </w:p>
        </w:tc>
        <w:tc>
          <w:tcPr>
            <w:tcW w:w="840" w:type="dxa"/>
            <w:tcBorders>
              <w:right w:val="single" w:sz="6"/>
            </w:tcBorders>
            <w:tcMar>
              <w:left w:w="90" w:type="dxa"/>
              <w:right w:w="90" w:type="dxa"/>
            </w:tcMar>
            <w:vAlign w:val="top"/>
          </w:tcPr>
          <w:p w:rsidR="711B3643" w:rsidP="711B3643" w:rsidRDefault="711B3643" w14:paraId="5584AB7A" w14:textId="659A70A8">
            <w:pPr>
              <w:rPr>
                <w:rFonts w:ascii="Times New Roman" w:hAnsi="Times New Roman" w:eastAsia="Times New Roman" w:cs="Times New Roman"/>
                <w:b w:val="0"/>
                <w:bCs w:val="0"/>
                <w:i w:val="0"/>
                <w:iCs w:val="0"/>
                <w:sz w:val="20"/>
                <w:szCs w:val="20"/>
              </w:rPr>
            </w:pPr>
          </w:p>
        </w:tc>
      </w:tr>
      <w:tr w:rsidR="711B3643" w:rsidTr="711B3643" w14:paraId="1E8EE6FF">
        <w:trPr>
          <w:trHeight w:val="300"/>
        </w:trPr>
        <w:tc>
          <w:tcPr>
            <w:tcW w:w="705" w:type="dxa"/>
            <w:tcBorders>
              <w:left w:val="single" w:sz="6"/>
            </w:tcBorders>
            <w:tcMar>
              <w:left w:w="90" w:type="dxa"/>
              <w:right w:w="90" w:type="dxa"/>
            </w:tcMar>
            <w:vAlign w:val="top"/>
          </w:tcPr>
          <w:p w:rsidR="711B3643" w:rsidP="711B3643" w:rsidRDefault="711B3643" w14:paraId="3063CC4F" w14:textId="104B9DCD">
            <w:pPr>
              <w:spacing w:line="279" w:lineRule="auto"/>
              <w:jc w:val="left"/>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1.3</w:t>
            </w:r>
          </w:p>
        </w:tc>
        <w:tc>
          <w:tcPr>
            <w:tcW w:w="1785" w:type="dxa"/>
            <w:tcMar>
              <w:left w:w="90" w:type="dxa"/>
              <w:right w:w="90" w:type="dxa"/>
            </w:tcMar>
            <w:vAlign w:val="top"/>
          </w:tcPr>
          <w:p w:rsidR="711B3643" w:rsidP="711B3643" w:rsidRDefault="711B3643" w14:paraId="46B9BEB3" w14:textId="0D2ABEB5">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Cultivating humility as a learner</w:t>
            </w:r>
          </w:p>
        </w:tc>
        <w:tc>
          <w:tcPr>
            <w:tcW w:w="2655" w:type="dxa"/>
            <w:tcMar>
              <w:left w:w="90" w:type="dxa"/>
              <w:right w:w="90" w:type="dxa"/>
            </w:tcMar>
            <w:vAlign w:val="top"/>
          </w:tcPr>
          <w:p w:rsidR="711B3643" w:rsidP="711B3643" w:rsidRDefault="711B3643" w14:paraId="67DA4BD2" w14:textId="59897F02">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The importance of listening and recognizing community members’ expertise, while decentering your own, as part of the learning experience</w:t>
            </w:r>
          </w:p>
        </w:tc>
        <w:tc>
          <w:tcPr>
            <w:tcW w:w="3345" w:type="dxa"/>
            <w:tcMar>
              <w:left w:w="90" w:type="dxa"/>
              <w:right w:w="90" w:type="dxa"/>
            </w:tcMar>
            <w:vAlign w:val="top"/>
          </w:tcPr>
          <w:p w:rsidR="711B3643" w:rsidP="711B3643" w:rsidRDefault="711B3643" w14:paraId="14CFA8C3" w14:textId="3E2AE9B1">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“Hopefully, you'll be going in with a willingness to be humble and open-minded, to learn from the community. But take a step forward. Recognize that the tools at your disposal might not be built to learn from the community at all.” (2019) (2)</w:t>
            </w:r>
          </w:p>
        </w:tc>
        <w:tc>
          <w:tcPr>
            <w:tcW w:w="840" w:type="dxa"/>
            <w:tcBorders>
              <w:right w:val="single" w:sz="6"/>
            </w:tcBorders>
            <w:tcMar>
              <w:left w:w="90" w:type="dxa"/>
              <w:right w:w="90" w:type="dxa"/>
            </w:tcMar>
            <w:vAlign w:val="top"/>
          </w:tcPr>
          <w:p w:rsidR="711B3643" w:rsidP="711B3643" w:rsidRDefault="711B3643" w14:paraId="25A1624F" w14:textId="68D17F68">
            <w:pPr>
              <w:spacing w:before="0" w:beforeAutospacing="off" w:after="0" w:afterAutospacing="off" w:line="240" w:lineRule="auto"/>
              <w:ind w:left="0" w:right="0"/>
              <w:jc w:val="left"/>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4.3</w:t>
            </w:r>
          </w:p>
        </w:tc>
      </w:tr>
      <w:tr w:rsidR="711B3643" w:rsidTr="711B3643" w14:paraId="10411D2B">
        <w:trPr>
          <w:trHeight w:val="300"/>
        </w:trPr>
        <w:tc>
          <w:tcPr>
            <w:tcW w:w="705" w:type="dxa"/>
            <w:tcBorders>
              <w:left w:val="single" w:sz="6"/>
            </w:tcBorders>
            <w:tcMar>
              <w:left w:w="90" w:type="dxa"/>
              <w:right w:w="90" w:type="dxa"/>
            </w:tcMar>
            <w:vAlign w:val="top"/>
          </w:tcPr>
          <w:p w:rsidR="711B3643" w:rsidP="711B3643" w:rsidRDefault="711B3643" w14:paraId="5DA96875" w14:textId="6B2953D3">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1.4</w:t>
            </w:r>
          </w:p>
        </w:tc>
        <w:tc>
          <w:tcPr>
            <w:tcW w:w="1785" w:type="dxa"/>
            <w:tcMar>
              <w:left w:w="90" w:type="dxa"/>
              <w:right w:w="90" w:type="dxa"/>
            </w:tcMar>
            <w:vAlign w:val="top"/>
          </w:tcPr>
          <w:p w:rsidR="711B3643" w:rsidP="711B3643" w:rsidRDefault="711B3643" w14:paraId="662D5163" w14:textId="0604BE68">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Centering the process, not the outcome</w:t>
            </w:r>
          </w:p>
        </w:tc>
        <w:tc>
          <w:tcPr>
            <w:tcW w:w="2655" w:type="dxa"/>
            <w:tcMar>
              <w:left w:w="90" w:type="dxa"/>
              <w:right w:w="90" w:type="dxa"/>
            </w:tcMar>
            <w:vAlign w:val="top"/>
          </w:tcPr>
          <w:p w:rsidR="711B3643" w:rsidP="711B3643" w:rsidRDefault="711B3643" w14:paraId="73B2AA1C" w14:textId="39DDF9F1">
            <w:pPr>
              <w:spacing w:before="0" w:beforeAutospacing="off" w:after="0" w:afterAutospacing="off" w:line="240" w:lineRule="auto"/>
              <w:ind w:left="0" w:right="0"/>
              <w:jc w:val="left"/>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Recognizing that service/learning occur throughout the project, not just at the end, and depend on the posture of the learner</w:t>
            </w:r>
          </w:p>
        </w:tc>
        <w:tc>
          <w:tcPr>
            <w:tcW w:w="3345" w:type="dxa"/>
            <w:tcMar>
              <w:left w:w="90" w:type="dxa"/>
              <w:right w:w="90" w:type="dxa"/>
            </w:tcMar>
            <w:vAlign w:val="top"/>
          </w:tcPr>
          <w:p w:rsidR="711B3643" w:rsidP="711B3643" w:rsidRDefault="711B3643" w14:paraId="0888B045" w14:textId="04701029">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I wish I knew that the process is just as (or more) important as the outcome/product.” (2019) (1)</w:t>
            </w:r>
          </w:p>
        </w:tc>
        <w:tc>
          <w:tcPr>
            <w:tcW w:w="840" w:type="dxa"/>
            <w:tcBorders>
              <w:right w:val="single" w:sz="6"/>
            </w:tcBorders>
            <w:tcMar>
              <w:left w:w="90" w:type="dxa"/>
              <w:right w:w="90" w:type="dxa"/>
            </w:tcMar>
            <w:vAlign w:val="top"/>
          </w:tcPr>
          <w:p w:rsidR="711B3643" w:rsidP="711B3643" w:rsidRDefault="711B3643" w14:paraId="691B8607" w14:textId="20770A1C">
            <w:pPr>
              <w:rPr>
                <w:rFonts w:ascii="Times New Roman" w:hAnsi="Times New Roman" w:eastAsia="Times New Roman" w:cs="Times New Roman"/>
                <w:b w:val="0"/>
                <w:bCs w:val="0"/>
                <w:i w:val="0"/>
                <w:iCs w:val="0"/>
                <w:sz w:val="20"/>
                <w:szCs w:val="20"/>
              </w:rPr>
            </w:pPr>
          </w:p>
        </w:tc>
      </w:tr>
      <w:tr w:rsidR="711B3643" w:rsidTr="711B3643" w14:paraId="3EFFCD60">
        <w:trPr>
          <w:trHeight w:val="300"/>
        </w:trPr>
        <w:tc>
          <w:tcPr>
            <w:tcW w:w="705" w:type="dxa"/>
            <w:tcBorders>
              <w:left w:val="single" w:sz="6"/>
            </w:tcBorders>
            <w:tcMar>
              <w:left w:w="90" w:type="dxa"/>
              <w:right w:w="90" w:type="dxa"/>
            </w:tcMar>
            <w:vAlign w:val="top"/>
          </w:tcPr>
          <w:p w:rsidR="711B3643" w:rsidP="711B3643" w:rsidRDefault="711B3643" w14:paraId="513CC055" w14:textId="3EF00353">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1.4.1</w:t>
            </w:r>
          </w:p>
        </w:tc>
        <w:tc>
          <w:tcPr>
            <w:tcW w:w="1785" w:type="dxa"/>
            <w:tcMar>
              <w:left w:w="90" w:type="dxa"/>
              <w:right w:w="90" w:type="dxa"/>
            </w:tcMar>
            <w:vAlign w:val="top"/>
          </w:tcPr>
          <w:p w:rsidR="711B3643" w:rsidP="711B3643" w:rsidRDefault="711B3643" w14:paraId="2BCCFD26" w14:textId="18777DA0">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Diving in / letting go of control</w:t>
            </w:r>
          </w:p>
        </w:tc>
        <w:tc>
          <w:tcPr>
            <w:tcW w:w="2655" w:type="dxa"/>
            <w:tcMar>
              <w:left w:w="90" w:type="dxa"/>
              <w:right w:w="90" w:type="dxa"/>
            </w:tcMar>
            <w:vAlign w:val="top"/>
          </w:tcPr>
          <w:p w:rsidR="711B3643" w:rsidP="711B3643" w:rsidRDefault="711B3643" w14:paraId="0E0D63DC" w14:textId="3EC9C5FD">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Relinquishing a strong sense of control over project expectations; accepting, on a personal level, that it is difficult to ever feel fully “ready” or prepared</w:t>
            </w:r>
          </w:p>
        </w:tc>
        <w:tc>
          <w:tcPr>
            <w:tcW w:w="3345" w:type="dxa"/>
            <w:tcMar>
              <w:left w:w="90" w:type="dxa"/>
              <w:right w:w="90" w:type="dxa"/>
            </w:tcMar>
            <w:vAlign w:val="top"/>
          </w:tcPr>
          <w:p w:rsidR="711B3643" w:rsidP="711B3643" w:rsidRDefault="711B3643" w14:paraId="425D26E7" w14:textId="44D5BBE7">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Meaningful engagement often happens before you feel ready. You don't have to get it perfect - the most important thing is to listen and stay open.” (2023) (1)</w:t>
            </w:r>
          </w:p>
        </w:tc>
        <w:tc>
          <w:tcPr>
            <w:tcW w:w="840" w:type="dxa"/>
            <w:tcBorders>
              <w:right w:val="single" w:sz="6"/>
            </w:tcBorders>
            <w:tcMar>
              <w:left w:w="90" w:type="dxa"/>
              <w:right w:w="90" w:type="dxa"/>
            </w:tcMar>
            <w:vAlign w:val="top"/>
          </w:tcPr>
          <w:p w:rsidR="711B3643" w:rsidP="711B3643" w:rsidRDefault="711B3643" w14:paraId="5879C53E" w14:textId="10370F88">
            <w:pPr>
              <w:spacing w:before="0" w:beforeAutospacing="off" w:after="0" w:afterAutospacing="off" w:line="240" w:lineRule="auto"/>
              <w:ind w:left="0" w:right="0"/>
              <w:jc w:val="left"/>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1.4.2, 3.5</w:t>
            </w:r>
          </w:p>
        </w:tc>
      </w:tr>
      <w:tr w:rsidR="711B3643" w:rsidTr="711B3643" w14:paraId="05B82B57">
        <w:trPr>
          <w:trHeight w:val="300"/>
        </w:trPr>
        <w:tc>
          <w:tcPr>
            <w:tcW w:w="705" w:type="dxa"/>
            <w:tcBorders>
              <w:left w:val="single" w:sz="6"/>
            </w:tcBorders>
            <w:tcMar>
              <w:left w:w="90" w:type="dxa"/>
              <w:right w:w="90" w:type="dxa"/>
            </w:tcMar>
            <w:vAlign w:val="top"/>
          </w:tcPr>
          <w:p w:rsidR="711B3643" w:rsidP="711B3643" w:rsidRDefault="711B3643" w14:paraId="652EB612" w14:textId="10ABDB79">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1.4.2</w:t>
            </w:r>
          </w:p>
        </w:tc>
        <w:tc>
          <w:tcPr>
            <w:tcW w:w="1785" w:type="dxa"/>
            <w:tcMar>
              <w:left w:w="90" w:type="dxa"/>
              <w:right w:w="90" w:type="dxa"/>
            </w:tcMar>
            <w:vAlign w:val="top"/>
          </w:tcPr>
          <w:p w:rsidR="711B3643" w:rsidP="711B3643" w:rsidRDefault="711B3643" w14:paraId="4DB5EC35" w14:textId="36643D20">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Leaning into flexibility and learning in the little things</w:t>
            </w:r>
          </w:p>
        </w:tc>
        <w:tc>
          <w:tcPr>
            <w:tcW w:w="2655" w:type="dxa"/>
            <w:tcMar>
              <w:left w:w="90" w:type="dxa"/>
              <w:right w:w="90" w:type="dxa"/>
            </w:tcMar>
            <w:vAlign w:val="top"/>
          </w:tcPr>
          <w:p w:rsidR="711B3643" w:rsidP="711B3643" w:rsidRDefault="711B3643" w14:paraId="358E640E" w14:textId="785C9660">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Having the flexibility to learn and serve the community in small, unexpected ways, including those outside of initial project goals</w:t>
            </w:r>
          </w:p>
          <w:p w:rsidR="711B3643" w:rsidP="711B3643" w:rsidRDefault="711B3643" w14:paraId="7BC1A5C9" w14:textId="63C0B542">
            <w:pPr>
              <w:rPr>
                <w:rFonts w:ascii="Times New Roman" w:hAnsi="Times New Roman" w:eastAsia="Times New Roman" w:cs="Times New Roman"/>
                <w:b w:val="0"/>
                <w:bCs w:val="0"/>
                <w:i w:val="0"/>
                <w:iCs w:val="0"/>
                <w:sz w:val="20"/>
                <w:szCs w:val="20"/>
              </w:rPr>
            </w:pPr>
          </w:p>
        </w:tc>
        <w:tc>
          <w:tcPr>
            <w:tcW w:w="3345" w:type="dxa"/>
            <w:tcMar>
              <w:left w:w="90" w:type="dxa"/>
              <w:right w:w="90" w:type="dxa"/>
            </w:tcMar>
            <w:vAlign w:val="top"/>
          </w:tcPr>
          <w:p w:rsidR="711B3643" w:rsidP="711B3643" w:rsidRDefault="711B3643" w14:paraId="7726F643" w14:textId="4298BD22">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I wish I knew how important the little things can be in this experience. I quickly learned the importance of observations and small, unexpected conversations.” (2023) (1)</w:t>
            </w:r>
          </w:p>
          <w:p w:rsidR="711B3643" w:rsidP="711B3643" w:rsidRDefault="711B3643" w14:paraId="2171EC1D" w14:textId="4FADBB56">
            <w:pPr>
              <w:rPr>
                <w:rFonts w:ascii="Times New Roman" w:hAnsi="Times New Roman" w:eastAsia="Times New Roman" w:cs="Times New Roman"/>
                <w:b w:val="0"/>
                <w:bCs w:val="0"/>
                <w:i w:val="0"/>
                <w:iCs w:val="0"/>
                <w:color w:val="000000" w:themeColor="text1" w:themeTint="FF" w:themeShade="FF"/>
                <w:sz w:val="20"/>
                <w:szCs w:val="20"/>
              </w:rPr>
            </w:pPr>
          </w:p>
          <w:p w:rsidR="711B3643" w:rsidP="711B3643" w:rsidRDefault="711B3643" w14:paraId="3B0A9079" w14:textId="0ABEC75F">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“Setup your plan but remain flexible as some of the most impactful (according to your agenda) events may happen outside of the plans.” (2023) (2)</w:t>
            </w:r>
          </w:p>
        </w:tc>
        <w:tc>
          <w:tcPr>
            <w:tcW w:w="840" w:type="dxa"/>
            <w:tcBorders>
              <w:right w:val="single" w:sz="6"/>
            </w:tcBorders>
            <w:tcMar>
              <w:left w:w="90" w:type="dxa"/>
              <w:right w:w="90" w:type="dxa"/>
            </w:tcMar>
            <w:vAlign w:val="top"/>
          </w:tcPr>
          <w:p w:rsidR="711B3643" w:rsidP="711B3643" w:rsidRDefault="711B3643" w14:paraId="63574D73" w14:textId="7961DCFC">
            <w:pPr>
              <w:spacing w:before="0" w:beforeAutospacing="off" w:after="0" w:afterAutospacing="off" w:line="240" w:lineRule="auto"/>
              <w:ind w:left="0" w:right="0"/>
              <w:jc w:val="left"/>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3.1</w:t>
            </w:r>
          </w:p>
          <w:p w:rsidR="711B3643" w:rsidP="711B3643" w:rsidRDefault="711B3643" w14:paraId="57F1BA51" w14:textId="675B9C9B">
            <w:pPr>
              <w:rPr>
                <w:rFonts w:ascii="Times New Roman" w:hAnsi="Times New Roman" w:eastAsia="Times New Roman" w:cs="Times New Roman"/>
                <w:b w:val="0"/>
                <w:bCs w:val="0"/>
                <w:i w:val="0"/>
                <w:iCs w:val="0"/>
                <w:sz w:val="20"/>
                <w:szCs w:val="20"/>
              </w:rPr>
            </w:pPr>
          </w:p>
        </w:tc>
      </w:tr>
      <w:tr w:rsidR="711B3643" w:rsidTr="711B3643" w14:paraId="1616265B">
        <w:trPr>
          <w:trHeight w:val="300"/>
        </w:trPr>
        <w:tc>
          <w:tcPr>
            <w:tcW w:w="705" w:type="dxa"/>
            <w:tcBorders>
              <w:left w:val="single" w:sz="6"/>
            </w:tcBorders>
            <w:tcMar>
              <w:left w:w="90" w:type="dxa"/>
              <w:right w:w="90" w:type="dxa"/>
            </w:tcMar>
            <w:vAlign w:val="top"/>
          </w:tcPr>
          <w:p w:rsidR="711B3643" w:rsidP="711B3643" w:rsidRDefault="711B3643" w14:paraId="0956A63C" w14:textId="2AB1FF53">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1.5</w:t>
            </w:r>
          </w:p>
        </w:tc>
        <w:tc>
          <w:tcPr>
            <w:tcW w:w="1785" w:type="dxa"/>
            <w:tcMar>
              <w:left w:w="90" w:type="dxa"/>
              <w:right w:w="90" w:type="dxa"/>
            </w:tcMar>
            <w:vAlign w:val="top"/>
          </w:tcPr>
          <w:p w:rsidR="711B3643" w:rsidP="711B3643" w:rsidRDefault="711B3643" w14:paraId="2D64256B" w14:textId="7F2DCFC1">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Practicing iterative reflection</w:t>
            </w:r>
          </w:p>
        </w:tc>
        <w:tc>
          <w:tcPr>
            <w:tcW w:w="2655" w:type="dxa"/>
            <w:tcMar>
              <w:left w:w="90" w:type="dxa"/>
              <w:right w:w="90" w:type="dxa"/>
            </w:tcMar>
            <w:vAlign w:val="top"/>
          </w:tcPr>
          <w:p w:rsidR="711B3643" w:rsidP="711B3643" w:rsidRDefault="711B3643" w14:paraId="67F891F0" w14:textId="54E51F3C">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 xml:space="preserve">Thoughtfulness through repeated and ongoing reflection and journaling </w:t>
            </w:r>
          </w:p>
          <w:p w:rsidR="711B3643" w:rsidP="711B3643" w:rsidRDefault="711B3643" w14:paraId="3BAFBBF5" w14:textId="178FC93B">
            <w:pPr>
              <w:rPr>
                <w:rFonts w:ascii="Times New Roman" w:hAnsi="Times New Roman" w:eastAsia="Times New Roman" w:cs="Times New Roman"/>
                <w:b w:val="0"/>
                <w:bCs w:val="0"/>
                <w:i w:val="0"/>
                <w:iCs w:val="0"/>
                <w:color w:val="000000" w:themeColor="text1" w:themeTint="FF" w:themeShade="FF"/>
                <w:sz w:val="20"/>
                <w:szCs w:val="20"/>
              </w:rPr>
            </w:pPr>
          </w:p>
        </w:tc>
        <w:tc>
          <w:tcPr>
            <w:tcW w:w="3345" w:type="dxa"/>
            <w:tcMar>
              <w:left w:w="90" w:type="dxa"/>
              <w:right w:w="90" w:type="dxa"/>
            </w:tcMar>
            <w:vAlign w:val="top"/>
          </w:tcPr>
          <w:p w:rsidR="711B3643" w:rsidP="711B3643" w:rsidRDefault="711B3643" w14:paraId="29680E6E" w14:textId="64392EBE">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“Bring a journal and write about your experiences. Talk to people (everyone) that you encounter and really immerse yourself in the community.” (2023) (2)</w:t>
            </w:r>
          </w:p>
        </w:tc>
        <w:tc>
          <w:tcPr>
            <w:tcW w:w="840" w:type="dxa"/>
            <w:tcBorders>
              <w:right w:val="single" w:sz="6"/>
            </w:tcBorders>
            <w:tcMar>
              <w:left w:w="90" w:type="dxa"/>
              <w:right w:w="90" w:type="dxa"/>
            </w:tcMar>
            <w:vAlign w:val="top"/>
          </w:tcPr>
          <w:p w:rsidR="711B3643" w:rsidP="711B3643" w:rsidRDefault="711B3643" w14:paraId="440B8044" w14:textId="690346F1">
            <w:pPr>
              <w:spacing w:before="0" w:beforeAutospacing="off" w:after="0" w:afterAutospacing="off" w:line="240" w:lineRule="auto"/>
              <w:ind w:left="0" w:right="0"/>
              <w:jc w:val="left"/>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4.3</w:t>
            </w:r>
          </w:p>
        </w:tc>
      </w:tr>
      <w:tr w:rsidR="711B3643" w:rsidTr="711B3643" w14:paraId="1D65A61E">
        <w:trPr>
          <w:trHeight w:val="300"/>
        </w:trPr>
        <w:tc>
          <w:tcPr>
            <w:tcW w:w="705" w:type="dxa"/>
            <w:tcBorders>
              <w:left w:val="single" w:sz="6"/>
            </w:tcBorders>
            <w:tcMar>
              <w:left w:w="90" w:type="dxa"/>
              <w:right w:w="90" w:type="dxa"/>
            </w:tcMar>
            <w:vAlign w:val="top"/>
          </w:tcPr>
          <w:p w:rsidR="711B3643" w:rsidP="711B3643" w:rsidRDefault="711B3643" w14:paraId="5A13ABC0" w14:textId="7E3FB6BA">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1"/>
                <w:bCs w:val="1"/>
                <w:i w:val="0"/>
                <w:iCs w:val="0"/>
                <w:sz w:val="20"/>
                <w:szCs w:val="20"/>
                <w:lang w:val="en-US"/>
              </w:rPr>
              <w:t>2</w:t>
            </w:r>
          </w:p>
        </w:tc>
        <w:tc>
          <w:tcPr>
            <w:tcW w:w="1785" w:type="dxa"/>
            <w:tcMar>
              <w:left w:w="90" w:type="dxa"/>
              <w:right w:w="90" w:type="dxa"/>
            </w:tcMar>
            <w:vAlign w:val="top"/>
          </w:tcPr>
          <w:p w:rsidR="711B3643" w:rsidP="711B3643" w:rsidRDefault="711B3643" w14:paraId="23C5F5FD" w14:textId="14130E73">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1"/>
                <w:bCs w:val="1"/>
                <w:i w:val="0"/>
                <w:iCs w:val="0"/>
                <w:strike w:val="0"/>
                <w:dstrike w:val="0"/>
                <w:color w:val="000000" w:themeColor="text1" w:themeTint="FF" w:themeShade="FF"/>
                <w:sz w:val="20"/>
                <w:szCs w:val="20"/>
                <w:u w:val="none"/>
                <w:lang w:val="en-US"/>
              </w:rPr>
              <w:t>Place-based field considerations</w:t>
            </w:r>
          </w:p>
        </w:tc>
        <w:tc>
          <w:tcPr>
            <w:tcW w:w="2655" w:type="dxa"/>
            <w:tcMar>
              <w:left w:w="90" w:type="dxa"/>
              <w:right w:w="90" w:type="dxa"/>
            </w:tcMar>
            <w:vAlign w:val="top"/>
          </w:tcPr>
          <w:p w:rsidR="711B3643" w:rsidP="711B3643" w:rsidRDefault="711B3643" w14:paraId="1746A680" w14:textId="20E687ED">
            <w:pPr>
              <w:rPr>
                <w:rFonts w:ascii="Times New Roman" w:hAnsi="Times New Roman" w:eastAsia="Times New Roman" w:cs="Times New Roman"/>
                <w:b w:val="0"/>
                <w:bCs w:val="0"/>
                <w:i w:val="0"/>
                <w:iCs w:val="0"/>
                <w:sz w:val="20"/>
                <w:szCs w:val="20"/>
              </w:rPr>
            </w:pPr>
          </w:p>
        </w:tc>
        <w:tc>
          <w:tcPr>
            <w:tcW w:w="3345" w:type="dxa"/>
            <w:tcMar>
              <w:left w:w="90" w:type="dxa"/>
              <w:right w:w="90" w:type="dxa"/>
            </w:tcMar>
            <w:vAlign w:val="top"/>
          </w:tcPr>
          <w:p w:rsidR="711B3643" w:rsidP="711B3643" w:rsidRDefault="711B3643" w14:paraId="27F07105" w14:textId="24EA4437">
            <w:pPr>
              <w:rPr>
                <w:rFonts w:ascii="Times New Roman" w:hAnsi="Times New Roman" w:eastAsia="Times New Roman" w:cs="Times New Roman"/>
                <w:b w:val="0"/>
                <w:bCs w:val="0"/>
                <w:i w:val="0"/>
                <w:iCs w:val="0"/>
                <w:sz w:val="20"/>
                <w:szCs w:val="20"/>
              </w:rPr>
            </w:pPr>
          </w:p>
        </w:tc>
        <w:tc>
          <w:tcPr>
            <w:tcW w:w="840" w:type="dxa"/>
            <w:tcBorders>
              <w:right w:val="single" w:sz="6"/>
            </w:tcBorders>
            <w:tcMar>
              <w:left w:w="90" w:type="dxa"/>
              <w:right w:w="90" w:type="dxa"/>
            </w:tcMar>
            <w:vAlign w:val="top"/>
          </w:tcPr>
          <w:p w:rsidR="711B3643" w:rsidP="711B3643" w:rsidRDefault="711B3643" w14:paraId="7D1AAC0D" w14:textId="58C5553F">
            <w:pPr>
              <w:rPr>
                <w:rFonts w:ascii="Times New Roman" w:hAnsi="Times New Roman" w:eastAsia="Times New Roman" w:cs="Times New Roman"/>
                <w:b w:val="0"/>
                <w:bCs w:val="0"/>
                <w:i w:val="0"/>
                <w:iCs w:val="0"/>
                <w:sz w:val="20"/>
                <w:szCs w:val="20"/>
              </w:rPr>
            </w:pPr>
          </w:p>
        </w:tc>
      </w:tr>
      <w:tr w:rsidR="711B3643" w:rsidTr="711B3643" w14:paraId="2561B05C">
        <w:trPr>
          <w:trHeight w:val="300"/>
        </w:trPr>
        <w:tc>
          <w:tcPr>
            <w:tcW w:w="705" w:type="dxa"/>
            <w:tcBorders>
              <w:left w:val="single" w:sz="6"/>
            </w:tcBorders>
            <w:tcMar>
              <w:left w:w="90" w:type="dxa"/>
              <w:right w:w="90" w:type="dxa"/>
            </w:tcMar>
            <w:vAlign w:val="top"/>
          </w:tcPr>
          <w:p w:rsidR="711B3643" w:rsidP="711B3643" w:rsidRDefault="711B3643" w14:paraId="0A1DD729" w14:textId="2D99A41F">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2.1</w:t>
            </w:r>
          </w:p>
        </w:tc>
        <w:tc>
          <w:tcPr>
            <w:tcW w:w="1785" w:type="dxa"/>
            <w:tcMar>
              <w:left w:w="90" w:type="dxa"/>
              <w:right w:w="90" w:type="dxa"/>
            </w:tcMar>
            <w:vAlign w:val="top"/>
          </w:tcPr>
          <w:p w:rsidR="711B3643" w:rsidP="711B3643" w:rsidRDefault="711B3643" w14:paraId="10C0629F" w14:textId="5C0FE622">
            <w:pPr>
              <w:spacing w:before="0" w:beforeAutospacing="off" w:after="0" w:afterAutospacing="off" w:line="279" w:lineRule="auto"/>
              <w:ind w:left="0" w:right="0"/>
              <w:jc w:val="left"/>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1"/>
                <w:iCs w:val="1"/>
                <w:strike w:val="0"/>
                <w:dstrike w:val="0"/>
                <w:color w:val="000000" w:themeColor="text1" w:themeTint="FF" w:themeShade="FF"/>
                <w:sz w:val="20"/>
                <w:szCs w:val="20"/>
                <w:u w:val="none"/>
                <w:lang w:val="en-US"/>
              </w:rPr>
              <w:t>Immersing yourself in the context and culture</w:t>
            </w:r>
          </w:p>
        </w:tc>
        <w:tc>
          <w:tcPr>
            <w:tcW w:w="2655" w:type="dxa"/>
            <w:tcMar>
              <w:left w:w="90" w:type="dxa"/>
              <w:right w:w="90" w:type="dxa"/>
            </w:tcMar>
            <w:vAlign w:val="top"/>
          </w:tcPr>
          <w:p w:rsidR="711B3643" w:rsidP="711B3643" w:rsidRDefault="711B3643" w14:paraId="663AAD85" w14:textId="4C6182E4">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 xml:space="preserve">Cultural immersion as a part of authentic community engagement </w:t>
            </w:r>
          </w:p>
        </w:tc>
        <w:tc>
          <w:tcPr>
            <w:tcW w:w="3345" w:type="dxa"/>
            <w:tcMar>
              <w:left w:w="90" w:type="dxa"/>
              <w:right w:w="90" w:type="dxa"/>
            </w:tcMar>
            <w:vAlign w:val="top"/>
          </w:tcPr>
          <w:p w:rsidR="711B3643" w:rsidP="711B3643" w:rsidRDefault="711B3643" w14:paraId="3C06AAF2" w14:textId="2B2EB4D1">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sz w:val="20"/>
                <w:szCs w:val="20"/>
                <w:u w:val="none"/>
                <w:lang w:val="en-US"/>
              </w:rPr>
              <w:t xml:space="preserve">“Engage not just with [...] the organization in a formal capacity. Be present more broadly, if they value church, go to church! If they value the outdoors, go hiking! If they value certain food, enjoy with them! Engage as a peer as much as you are accepted this will enrich your understanding and experience and impact.” (2024) </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(2)</w:t>
            </w:r>
          </w:p>
        </w:tc>
        <w:tc>
          <w:tcPr>
            <w:tcW w:w="840" w:type="dxa"/>
            <w:tcBorders>
              <w:right w:val="single" w:sz="6"/>
            </w:tcBorders>
            <w:tcMar>
              <w:left w:w="90" w:type="dxa"/>
              <w:right w:w="90" w:type="dxa"/>
            </w:tcMar>
            <w:vAlign w:val="top"/>
          </w:tcPr>
          <w:p w:rsidR="711B3643" w:rsidP="711B3643" w:rsidRDefault="711B3643" w14:paraId="7A38B022" w14:textId="574A6A48">
            <w:pPr>
              <w:rPr>
                <w:rFonts w:ascii="Times New Roman" w:hAnsi="Times New Roman" w:eastAsia="Times New Roman" w:cs="Times New Roman"/>
                <w:b w:val="0"/>
                <w:bCs w:val="0"/>
                <w:i w:val="0"/>
                <w:iCs w:val="0"/>
                <w:sz w:val="20"/>
                <w:szCs w:val="20"/>
              </w:rPr>
            </w:pPr>
          </w:p>
        </w:tc>
      </w:tr>
      <w:tr w:rsidR="711B3643" w:rsidTr="711B3643" w14:paraId="7667799C">
        <w:trPr>
          <w:trHeight w:val="300"/>
        </w:trPr>
        <w:tc>
          <w:tcPr>
            <w:tcW w:w="705" w:type="dxa"/>
            <w:tcBorders>
              <w:left w:val="single" w:sz="6"/>
            </w:tcBorders>
            <w:tcMar>
              <w:left w:w="90" w:type="dxa"/>
              <w:right w:w="90" w:type="dxa"/>
            </w:tcMar>
            <w:vAlign w:val="top"/>
          </w:tcPr>
          <w:p w:rsidR="711B3643" w:rsidP="711B3643" w:rsidRDefault="711B3643" w14:paraId="16F6FC6A" w14:textId="19367869">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2.2</w:t>
            </w:r>
          </w:p>
        </w:tc>
        <w:tc>
          <w:tcPr>
            <w:tcW w:w="1785" w:type="dxa"/>
            <w:tcMar>
              <w:left w:w="90" w:type="dxa"/>
              <w:right w:w="90" w:type="dxa"/>
            </w:tcMar>
            <w:vAlign w:val="top"/>
          </w:tcPr>
          <w:p w:rsidR="711B3643" w:rsidP="711B3643" w:rsidRDefault="711B3643" w14:paraId="39D614E7" w14:textId="0C608055">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Preparing for logistical challenges and language barriers</w:t>
            </w:r>
          </w:p>
        </w:tc>
        <w:tc>
          <w:tcPr>
            <w:tcW w:w="2655" w:type="dxa"/>
            <w:tcMar>
              <w:left w:w="90" w:type="dxa"/>
              <w:right w:w="90" w:type="dxa"/>
            </w:tcMar>
            <w:vAlign w:val="top"/>
          </w:tcPr>
          <w:p w:rsidR="711B3643" w:rsidP="711B3643" w:rsidRDefault="711B3643" w14:paraId="38A36C5E" w14:textId="5BF4D78D">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Anticipating and learning from challenges in travel, lodging, language, resource availability, and other logistics</w:t>
            </w:r>
          </w:p>
        </w:tc>
        <w:tc>
          <w:tcPr>
            <w:tcW w:w="3345" w:type="dxa"/>
            <w:tcMar>
              <w:left w:w="90" w:type="dxa"/>
              <w:right w:w="90" w:type="dxa"/>
            </w:tcMar>
            <w:vAlign w:val="top"/>
          </w:tcPr>
          <w:p w:rsidR="711B3643" w:rsidP="711B3643" w:rsidRDefault="711B3643" w14:paraId="1A60D9F9" w14:textId="72E4F6CD">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Language can be a real barrier that can impact how you connect with the community and so putting the right measures in place [...] is essential.” (2023) (1)</w:t>
            </w:r>
          </w:p>
          <w:p w:rsidR="711B3643" w:rsidP="711B3643" w:rsidRDefault="711B3643" w14:paraId="77197A90" w14:textId="75A41E9A">
            <w:pPr>
              <w:rPr>
                <w:rFonts w:ascii="Times New Roman" w:hAnsi="Times New Roman" w:eastAsia="Times New Roman" w:cs="Times New Roman"/>
                <w:b w:val="0"/>
                <w:bCs w:val="0"/>
                <w:i w:val="0"/>
                <w:iCs w:val="0"/>
                <w:color w:val="000000" w:themeColor="text1" w:themeTint="FF" w:themeShade="FF"/>
                <w:sz w:val="20"/>
                <w:szCs w:val="20"/>
              </w:rPr>
            </w:pPr>
          </w:p>
          <w:p w:rsidR="711B3643" w:rsidP="711B3643" w:rsidRDefault="711B3643" w14:paraId="630B4481" w14:textId="140B7817">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I wish I had been more prepared for and aware of the logistical challenges of traveling around the context I was working in. That said, these challenges contributed to a broader lesson and takeaway of my time in the field!” (2023) (1)</w:t>
            </w:r>
          </w:p>
        </w:tc>
        <w:tc>
          <w:tcPr>
            <w:tcW w:w="840" w:type="dxa"/>
            <w:tcBorders>
              <w:right w:val="single" w:sz="6"/>
            </w:tcBorders>
            <w:tcMar>
              <w:left w:w="90" w:type="dxa"/>
              <w:right w:w="90" w:type="dxa"/>
            </w:tcMar>
            <w:vAlign w:val="top"/>
          </w:tcPr>
          <w:p w:rsidR="711B3643" w:rsidP="711B3643" w:rsidRDefault="711B3643" w14:paraId="28BD20A6" w14:textId="66DB04C8">
            <w:pPr>
              <w:rPr>
                <w:rFonts w:ascii="Times New Roman" w:hAnsi="Times New Roman" w:eastAsia="Times New Roman" w:cs="Times New Roman"/>
                <w:b w:val="0"/>
                <w:bCs w:val="0"/>
                <w:i w:val="0"/>
                <w:iCs w:val="0"/>
                <w:sz w:val="20"/>
                <w:szCs w:val="20"/>
              </w:rPr>
            </w:pPr>
          </w:p>
        </w:tc>
      </w:tr>
      <w:tr w:rsidR="711B3643" w:rsidTr="711B3643" w14:paraId="1D715E9D">
        <w:trPr>
          <w:trHeight w:val="300"/>
        </w:trPr>
        <w:tc>
          <w:tcPr>
            <w:tcW w:w="705" w:type="dxa"/>
            <w:tcBorders>
              <w:left w:val="single" w:sz="6"/>
            </w:tcBorders>
            <w:tcMar>
              <w:left w:w="90" w:type="dxa"/>
              <w:right w:w="90" w:type="dxa"/>
            </w:tcMar>
            <w:vAlign w:val="top"/>
          </w:tcPr>
          <w:p w:rsidR="711B3643" w:rsidP="711B3643" w:rsidRDefault="711B3643" w14:paraId="174735B9" w14:textId="476437FF">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1"/>
                <w:bCs w:val="1"/>
                <w:i w:val="0"/>
                <w:iCs w:val="0"/>
                <w:sz w:val="20"/>
                <w:szCs w:val="20"/>
                <w:lang w:val="en-US"/>
              </w:rPr>
              <w:t>3</w:t>
            </w:r>
          </w:p>
        </w:tc>
        <w:tc>
          <w:tcPr>
            <w:tcW w:w="1785" w:type="dxa"/>
            <w:tcMar>
              <w:left w:w="90" w:type="dxa"/>
              <w:right w:w="90" w:type="dxa"/>
            </w:tcMar>
            <w:vAlign w:val="top"/>
          </w:tcPr>
          <w:p w:rsidR="711B3643" w:rsidP="711B3643" w:rsidRDefault="711B3643" w14:paraId="6FE53135" w14:textId="4135A162">
            <w:pPr>
              <w:spacing w:before="0" w:beforeAutospacing="off" w:after="0" w:afterAutospacing="off" w:line="279" w:lineRule="auto"/>
              <w:ind w:left="0" w:right="0"/>
              <w:jc w:val="left"/>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1"/>
                <w:bCs w:val="1"/>
                <w:i w:val="0"/>
                <w:iCs w:val="0"/>
                <w:strike w:val="0"/>
                <w:dstrike w:val="0"/>
                <w:color w:val="000000" w:themeColor="text1" w:themeTint="FF" w:themeShade="FF"/>
                <w:sz w:val="20"/>
                <w:szCs w:val="20"/>
                <w:u w:val="none"/>
                <w:lang w:val="en-US"/>
              </w:rPr>
              <w:t>Community partnership and relationships</w:t>
            </w:r>
          </w:p>
        </w:tc>
        <w:tc>
          <w:tcPr>
            <w:tcW w:w="2655" w:type="dxa"/>
            <w:tcMar>
              <w:left w:w="90" w:type="dxa"/>
              <w:right w:w="90" w:type="dxa"/>
            </w:tcMar>
            <w:vAlign w:val="top"/>
          </w:tcPr>
          <w:p w:rsidR="711B3643" w:rsidP="711B3643" w:rsidRDefault="711B3643" w14:paraId="5BEC5CA0" w14:textId="7795AA32">
            <w:pPr>
              <w:rPr>
                <w:rFonts w:ascii="Times New Roman" w:hAnsi="Times New Roman" w:eastAsia="Times New Roman" w:cs="Times New Roman"/>
                <w:b w:val="0"/>
                <w:bCs w:val="0"/>
                <w:i w:val="0"/>
                <w:iCs w:val="0"/>
                <w:sz w:val="20"/>
                <w:szCs w:val="20"/>
              </w:rPr>
            </w:pPr>
          </w:p>
        </w:tc>
        <w:tc>
          <w:tcPr>
            <w:tcW w:w="3345" w:type="dxa"/>
            <w:tcMar>
              <w:left w:w="90" w:type="dxa"/>
              <w:right w:w="90" w:type="dxa"/>
            </w:tcMar>
            <w:vAlign w:val="top"/>
          </w:tcPr>
          <w:p w:rsidR="711B3643" w:rsidP="711B3643" w:rsidRDefault="711B3643" w14:paraId="74C7B617" w14:textId="10E17A57">
            <w:pPr>
              <w:rPr>
                <w:rFonts w:ascii="Times New Roman" w:hAnsi="Times New Roman" w:eastAsia="Times New Roman" w:cs="Times New Roman"/>
                <w:b w:val="0"/>
                <w:bCs w:val="0"/>
                <w:i w:val="0"/>
                <w:iCs w:val="0"/>
                <w:sz w:val="20"/>
                <w:szCs w:val="20"/>
              </w:rPr>
            </w:pPr>
          </w:p>
        </w:tc>
        <w:tc>
          <w:tcPr>
            <w:tcW w:w="840" w:type="dxa"/>
            <w:tcBorders>
              <w:right w:val="single" w:sz="6"/>
            </w:tcBorders>
            <w:tcMar>
              <w:left w:w="90" w:type="dxa"/>
              <w:right w:w="90" w:type="dxa"/>
            </w:tcMar>
            <w:vAlign w:val="top"/>
          </w:tcPr>
          <w:p w:rsidR="711B3643" w:rsidP="711B3643" w:rsidRDefault="711B3643" w14:paraId="3CF8102D" w14:textId="08282755">
            <w:pPr>
              <w:rPr>
                <w:rFonts w:ascii="Times New Roman" w:hAnsi="Times New Roman" w:eastAsia="Times New Roman" w:cs="Times New Roman"/>
                <w:b w:val="0"/>
                <w:bCs w:val="0"/>
                <w:i w:val="0"/>
                <w:iCs w:val="0"/>
                <w:sz w:val="20"/>
                <w:szCs w:val="20"/>
              </w:rPr>
            </w:pPr>
          </w:p>
        </w:tc>
      </w:tr>
      <w:tr w:rsidR="711B3643" w:rsidTr="711B3643" w14:paraId="41119754">
        <w:trPr>
          <w:trHeight w:val="300"/>
        </w:trPr>
        <w:tc>
          <w:tcPr>
            <w:tcW w:w="705" w:type="dxa"/>
            <w:tcBorders>
              <w:left w:val="single" w:sz="6"/>
            </w:tcBorders>
            <w:tcMar>
              <w:left w:w="90" w:type="dxa"/>
              <w:right w:w="90" w:type="dxa"/>
            </w:tcMar>
            <w:vAlign w:val="top"/>
          </w:tcPr>
          <w:p w:rsidR="711B3643" w:rsidP="711B3643" w:rsidRDefault="711B3643" w14:paraId="3B7256C9" w14:textId="7D53D086">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3.1</w:t>
            </w:r>
          </w:p>
        </w:tc>
        <w:tc>
          <w:tcPr>
            <w:tcW w:w="1785" w:type="dxa"/>
            <w:tcMar>
              <w:left w:w="90" w:type="dxa"/>
              <w:right w:w="90" w:type="dxa"/>
            </w:tcMar>
            <w:vAlign w:val="top"/>
          </w:tcPr>
          <w:p w:rsidR="711B3643" w:rsidP="711B3643" w:rsidRDefault="711B3643" w14:paraId="10FDE091" w14:textId="6FB7D4A7">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1"/>
                <w:iCs w:val="1"/>
                <w:strike w:val="0"/>
                <w:dstrike w:val="0"/>
                <w:color w:val="000000" w:themeColor="text1" w:themeTint="FF" w:themeShade="FF"/>
                <w:sz w:val="20"/>
                <w:szCs w:val="20"/>
                <w:u w:val="none"/>
                <w:lang w:val="en-US"/>
              </w:rPr>
              <w:t>Listening to community members and getting diverse perspectives</w:t>
            </w:r>
          </w:p>
        </w:tc>
        <w:tc>
          <w:tcPr>
            <w:tcW w:w="2655" w:type="dxa"/>
            <w:tcMar>
              <w:left w:w="90" w:type="dxa"/>
              <w:right w:w="90" w:type="dxa"/>
            </w:tcMar>
            <w:vAlign w:val="top"/>
          </w:tcPr>
          <w:p w:rsidR="711B3643" w:rsidP="711B3643" w:rsidRDefault="711B3643" w14:paraId="1546D5FF" w14:textId="2CE49856">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The act of listening (and getting as many perspectives as possible) as central to community engagement, problem-solving, and relationship building</w:t>
            </w:r>
          </w:p>
        </w:tc>
        <w:tc>
          <w:tcPr>
            <w:tcW w:w="3345" w:type="dxa"/>
            <w:tcMar>
              <w:left w:w="90" w:type="dxa"/>
              <w:right w:w="90" w:type="dxa"/>
            </w:tcMar>
            <w:vAlign w:val="top"/>
          </w:tcPr>
          <w:p w:rsidR="711B3643" w:rsidP="711B3643" w:rsidRDefault="711B3643" w14:paraId="4D8F3522" w14:textId="3B8553A2">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“Listen, listen, listen to anyone and everyone. Make an effort to learn more than you feel you might need to teach. Stay curious. People will surprise and inspire you if you let them.” (2024) (2)</w:t>
            </w:r>
          </w:p>
          <w:p w:rsidR="711B3643" w:rsidP="711B3643" w:rsidRDefault="711B3643" w14:paraId="570E50BC" w14:textId="6FB8DBB3">
            <w:pPr>
              <w:rPr>
                <w:rFonts w:ascii="Times New Roman" w:hAnsi="Times New Roman" w:eastAsia="Times New Roman" w:cs="Times New Roman"/>
                <w:b w:val="0"/>
                <w:bCs w:val="0"/>
                <w:i w:val="0"/>
                <w:iCs w:val="0"/>
                <w:color w:val="000000" w:themeColor="text1" w:themeTint="FF" w:themeShade="FF"/>
                <w:sz w:val="20"/>
                <w:szCs w:val="20"/>
              </w:rPr>
            </w:pPr>
          </w:p>
          <w:p w:rsidR="711B3643" w:rsidP="711B3643" w:rsidRDefault="711B3643" w14:paraId="2DF83D4E" w14:textId="39C66167">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“Don't limit the amount of people you can learn from.” (2022) (2)</w:t>
            </w:r>
          </w:p>
        </w:tc>
        <w:tc>
          <w:tcPr>
            <w:tcW w:w="840" w:type="dxa"/>
            <w:tcBorders>
              <w:right w:val="single" w:sz="6"/>
            </w:tcBorders>
            <w:tcMar>
              <w:left w:w="90" w:type="dxa"/>
              <w:right w:w="90" w:type="dxa"/>
            </w:tcMar>
            <w:vAlign w:val="top"/>
          </w:tcPr>
          <w:p w:rsidR="711B3643" w:rsidP="711B3643" w:rsidRDefault="711B3643" w14:paraId="4630FD7F" w14:textId="787319C3">
            <w:pPr>
              <w:spacing w:before="0" w:beforeAutospacing="off" w:after="0" w:afterAutospacing="off" w:line="240" w:lineRule="auto"/>
              <w:ind w:left="0" w:right="0"/>
              <w:jc w:val="left"/>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1.4.2, 3.3, 3.4</w:t>
            </w:r>
          </w:p>
          <w:p w:rsidR="711B3643" w:rsidP="711B3643" w:rsidRDefault="711B3643" w14:paraId="54AB7ACA" w14:textId="231E5A5B">
            <w:pPr>
              <w:rPr>
                <w:rFonts w:ascii="Times New Roman" w:hAnsi="Times New Roman" w:eastAsia="Times New Roman" w:cs="Times New Roman"/>
                <w:b w:val="0"/>
                <w:bCs w:val="0"/>
                <w:i w:val="0"/>
                <w:iCs w:val="0"/>
                <w:sz w:val="20"/>
                <w:szCs w:val="20"/>
              </w:rPr>
            </w:pPr>
          </w:p>
        </w:tc>
      </w:tr>
      <w:tr w:rsidR="711B3643" w:rsidTr="711B3643" w14:paraId="4AFCD42D">
        <w:trPr>
          <w:trHeight w:val="300"/>
        </w:trPr>
        <w:tc>
          <w:tcPr>
            <w:tcW w:w="705" w:type="dxa"/>
            <w:tcBorders>
              <w:left w:val="single" w:sz="6"/>
            </w:tcBorders>
            <w:tcMar>
              <w:left w:w="90" w:type="dxa"/>
              <w:right w:w="90" w:type="dxa"/>
            </w:tcMar>
            <w:vAlign w:val="top"/>
          </w:tcPr>
          <w:p w:rsidR="711B3643" w:rsidP="711B3643" w:rsidRDefault="711B3643" w14:paraId="5386B9B6" w14:textId="366A1ACD">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3.2</w:t>
            </w:r>
          </w:p>
        </w:tc>
        <w:tc>
          <w:tcPr>
            <w:tcW w:w="1785" w:type="dxa"/>
            <w:tcMar>
              <w:left w:w="90" w:type="dxa"/>
              <w:right w:w="90" w:type="dxa"/>
            </w:tcMar>
            <w:vAlign w:val="top"/>
          </w:tcPr>
          <w:p w:rsidR="711B3643" w:rsidP="711B3643" w:rsidRDefault="711B3643" w14:paraId="3E2A00C4" w14:textId="2DE52593">
            <w:pPr>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1"/>
                <w:iCs w:val="1"/>
                <w:strike w:val="0"/>
                <w:dstrike w:val="0"/>
                <w:color w:val="000000" w:themeColor="text1" w:themeTint="FF" w:themeShade="FF"/>
                <w:sz w:val="20"/>
                <w:szCs w:val="20"/>
                <w:u w:val="none"/>
                <w:lang w:val="en-US"/>
              </w:rPr>
              <w:t>Prioritizing relationships</w:t>
            </w:r>
          </w:p>
        </w:tc>
        <w:tc>
          <w:tcPr>
            <w:tcW w:w="2655" w:type="dxa"/>
            <w:tcMar>
              <w:left w:w="90" w:type="dxa"/>
              <w:right w:w="90" w:type="dxa"/>
            </w:tcMar>
            <w:vAlign w:val="top"/>
          </w:tcPr>
          <w:p w:rsidR="711B3643" w:rsidP="711B3643" w:rsidRDefault="711B3643" w14:paraId="06EB95FF" w14:textId="68BC7CAF">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Centering relationships as among the most valuable aspects of the project/partnership</w:t>
            </w:r>
          </w:p>
        </w:tc>
        <w:tc>
          <w:tcPr>
            <w:tcW w:w="3345" w:type="dxa"/>
            <w:tcMar>
              <w:left w:w="90" w:type="dxa"/>
              <w:right w:w="90" w:type="dxa"/>
            </w:tcMar>
            <w:vAlign w:val="top"/>
          </w:tcPr>
          <w:p w:rsidR="711B3643" w:rsidP="711B3643" w:rsidRDefault="711B3643" w14:paraId="7C6B7A95" w14:textId="54B6668A">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Make sure to have a supportive team with you. They will serve you well in tough times.” (2023) (1)</w:t>
            </w:r>
          </w:p>
          <w:p w:rsidR="711B3643" w:rsidP="711B3643" w:rsidRDefault="711B3643" w14:paraId="5D8DD45E" w14:textId="07FC4C07">
            <w:pPr>
              <w:rPr>
                <w:rFonts w:ascii="Times New Roman" w:hAnsi="Times New Roman" w:eastAsia="Times New Roman" w:cs="Times New Roman"/>
                <w:b w:val="0"/>
                <w:bCs w:val="0"/>
                <w:i w:val="0"/>
                <w:iCs w:val="0"/>
                <w:color w:val="000000" w:themeColor="text1" w:themeTint="FF" w:themeShade="FF"/>
                <w:sz w:val="20"/>
                <w:szCs w:val="20"/>
              </w:rPr>
            </w:pPr>
          </w:p>
          <w:p w:rsidR="711B3643" w:rsidP="711B3643" w:rsidRDefault="711B3643" w14:paraId="7435F70F" w14:textId="28CED03F">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“Connection is the most valuable piece you can take away and an important piece to leave, so be present.” (2022) (2)</w:t>
            </w:r>
          </w:p>
        </w:tc>
        <w:tc>
          <w:tcPr>
            <w:tcW w:w="840" w:type="dxa"/>
            <w:tcBorders>
              <w:right w:val="single" w:sz="6"/>
            </w:tcBorders>
            <w:tcMar>
              <w:left w:w="90" w:type="dxa"/>
              <w:right w:w="90" w:type="dxa"/>
            </w:tcMar>
            <w:vAlign w:val="top"/>
          </w:tcPr>
          <w:p w:rsidR="711B3643" w:rsidP="711B3643" w:rsidRDefault="711B3643" w14:paraId="5A702781" w14:textId="5F9DF439">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3.5.2, 3.3</w:t>
            </w:r>
          </w:p>
        </w:tc>
      </w:tr>
      <w:tr w:rsidR="711B3643" w:rsidTr="711B3643" w14:paraId="2C07AD50">
        <w:trPr>
          <w:trHeight w:val="300"/>
        </w:trPr>
        <w:tc>
          <w:tcPr>
            <w:tcW w:w="705" w:type="dxa"/>
            <w:tcBorders>
              <w:left w:val="single" w:sz="6"/>
            </w:tcBorders>
            <w:tcMar>
              <w:left w:w="90" w:type="dxa"/>
              <w:right w:w="90" w:type="dxa"/>
            </w:tcMar>
            <w:vAlign w:val="top"/>
          </w:tcPr>
          <w:p w:rsidR="711B3643" w:rsidP="711B3643" w:rsidRDefault="711B3643" w14:paraId="4B86FA16" w14:textId="2FC4E9B1">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3.3</w:t>
            </w:r>
          </w:p>
        </w:tc>
        <w:tc>
          <w:tcPr>
            <w:tcW w:w="1785" w:type="dxa"/>
            <w:tcMar>
              <w:left w:w="90" w:type="dxa"/>
              <w:right w:w="90" w:type="dxa"/>
            </w:tcMar>
            <w:vAlign w:val="top"/>
          </w:tcPr>
          <w:p w:rsidR="711B3643" w:rsidP="711B3643" w:rsidRDefault="711B3643" w14:paraId="4BC61832" w14:textId="1457F14B">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1"/>
                <w:iCs w:val="1"/>
                <w:strike w:val="0"/>
                <w:dstrike w:val="0"/>
                <w:color w:val="000000" w:themeColor="text1" w:themeTint="FF" w:themeShade="FF"/>
                <w:sz w:val="20"/>
                <w:szCs w:val="20"/>
                <w:u w:val="none"/>
                <w:lang w:val="en-US"/>
              </w:rPr>
              <w:t>Taking the time to build trust</w:t>
            </w:r>
          </w:p>
        </w:tc>
        <w:tc>
          <w:tcPr>
            <w:tcW w:w="2655" w:type="dxa"/>
            <w:tcMar>
              <w:left w:w="90" w:type="dxa"/>
              <w:right w:w="90" w:type="dxa"/>
            </w:tcMar>
            <w:vAlign w:val="top"/>
          </w:tcPr>
          <w:p w:rsidR="711B3643" w:rsidP="711B3643" w:rsidRDefault="711B3643" w14:paraId="661AC489" w14:textId="31BB7F74">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Having the persistence to build trust as the bedrock for collaboration, relationships, storytelling, and effective work</w:t>
            </w:r>
          </w:p>
        </w:tc>
        <w:tc>
          <w:tcPr>
            <w:tcW w:w="3345" w:type="dxa"/>
            <w:tcMar>
              <w:left w:w="90" w:type="dxa"/>
              <w:right w:w="90" w:type="dxa"/>
            </w:tcMar>
            <w:vAlign w:val="top"/>
          </w:tcPr>
          <w:p w:rsidR="711B3643" w:rsidP="711B3643" w:rsidRDefault="711B3643" w14:paraId="41696476" w14:textId="03749567">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Budget and be thoughtful for how you build relationships - it will require humility and sustained effort.” (2024) (1)</w:t>
            </w:r>
          </w:p>
          <w:p w:rsidR="711B3643" w:rsidP="711B3643" w:rsidRDefault="711B3643" w14:paraId="0B8A65F4" w14:textId="654A7A55">
            <w:pPr>
              <w:rPr>
                <w:rFonts w:ascii="Times New Roman" w:hAnsi="Times New Roman" w:eastAsia="Times New Roman" w:cs="Times New Roman"/>
                <w:b w:val="0"/>
                <w:bCs w:val="0"/>
                <w:i w:val="0"/>
                <w:iCs w:val="0"/>
                <w:color w:val="000000" w:themeColor="text1" w:themeTint="FF" w:themeShade="FF"/>
                <w:sz w:val="20"/>
                <w:szCs w:val="20"/>
              </w:rPr>
            </w:pPr>
          </w:p>
          <w:p w:rsidR="711B3643" w:rsidP="711B3643" w:rsidRDefault="711B3643" w14:paraId="027EEB93" w14:textId="6C7C2442">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“Small steps at a time to build trust by interacting with people. Showing your passion to listen to community's voice, voice might be small. But once you identify it, it might change the community and life.” (2024) (2)</w:t>
            </w:r>
          </w:p>
        </w:tc>
        <w:tc>
          <w:tcPr>
            <w:tcW w:w="840" w:type="dxa"/>
            <w:tcBorders>
              <w:right w:val="single" w:sz="6"/>
            </w:tcBorders>
            <w:tcMar>
              <w:left w:w="90" w:type="dxa"/>
              <w:right w:w="90" w:type="dxa"/>
            </w:tcMar>
            <w:vAlign w:val="top"/>
          </w:tcPr>
          <w:p w:rsidR="711B3643" w:rsidP="711B3643" w:rsidRDefault="711B3643" w14:paraId="7B3EF89B" w14:textId="1B792C14">
            <w:pPr>
              <w:rPr>
                <w:rFonts w:ascii="Times New Roman" w:hAnsi="Times New Roman" w:eastAsia="Times New Roman" w:cs="Times New Roman"/>
                <w:b w:val="0"/>
                <w:bCs w:val="0"/>
                <w:i w:val="0"/>
                <w:iCs w:val="0"/>
                <w:sz w:val="20"/>
                <w:szCs w:val="20"/>
              </w:rPr>
            </w:pPr>
          </w:p>
        </w:tc>
      </w:tr>
      <w:tr w:rsidR="711B3643" w:rsidTr="711B3643" w14:paraId="3A8022B9">
        <w:trPr>
          <w:trHeight w:val="300"/>
        </w:trPr>
        <w:tc>
          <w:tcPr>
            <w:tcW w:w="705" w:type="dxa"/>
            <w:tcBorders>
              <w:left w:val="single" w:sz="6"/>
            </w:tcBorders>
            <w:tcMar>
              <w:left w:w="90" w:type="dxa"/>
              <w:right w:w="90" w:type="dxa"/>
            </w:tcMar>
            <w:vAlign w:val="top"/>
          </w:tcPr>
          <w:p w:rsidR="711B3643" w:rsidP="711B3643" w:rsidRDefault="711B3643" w14:paraId="35EC3181" w14:textId="7400B587">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3.4</w:t>
            </w:r>
          </w:p>
        </w:tc>
        <w:tc>
          <w:tcPr>
            <w:tcW w:w="1785" w:type="dxa"/>
            <w:tcMar>
              <w:left w:w="90" w:type="dxa"/>
              <w:right w:w="90" w:type="dxa"/>
            </w:tcMar>
            <w:vAlign w:val="top"/>
          </w:tcPr>
          <w:p w:rsidR="711B3643" w:rsidP="711B3643" w:rsidRDefault="711B3643" w14:paraId="08CEDBB9" w14:textId="3487545D">
            <w:pPr>
              <w:spacing w:before="0" w:beforeAutospacing="off" w:after="0" w:afterAutospacing="off" w:line="279" w:lineRule="auto"/>
              <w:ind w:left="0" w:right="0"/>
              <w:jc w:val="left"/>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1"/>
                <w:iCs w:val="1"/>
                <w:strike w:val="0"/>
                <w:dstrike w:val="0"/>
                <w:color w:val="000000" w:themeColor="text1" w:themeTint="FF" w:themeShade="FF"/>
                <w:sz w:val="20"/>
                <w:szCs w:val="20"/>
                <w:u w:val="none"/>
                <w:lang w:val="en-US"/>
              </w:rPr>
              <w:t>Planning ahead and involving community partners before, during, and after project end</w:t>
            </w:r>
          </w:p>
        </w:tc>
        <w:tc>
          <w:tcPr>
            <w:tcW w:w="2655" w:type="dxa"/>
            <w:tcMar>
              <w:left w:w="90" w:type="dxa"/>
              <w:right w:w="90" w:type="dxa"/>
            </w:tcMar>
            <w:vAlign w:val="top"/>
          </w:tcPr>
          <w:p w:rsidR="711B3643" w:rsidP="711B3643" w:rsidRDefault="711B3643" w14:paraId="5183994D" w14:textId="7D8849DA">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The benefits of patient, preemptive and ongoing planning, including communication with partner organization, to inform project development and make the most of limited time in the field</w:t>
            </w:r>
          </w:p>
        </w:tc>
        <w:tc>
          <w:tcPr>
            <w:tcW w:w="3345" w:type="dxa"/>
            <w:tcMar>
              <w:left w:w="90" w:type="dxa"/>
              <w:right w:w="90" w:type="dxa"/>
            </w:tcMar>
            <w:vAlign w:val="top"/>
          </w:tcPr>
          <w:p w:rsidR="711B3643" w:rsidP="711B3643" w:rsidRDefault="711B3643" w14:paraId="72E6F145" w14:textId="1F7F6593">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To involve the community, you will want to work from the beginning (drafting your project) to the end (analyzing findings and disseminating research findings).” (2023) (1)</w:t>
            </w:r>
          </w:p>
          <w:p w:rsidR="711B3643" w:rsidP="711B3643" w:rsidRDefault="711B3643" w14:paraId="049B5E04" w14:textId="0A86927A">
            <w:pPr>
              <w:rPr>
                <w:rFonts w:ascii="Times New Roman" w:hAnsi="Times New Roman" w:eastAsia="Times New Roman" w:cs="Times New Roman"/>
                <w:b w:val="0"/>
                <w:bCs w:val="0"/>
                <w:i w:val="0"/>
                <w:iCs w:val="0"/>
                <w:color w:val="000000" w:themeColor="text1" w:themeTint="FF" w:themeShade="FF"/>
                <w:sz w:val="20"/>
                <w:szCs w:val="20"/>
              </w:rPr>
            </w:pPr>
          </w:p>
          <w:p w:rsidR="711B3643" w:rsidP="711B3643" w:rsidRDefault="711B3643" w14:paraId="42B02CFF" w14:textId="2790409F">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It will end so plan a transition and exit strategy.” (2019) (1)</w:t>
            </w:r>
          </w:p>
          <w:p w:rsidR="711B3643" w:rsidP="711B3643" w:rsidRDefault="711B3643" w14:paraId="1BE6E8CE" w14:textId="374A7C23">
            <w:pPr>
              <w:rPr>
                <w:rFonts w:ascii="Times New Roman" w:hAnsi="Times New Roman" w:eastAsia="Times New Roman" w:cs="Times New Roman"/>
                <w:b w:val="0"/>
                <w:bCs w:val="0"/>
                <w:i w:val="0"/>
                <w:iCs w:val="0"/>
                <w:color w:val="000000" w:themeColor="text1" w:themeTint="FF" w:themeShade="FF"/>
                <w:sz w:val="20"/>
                <w:szCs w:val="20"/>
              </w:rPr>
            </w:pPr>
          </w:p>
          <w:p w:rsidR="711B3643" w:rsidP="711B3643" w:rsidRDefault="711B3643" w14:paraId="328549CE" w14:textId="052DEEBE">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“Get clear on your goals for the summer and your partner organization's goals. Inevitably, time will go faster than you anticipate and with both your and your organization's goals written out, you will be better equipped to decide what to prioritize.” (2023) (2)</w:t>
            </w:r>
          </w:p>
          <w:p w:rsidR="711B3643" w:rsidP="711B3643" w:rsidRDefault="711B3643" w14:paraId="0CF387E3" w14:textId="09651CC0">
            <w:pPr>
              <w:rPr>
                <w:rFonts w:ascii="Times New Roman" w:hAnsi="Times New Roman" w:eastAsia="Times New Roman" w:cs="Times New Roman"/>
                <w:b w:val="0"/>
                <w:bCs w:val="0"/>
                <w:i w:val="0"/>
                <w:iCs w:val="0"/>
                <w:color w:val="000000" w:themeColor="text1" w:themeTint="FF" w:themeShade="FF"/>
                <w:sz w:val="20"/>
                <w:szCs w:val="20"/>
              </w:rPr>
            </w:pPr>
          </w:p>
          <w:p w:rsidR="711B3643" w:rsidP="711B3643" w:rsidRDefault="711B3643" w14:paraId="0B0874D7" w14:textId="62AA2CF1">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“Be patient. Although your project is a #1 priority for you, the organization has 20 other urgent topics they are working on.” (2018) (2)</w:t>
            </w:r>
          </w:p>
        </w:tc>
        <w:tc>
          <w:tcPr>
            <w:tcW w:w="840" w:type="dxa"/>
            <w:tcBorders>
              <w:right w:val="single" w:sz="6"/>
            </w:tcBorders>
            <w:tcMar>
              <w:left w:w="90" w:type="dxa"/>
              <w:right w:w="90" w:type="dxa"/>
            </w:tcMar>
            <w:vAlign w:val="top"/>
          </w:tcPr>
          <w:p w:rsidR="711B3643" w:rsidP="711B3643" w:rsidRDefault="711B3643" w14:paraId="43061B52" w14:textId="0DAAFF79">
            <w:pPr>
              <w:spacing w:before="0" w:beforeAutospacing="off" w:after="0" w:afterAutospacing="off" w:line="240" w:lineRule="auto"/>
              <w:ind w:left="0" w:right="0"/>
              <w:jc w:val="left"/>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3.1, 3.5</w:t>
            </w:r>
          </w:p>
        </w:tc>
      </w:tr>
      <w:tr w:rsidR="711B3643" w:rsidTr="711B3643" w14:paraId="17228D04">
        <w:trPr>
          <w:trHeight w:val="300"/>
        </w:trPr>
        <w:tc>
          <w:tcPr>
            <w:tcW w:w="705" w:type="dxa"/>
            <w:tcBorders>
              <w:left w:val="single" w:sz="6"/>
            </w:tcBorders>
            <w:tcMar>
              <w:left w:w="90" w:type="dxa"/>
              <w:right w:w="90" w:type="dxa"/>
            </w:tcMar>
            <w:vAlign w:val="top"/>
          </w:tcPr>
          <w:p w:rsidR="711B3643" w:rsidP="711B3643" w:rsidRDefault="711B3643" w14:paraId="029555AD" w14:textId="623918A3">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3.5</w:t>
            </w:r>
          </w:p>
        </w:tc>
        <w:tc>
          <w:tcPr>
            <w:tcW w:w="1785" w:type="dxa"/>
            <w:tcMar>
              <w:left w:w="90" w:type="dxa"/>
              <w:right w:w="90" w:type="dxa"/>
            </w:tcMar>
            <w:vAlign w:val="top"/>
          </w:tcPr>
          <w:p w:rsidR="711B3643" w:rsidP="711B3643" w:rsidRDefault="711B3643" w14:paraId="0084535B" w14:textId="3ACB7416">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1"/>
                <w:iCs w:val="1"/>
                <w:strike w:val="0"/>
                <w:dstrike w:val="0"/>
                <w:color w:val="000000" w:themeColor="text1" w:themeTint="FF" w:themeShade="FF"/>
                <w:sz w:val="20"/>
                <w:szCs w:val="20"/>
                <w:u w:val="none"/>
                <w:lang w:val="en-US"/>
              </w:rPr>
              <w:t>Responding to unexpected changes in project plans</w:t>
            </w:r>
          </w:p>
        </w:tc>
        <w:tc>
          <w:tcPr>
            <w:tcW w:w="2655" w:type="dxa"/>
            <w:tcMar>
              <w:left w:w="90" w:type="dxa"/>
              <w:right w:w="90" w:type="dxa"/>
            </w:tcMar>
            <w:vAlign w:val="top"/>
          </w:tcPr>
          <w:p w:rsidR="711B3643" w:rsidP="711B3643" w:rsidRDefault="711B3643" w14:paraId="3D67CA02" w14:textId="799417B8">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Expecting and managing the unexpected in project implementation</w:t>
            </w:r>
          </w:p>
        </w:tc>
        <w:tc>
          <w:tcPr>
            <w:tcW w:w="3345" w:type="dxa"/>
            <w:tcMar>
              <w:left w:w="90" w:type="dxa"/>
              <w:right w:w="90" w:type="dxa"/>
            </w:tcMar>
            <w:vAlign w:val="top"/>
          </w:tcPr>
          <w:p w:rsidR="711B3643" w:rsidP="711B3643" w:rsidRDefault="711B3643" w14:paraId="220AD32C" w14:textId="5E126414">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Be prepared but aware of possible detours. Things will change.” (2023) (1)</w:t>
            </w:r>
          </w:p>
        </w:tc>
        <w:tc>
          <w:tcPr>
            <w:tcW w:w="840" w:type="dxa"/>
            <w:tcBorders>
              <w:right w:val="single" w:sz="6"/>
            </w:tcBorders>
            <w:tcMar>
              <w:left w:w="90" w:type="dxa"/>
              <w:right w:w="90" w:type="dxa"/>
            </w:tcMar>
            <w:vAlign w:val="top"/>
          </w:tcPr>
          <w:p w:rsidR="711B3643" w:rsidP="711B3643" w:rsidRDefault="711B3643" w14:paraId="5793F6A6" w14:textId="70892DC0">
            <w:pPr>
              <w:rPr>
                <w:rFonts w:ascii="Times New Roman" w:hAnsi="Times New Roman" w:eastAsia="Times New Roman" w:cs="Times New Roman"/>
                <w:b w:val="0"/>
                <w:bCs w:val="0"/>
                <w:i w:val="0"/>
                <w:iCs w:val="0"/>
                <w:sz w:val="20"/>
                <w:szCs w:val="20"/>
              </w:rPr>
            </w:pPr>
          </w:p>
        </w:tc>
      </w:tr>
      <w:tr w:rsidR="711B3643" w:rsidTr="711B3643" w14:paraId="25C2D211">
        <w:trPr>
          <w:trHeight w:val="300"/>
        </w:trPr>
        <w:tc>
          <w:tcPr>
            <w:tcW w:w="705" w:type="dxa"/>
            <w:tcBorders>
              <w:left w:val="single" w:sz="6"/>
            </w:tcBorders>
            <w:tcMar>
              <w:left w:w="90" w:type="dxa"/>
              <w:right w:w="90" w:type="dxa"/>
            </w:tcMar>
            <w:vAlign w:val="top"/>
          </w:tcPr>
          <w:p w:rsidR="711B3643" w:rsidP="711B3643" w:rsidRDefault="711B3643" w14:paraId="7818D90D" w14:textId="45DD14DC">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3.5.1</w:t>
            </w:r>
          </w:p>
        </w:tc>
        <w:tc>
          <w:tcPr>
            <w:tcW w:w="1785" w:type="dxa"/>
            <w:tcMar>
              <w:left w:w="90" w:type="dxa"/>
              <w:right w:w="90" w:type="dxa"/>
            </w:tcMar>
            <w:vAlign w:val="top"/>
          </w:tcPr>
          <w:p w:rsidR="711B3643" w:rsidP="711B3643" w:rsidRDefault="711B3643" w14:paraId="622F25CE" w14:textId="493B2012">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Prioritizing personal learning</w:t>
            </w:r>
          </w:p>
        </w:tc>
        <w:tc>
          <w:tcPr>
            <w:tcW w:w="2655" w:type="dxa"/>
            <w:tcMar>
              <w:left w:w="90" w:type="dxa"/>
              <w:right w:w="90" w:type="dxa"/>
            </w:tcMar>
            <w:vAlign w:val="top"/>
          </w:tcPr>
          <w:p w:rsidR="711B3643" w:rsidP="711B3643" w:rsidRDefault="711B3643" w14:paraId="16E476F0" w14:textId="6882C8EC">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Problem-solving with largely personal goals (e.g., project, learning) in mind</w:t>
            </w:r>
          </w:p>
        </w:tc>
        <w:tc>
          <w:tcPr>
            <w:tcW w:w="3345" w:type="dxa"/>
            <w:tcMar>
              <w:left w:w="90" w:type="dxa"/>
              <w:right w:w="90" w:type="dxa"/>
            </w:tcMar>
            <w:vAlign w:val="top"/>
          </w:tcPr>
          <w:p w:rsidR="711B3643" w:rsidP="711B3643" w:rsidRDefault="711B3643" w14:paraId="3DF4928E" w14:textId="5899F3BB">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Your project will change, and you should have goals in place to support your learning. The time goes by quickly, so if you have a plan to deviate from and lean into community engagement, you will get more out of your time.” (2023) (1)</w:t>
            </w:r>
          </w:p>
        </w:tc>
        <w:tc>
          <w:tcPr>
            <w:tcW w:w="840" w:type="dxa"/>
            <w:tcBorders>
              <w:right w:val="single" w:sz="6"/>
            </w:tcBorders>
            <w:tcMar>
              <w:left w:w="90" w:type="dxa"/>
              <w:right w:w="90" w:type="dxa"/>
            </w:tcMar>
            <w:vAlign w:val="top"/>
          </w:tcPr>
          <w:p w:rsidR="711B3643" w:rsidP="711B3643" w:rsidRDefault="711B3643" w14:paraId="76031D67" w14:textId="79EC1A57">
            <w:pPr>
              <w:rPr>
                <w:rFonts w:ascii="Times New Roman" w:hAnsi="Times New Roman" w:eastAsia="Times New Roman" w:cs="Times New Roman"/>
                <w:b w:val="0"/>
                <w:bCs w:val="0"/>
                <w:i w:val="0"/>
                <w:iCs w:val="0"/>
                <w:sz w:val="20"/>
                <w:szCs w:val="20"/>
              </w:rPr>
            </w:pPr>
          </w:p>
        </w:tc>
      </w:tr>
      <w:tr w:rsidR="711B3643" w:rsidTr="711B3643" w14:paraId="1ED9C459">
        <w:trPr>
          <w:trHeight w:val="300"/>
        </w:trPr>
        <w:tc>
          <w:tcPr>
            <w:tcW w:w="705" w:type="dxa"/>
            <w:tcBorders>
              <w:left w:val="single" w:sz="6"/>
            </w:tcBorders>
            <w:tcMar>
              <w:left w:w="90" w:type="dxa"/>
              <w:right w:w="90" w:type="dxa"/>
            </w:tcMar>
            <w:vAlign w:val="top"/>
          </w:tcPr>
          <w:p w:rsidR="711B3643" w:rsidP="711B3643" w:rsidRDefault="711B3643" w14:paraId="3CDB951A" w14:textId="56522DF7">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3.5.2</w:t>
            </w:r>
          </w:p>
        </w:tc>
        <w:tc>
          <w:tcPr>
            <w:tcW w:w="1785" w:type="dxa"/>
            <w:tcMar>
              <w:left w:w="90" w:type="dxa"/>
              <w:right w:w="90" w:type="dxa"/>
            </w:tcMar>
            <w:vAlign w:val="top"/>
          </w:tcPr>
          <w:p w:rsidR="711B3643" w:rsidP="711B3643" w:rsidRDefault="711B3643" w14:paraId="6D8922A8" w14:textId="5CC5F9DB">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Prioritizing relationships</w:t>
            </w:r>
          </w:p>
        </w:tc>
        <w:tc>
          <w:tcPr>
            <w:tcW w:w="2655" w:type="dxa"/>
            <w:tcMar>
              <w:left w:w="90" w:type="dxa"/>
              <w:right w:w="90" w:type="dxa"/>
            </w:tcMar>
            <w:vAlign w:val="top"/>
          </w:tcPr>
          <w:p w:rsidR="711B3643" w:rsidP="711B3643" w:rsidRDefault="711B3643" w14:paraId="471F4426" w14:textId="4A355DD1">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Problem-solving with mainly relationships (e.g., community partners) in mind</w:t>
            </w:r>
          </w:p>
        </w:tc>
        <w:tc>
          <w:tcPr>
            <w:tcW w:w="3345" w:type="dxa"/>
            <w:tcMar>
              <w:left w:w="90" w:type="dxa"/>
              <w:right w:w="90" w:type="dxa"/>
            </w:tcMar>
            <w:vAlign w:val="top"/>
          </w:tcPr>
          <w:p w:rsidR="711B3643" w:rsidP="711B3643" w:rsidRDefault="711B3643" w14:paraId="7CC82922" w14:textId="6C019369">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Relax, be flexible, and prioritize building relationships and adding value.” (2018) (1)</w:t>
            </w:r>
          </w:p>
        </w:tc>
        <w:tc>
          <w:tcPr>
            <w:tcW w:w="840" w:type="dxa"/>
            <w:tcBorders>
              <w:right w:val="single" w:sz="6"/>
            </w:tcBorders>
            <w:tcMar>
              <w:left w:w="90" w:type="dxa"/>
              <w:right w:w="90" w:type="dxa"/>
            </w:tcMar>
            <w:vAlign w:val="top"/>
          </w:tcPr>
          <w:p w:rsidR="711B3643" w:rsidP="711B3643" w:rsidRDefault="711B3643" w14:paraId="014EA0BA" w14:textId="3C903991">
            <w:pPr>
              <w:rPr>
                <w:rFonts w:ascii="Times New Roman" w:hAnsi="Times New Roman" w:eastAsia="Times New Roman" w:cs="Times New Roman"/>
                <w:b w:val="0"/>
                <w:bCs w:val="0"/>
                <w:i w:val="0"/>
                <w:iCs w:val="0"/>
                <w:sz w:val="20"/>
                <w:szCs w:val="20"/>
              </w:rPr>
            </w:pPr>
          </w:p>
        </w:tc>
      </w:tr>
      <w:tr w:rsidR="711B3643" w:rsidTr="711B3643" w14:paraId="69756AA5">
        <w:trPr>
          <w:trHeight w:val="300"/>
        </w:trPr>
        <w:tc>
          <w:tcPr>
            <w:tcW w:w="705" w:type="dxa"/>
            <w:tcBorders>
              <w:left w:val="single" w:sz="6"/>
            </w:tcBorders>
            <w:tcMar>
              <w:left w:w="90" w:type="dxa"/>
              <w:right w:w="90" w:type="dxa"/>
            </w:tcMar>
            <w:vAlign w:val="top"/>
          </w:tcPr>
          <w:p w:rsidR="711B3643" w:rsidP="711B3643" w:rsidRDefault="711B3643" w14:paraId="4D2DD152" w14:textId="3385CBFF">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3.5.3</w:t>
            </w:r>
          </w:p>
        </w:tc>
        <w:tc>
          <w:tcPr>
            <w:tcW w:w="1785" w:type="dxa"/>
            <w:tcMar>
              <w:left w:w="90" w:type="dxa"/>
              <w:right w:w="90" w:type="dxa"/>
            </w:tcMar>
            <w:vAlign w:val="top"/>
          </w:tcPr>
          <w:p w:rsidR="711B3643" w:rsidP="711B3643" w:rsidRDefault="711B3643" w14:paraId="7B194054" w14:textId="741F9EAD">
            <w:pPr>
              <w:spacing w:before="0" w:beforeAutospacing="off" w:after="0" w:afterAutospacing="off"/>
              <w:ind w:left="0"/>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Prioritizing community partner goals</w:t>
            </w:r>
          </w:p>
        </w:tc>
        <w:tc>
          <w:tcPr>
            <w:tcW w:w="2655" w:type="dxa"/>
            <w:tcMar>
              <w:left w:w="90" w:type="dxa"/>
              <w:right w:w="90" w:type="dxa"/>
            </w:tcMar>
            <w:vAlign w:val="top"/>
          </w:tcPr>
          <w:p w:rsidR="711B3643" w:rsidP="711B3643" w:rsidRDefault="711B3643" w14:paraId="72865D4D" w14:textId="69A3F9E2">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Problem-solving with largely community partners’ priorities in mind</w:t>
            </w:r>
          </w:p>
        </w:tc>
        <w:tc>
          <w:tcPr>
            <w:tcW w:w="3345" w:type="dxa"/>
            <w:tcMar>
              <w:left w:w="90" w:type="dxa"/>
              <w:right w:w="90" w:type="dxa"/>
            </w:tcMar>
            <w:vAlign w:val="top"/>
          </w:tcPr>
          <w:p w:rsidR="711B3643" w:rsidP="711B3643" w:rsidRDefault="711B3643" w14:paraId="1BC098B6" w14:textId="03B22E48">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Your plan will likely change once you get ‘into the field,’ which is not only okay, but often the right thing because it means you are taking time to understand, listen, and adapt based on what you learn from that.” (2019) (1)</w:t>
            </w:r>
          </w:p>
        </w:tc>
        <w:tc>
          <w:tcPr>
            <w:tcW w:w="840" w:type="dxa"/>
            <w:tcBorders>
              <w:right w:val="single" w:sz="6"/>
            </w:tcBorders>
            <w:tcMar>
              <w:left w:w="90" w:type="dxa"/>
              <w:right w:w="90" w:type="dxa"/>
            </w:tcMar>
            <w:vAlign w:val="top"/>
          </w:tcPr>
          <w:p w:rsidR="711B3643" w:rsidP="711B3643" w:rsidRDefault="711B3643" w14:paraId="0CF6E267" w14:textId="77E5B1F4">
            <w:pPr>
              <w:rPr>
                <w:rFonts w:ascii="Times New Roman" w:hAnsi="Times New Roman" w:eastAsia="Times New Roman" w:cs="Times New Roman"/>
                <w:b w:val="0"/>
                <w:bCs w:val="0"/>
                <w:i w:val="0"/>
                <w:iCs w:val="0"/>
                <w:sz w:val="20"/>
                <w:szCs w:val="20"/>
              </w:rPr>
            </w:pPr>
          </w:p>
        </w:tc>
      </w:tr>
      <w:tr w:rsidR="711B3643" w:rsidTr="711B3643" w14:paraId="78C6B71E">
        <w:trPr>
          <w:trHeight w:val="300"/>
        </w:trPr>
        <w:tc>
          <w:tcPr>
            <w:tcW w:w="705" w:type="dxa"/>
            <w:tcBorders>
              <w:left w:val="single" w:sz="6"/>
            </w:tcBorders>
            <w:tcMar>
              <w:left w:w="90" w:type="dxa"/>
              <w:right w:w="90" w:type="dxa"/>
            </w:tcMar>
            <w:vAlign w:val="top"/>
          </w:tcPr>
          <w:p w:rsidR="711B3643" w:rsidP="711B3643" w:rsidRDefault="711B3643" w14:paraId="0A91D2F9" w14:textId="636E3078">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3.6</w:t>
            </w:r>
          </w:p>
        </w:tc>
        <w:tc>
          <w:tcPr>
            <w:tcW w:w="1785" w:type="dxa"/>
            <w:tcMar>
              <w:left w:w="90" w:type="dxa"/>
              <w:right w:w="90" w:type="dxa"/>
            </w:tcMar>
            <w:vAlign w:val="top"/>
          </w:tcPr>
          <w:p w:rsidR="711B3643" w:rsidP="711B3643" w:rsidRDefault="711B3643" w14:paraId="34D49D90" w14:textId="4C6E542E">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1"/>
                <w:iCs w:val="1"/>
                <w:strike w:val="0"/>
                <w:dstrike w:val="0"/>
                <w:color w:val="000000" w:themeColor="text1" w:themeTint="FF" w:themeShade="FF"/>
                <w:sz w:val="20"/>
                <w:szCs w:val="20"/>
                <w:u w:val="none"/>
                <w:lang w:val="en-US"/>
              </w:rPr>
              <w:t>Serving the community / giving back</w:t>
            </w:r>
          </w:p>
        </w:tc>
        <w:tc>
          <w:tcPr>
            <w:tcW w:w="2655" w:type="dxa"/>
            <w:tcMar>
              <w:left w:w="90" w:type="dxa"/>
              <w:right w:w="90" w:type="dxa"/>
            </w:tcMar>
            <w:vAlign w:val="top"/>
          </w:tcPr>
          <w:p w:rsidR="711B3643" w:rsidP="711B3643" w:rsidRDefault="711B3643" w14:paraId="28653DE8" w14:textId="01FADBF6">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Balancing projects goals or personal learning with authentic service</w:t>
            </w:r>
          </w:p>
        </w:tc>
        <w:tc>
          <w:tcPr>
            <w:tcW w:w="3345" w:type="dxa"/>
            <w:tcMar>
              <w:left w:w="90" w:type="dxa"/>
              <w:right w:w="90" w:type="dxa"/>
            </w:tcMar>
            <w:vAlign w:val="top"/>
          </w:tcPr>
          <w:p w:rsidR="711B3643" w:rsidP="711B3643" w:rsidRDefault="711B3643" w14:paraId="1DDFEEFE" w14:textId="2ECAF7A6">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“Make sure what you do, the community benefits, and make sure to communicate (via dissemination and engagement) so you are not just extracting and giving back.” (2018) (2)</w:t>
            </w:r>
          </w:p>
        </w:tc>
        <w:tc>
          <w:tcPr>
            <w:tcW w:w="840" w:type="dxa"/>
            <w:tcBorders>
              <w:right w:val="single" w:sz="6"/>
            </w:tcBorders>
            <w:tcMar>
              <w:left w:w="90" w:type="dxa"/>
              <w:right w:w="90" w:type="dxa"/>
            </w:tcMar>
            <w:vAlign w:val="top"/>
          </w:tcPr>
          <w:p w:rsidR="711B3643" w:rsidP="711B3643" w:rsidRDefault="711B3643" w14:paraId="44DD8D92" w14:textId="636FA040">
            <w:pPr>
              <w:rPr>
                <w:rFonts w:ascii="Times New Roman" w:hAnsi="Times New Roman" w:eastAsia="Times New Roman" w:cs="Times New Roman"/>
                <w:b w:val="0"/>
                <w:bCs w:val="0"/>
                <w:i w:val="0"/>
                <w:iCs w:val="0"/>
                <w:sz w:val="20"/>
                <w:szCs w:val="20"/>
              </w:rPr>
            </w:pPr>
          </w:p>
        </w:tc>
      </w:tr>
      <w:tr w:rsidR="711B3643" w:rsidTr="711B3643" w14:paraId="40DD9FA3">
        <w:trPr>
          <w:trHeight w:val="300"/>
        </w:trPr>
        <w:tc>
          <w:tcPr>
            <w:tcW w:w="705" w:type="dxa"/>
            <w:tcBorders>
              <w:left w:val="single" w:sz="6"/>
            </w:tcBorders>
            <w:tcMar>
              <w:left w:w="90" w:type="dxa"/>
              <w:right w:w="90" w:type="dxa"/>
            </w:tcMar>
            <w:vAlign w:val="top"/>
          </w:tcPr>
          <w:p w:rsidR="711B3643" w:rsidP="711B3643" w:rsidRDefault="711B3643" w14:paraId="430D7C70" w14:textId="1151383C">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1"/>
                <w:bCs w:val="1"/>
                <w:i w:val="0"/>
                <w:iCs w:val="0"/>
                <w:sz w:val="20"/>
                <w:szCs w:val="20"/>
                <w:lang w:val="en-US"/>
              </w:rPr>
              <w:t>4</w:t>
            </w:r>
          </w:p>
        </w:tc>
        <w:tc>
          <w:tcPr>
            <w:tcW w:w="1785" w:type="dxa"/>
            <w:tcMar>
              <w:left w:w="90" w:type="dxa"/>
              <w:right w:w="90" w:type="dxa"/>
            </w:tcMar>
            <w:vAlign w:val="top"/>
          </w:tcPr>
          <w:p w:rsidR="711B3643" w:rsidP="711B3643" w:rsidRDefault="711B3643" w14:paraId="3FD8EEFF" w14:textId="268ECB99">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1"/>
                <w:bCs w:val="1"/>
                <w:i w:val="0"/>
                <w:iCs w:val="0"/>
                <w:strike w:val="0"/>
                <w:dstrike w:val="0"/>
                <w:color w:val="000000" w:themeColor="text1" w:themeTint="FF" w:themeShade="FF"/>
                <w:sz w:val="20"/>
                <w:szCs w:val="20"/>
                <w:u w:val="none"/>
                <w:lang w:val="en-US"/>
              </w:rPr>
              <w:t>Power and institutional dynamics</w:t>
            </w:r>
          </w:p>
        </w:tc>
        <w:tc>
          <w:tcPr>
            <w:tcW w:w="2655" w:type="dxa"/>
            <w:tcMar>
              <w:left w:w="90" w:type="dxa"/>
              <w:right w:w="90" w:type="dxa"/>
            </w:tcMar>
            <w:vAlign w:val="top"/>
          </w:tcPr>
          <w:p w:rsidR="711B3643" w:rsidP="711B3643" w:rsidRDefault="711B3643" w14:paraId="36AB027F" w14:textId="69A8065D">
            <w:pPr>
              <w:rPr>
                <w:rFonts w:ascii="Times New Roman" w:hAnsi="Times New Roman" w:eastAsia="Times New Roman" w:cs="Times New Roman"/>
                <w:b w:val="0"/>
                <w:bCs w:val="0"/>
                <w:i w:val="0"/>
                <w:iCs w:val="0"/>
                <w:sz w:val="20"/>
                <w:szCs w:val="20"/>
              </w:rPr>
            </w:pPr>
          </w:p>
        </w:tc>
        <w:tc>
          <w:tcPr>
            <w:tcW w:w="3345" w:type="dxa"/>
            <w:tcMar>
              <w:left w:w="90" w:type="dxa"/>
              <w:right w:w="90" w:type="dxa"/>
            </w:tcMar>
            <w:vAlign w:val="top"/>
          </w:tcPr>
          <w:p w:rsidR="711B3643" w:rsidP="711B3643" w:rsidRDefault="711B3643" w14:paraId="4C404282" w14:textId="40E23FA1">
            <w:pPr>
              <w:rPr>
                <w:rFonts w:ascii="Times New Roman" w:hAnsi="Times New Roman" w:eastAsia="Times New Roman" w:cs="Times New Roman"/>
                <w:b w:val="0"/>
                <w:bCs w:val="0"/>
                <w:i w:val="0"/>
                <w:iCs w:val="0"/>
                <w:sz w:val="20"/>
                <w:szCs w:val="20"/>
              </w:rPr>
            </w:pPr>
          </w:p>
        </w:tc>
        <w:tc>
          <w:tcPr>
            <w:tcW w:w="840" w:type="dxa"/>
            <w:tcBorders>
              <w:right w:val="single" w:sz="6"/>
            </w:tcBorders>
            <w:tcMar>
              <w:left w:w="90" w:type="dxa"/>
              <w:right w:w="90" w:type="dxa"/>
            </w:tcMar>
            <w:vAlign w:val="top"/>
          </w:tcPr>
          <w:p w:rsidR="711B3643" w:rsidP="711B3643" w:rsidRDefault="711B3643" w14:paraId="4F0DE3C3" w14:textId="1AA30B66">
            <w:pPr>
              <w:rPr>
                <w:rFonts w:ascii="Times New Roman" w:hAnsi="Times New Roman" w:eastAsia="Times New Roman" w:cs="Times New Roman"/>
                <w:b w:val="0"/>
                <w:bCs w:val="0"/>
                <w:i w:val="0"/>
                <w:iCs w:val="0"/>
                <w:sz w:val="20"/>
                <w:szCs w:val="20"/>
              </w:rPr>
            </w:pPr>
          </w:p>
        </w:tc>
      </w:tr>
      <w:tr w:rsidR="711B3643" w:rsidTr="711B3643" w14:paraId="5EE967CE">
        <w:trPr>
          <w:trHeight w:val="300"/>
        </w:trPr>
        <w:tc>
          <w:tcPr>
            <w:tcW w:w="705" w:type="dxa"/>
            <w:tcBorders>
              <w:left w:val="single" w:sz="6"/>
            </w:tcBorders>
            <w:tcMar>
              <w:left w:w="90" w:type="dxa"/>
              <w:right w:w="90" w:type="dxa"/>
            </w:tcMar>
            <w:vAlign w:val="top"/>
          </w:tcPr>
          <w:p w:rsidR="711B3643" w:rsidP="711B3643" w:rsidRDefault="711B3643" w14:paraId="0A18EE13" w14:textId="68797066">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4.1</w:t>
            </w:r>
          </w:p>
        </w:tc>
        <w:tc>
          <w:tcPr>
            <w:tcW w:w="1785" w:type="dxa"/>
            <w:tcMar>
              <w:left w:w="90" w:type="dxa"/>
              <w:right w:w="90" w:type="dxa"/>
            </w:tcMar>
            <w:vAlign w:val="top"/>
          </w:tcPr>
          <w:p w:rsidR="711B3643" w:rsidP="711B3643" w:rsidRDefault="711B3643" w14:paraId="3925906D" w14:textId="6853C6B5">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1"/>
                <w:iCs w:val="1"/>
                <w:strike w:val="0"/>
                <w:dstrike w:val="0"/>
                <w:color w:val="000000" w:themeColor="text1" w:themeTint="FF" w:themeShade="FF"/>
                <w:sz w:val="20"/>
                <w:szCs w:val="20"/>
                <w:u w:val="none"/>
                <w:lang w:val="en-US"/>
              </w:rPr>
              <w:t>Grappling with institutional reputation</w:t>
            </w:r>
          </w:p>
        </w:tc>
        <w:tc>
          <w:tcPr>
            <w:tcW w:w="2655" w:type="dxa"/>
            <w:tcMar>
              <w:left w:w="90" w:type="dxa"/>
              <w:right w:w="90" w:type="dxa"/>
            </w:tcMar>
            <w:vAlign w:val="top"/>
          </w:tcPr>
          <w:p w:rsidR="711B3643" w:rsidP="711B3643" w:rsidRDefault="711B3643" w14:paraId="3F8FD97B" w14:textId="666829BE">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The impact, benefits, and challenges of coming from an academic institution, and reflections on awareness and management</w:t>
            </w:r>
          </w:p>
        </w:tc>
        <w:tc>
          <w:tcPr>
            <w:tcW w:w="3345" w:type="dxa"/>
            <w:tcMar>
              <w:left w:w="90" w:type="dxa"/>
              <w:right w:w="90" w:type="dxa"/>
            </w:tcMar>
            <w:vAlign w:val="top"/>
          </w:tcPr>
          <w:p w:rsidR="711B3643" w:rsidP="711B3643" w:rsidRDefault="711B3643" w14:paraId="217B3E03" w14:textId="0A1CF3E4">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It can feel challenging to be an outsider, and relationship building takes time! Coming under the ‘Harvard name’ carries a lot of assumptions (both good and bad).” (2024) (1)</w:t>
            </w:r>
          </w:p>
        </w:tc>
        <w:tc>
          <w:tcPr>
            <w:tcW w:w="840" w:type="dxa"/>
            <w:tcBorders>
              <w:right w:val="single" w:sz="6"/>
            </w:tcBorders>
            <w:tcMar>
              <w:left w:w="90" w:type="dxa"/>
              <w:right w:w="90" w:type="dxa"/>
            </w:tcMar>
            <w:vAlign w:val="top"/>
          </w:tcPr>
          <w:p w:rsidR="711B3643" w:rsidP="711B3643" w:rsidRDefault="711B3643" w14:paraId="74F21C54" w14:textId="76B98775">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1.2</w:t>
            </w:r>
          </w:p>
        </w:tc>
      </w:tr>
      <w:tr w:rsidR="711B3643" w:rsidTr="711B3643" w14:paraId="550A1A96">
        <w:trPr>
          <w:trHeight w:val="300"/>
        </w:trPr>
        <w:tc>
          <w:tcPr>
            <w:tcW w:w="705" w:type="dxa"/>
            <w:tcBorders>
              <w:left w:val="single" w:sz="6"/>
            </w:tcBorders>
            <w:tcMar>
              <w:left w:w="90" w:type="dxa"/>
              <w:right w:w="90" w:type="dxa"/>
            </w:tcMar>
            <w:vAlign w:val="top"/>
          </w:tcPr>
          <w:p w:rsidR="711B3643" w:rsidP="711B3643" w:rsidRDefault="711B3643" w14:paraId="70818644" w14:textId="797D0446">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4.2</w:t>
            </w:r>
          </w:p>
        </w:tc>
        <w:tc>
          <w:tcPr>
            <w:tcW w:w="1785" w:type="dxa"/>
            <w:tcMar>
              <w:left w:w="90" w:type="dxa"/>
              <w:right w:w="90" w:type="dxa"/>
            </w:tcMar>
            <w:vAlign w:val="top"/>
          </w:tcPr>
          <w:p w:rsidR="711B3643" w:rsidP="711B3643" w:rsidRDefault="711B3643" w14:paraId="3FB4BEA3" w14:textId="69AC3ADB">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1"/>
                <w:iCs w:val="1"/>
                <w:strike w:val="0"/>
                <w:dstrike w:val="0"/>
                <w:color w:val="000000" w:themeColor="text1" w:themeTint="FF" w:themeShade="FF"/>
                <w:sz w:val="20"/>
                <w:szCs w:val="20"/>
                <w:u w:val="none"/>
                <w:lang w:val="en-US"/>
              </w:rPr>
              <w:t>Recognizing power dynamics and challenging overgeneralizations</w:t>
            </w:r>
          </w:p>
        </w:tc>
        <w:tc>
          <w:tcPr>
            <w:tcW w:w="2655" w:type="dxa"/>
            <w:tcMar>
              <w:left w:w="90" w:type="dxa"/>
              <w:right w:w="90" w:type="dxa"/>
            </w:tcMar>
            <w:vAlign w:val="top"/>
          </w:tcPr>
          <w:p w:rsidR="711B3643" w:rsidP="711B3643" w:rsidRDefault="711B3643" w14:paraId="381CC5AA" w14:textId="78A317E1">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Bringing awareness to, and deconstructing, power dynamics around the monolithic concept of “community”</w:t>
            </w:r>
          </w:p>
        </w:tc>
        <w:tc>
          <w:tcPr>
            <w:tcW w:w="3345" w:type="dxa"/>
            <w:tcMar>
              <w:left w:w="90" w:type="dxa"/>
              <w:right w:w="90" w:type="dxa"/>
            </w:tcMar>
            <w:vAlign w:val="top"/>
          </w:tcPr>
          <w:p w:rsidR="711B3643" w:rsidP="711B3643" w:rsidRDefault="711B3643" w14:paraId="4B3CE481" w14:textId="0806F220">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Never underestimate the power of politics (internal and external) to get [in] the way of what a community wants and/or needs.” (2019) (1)</w:t>
            </w:r>
          </w:p>
          <w:p w:rsidR="711B3643" w:rsidP="711B3643" w:rsidRDefault="711B3643" w14:paraId="2D5D3599" w14:textId="24D9FF4A">
            <w:pPr>
              <w:rPr>
                <w:rFonts w:ascii="Times New Roman" w:hAnsi="Times New Roman" w:eastAsia="Times New Roman" w:cs="Times New Roman"/>
                <w:b w:val="0"/>
                <w:bCs w:val="0"/>
                <w:i w:val="0"/>
                <w:iCs w:val="0"/>
                <w:color w:val="000000" w:themeColor="text1" w:themeTint="FF" w:themeShade="FF"/>
                <w:sz w:val="20"/>
                <w:szCs w:val="20"/>
              </w:rPr>
            </w:pPr>
          </w:p>
          <w:p w:rsidR="711B3643" w:rsidP="711B3643" w:rsidRDefault="711B3643" w14:paraId="2498CB27" w14:textId="4598AB93">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“I</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t's important to think broadly and critically about how we discuss ‘community.’ This often is with assumptions about shared needs, experiences, and identity which mask/ignore unique individual perspectives. The ‘community’ is a social construct which can be used dangerously - despite good intentions.” (2018) (2)</w:t>
            </w:r>
          </w:p>
        </w:tc>
        <w:tc>
          <w:tcPr>
            <w:tcW w:w="840" w:type="dxa"/>
            <w:tcBorders>
              <w:right w:val="single" w:sz="6"/>
            </w:tcBorders>
            <w:tcMar>
              <w:left w:w="90" w:type="dxa"/>
              <w:right w:w="90" w:type="dxa"/>
            </w:tcMar>
            <w:vAlign w:val="top"/>
          </w:tcPr>
          <w:p w:rsidR="711B3643" w:rsidP="711B3643" w:rsidRDefault="711B3643" w14:paraId="4D564A19" w14:textId="1E34C703">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3.1</w:t>
            </w:r>
          </w:p>
        </w:tc>
      </w:tr>
      <w:tr w:rsidR="711B3643" w:rsidTr="711B3643" w14:paraId="5DA14AAC">
        <w:trPr>
          <w:trHeight w:val="300"/>
        </w:trPr>
        <w:tc>
          <w:tcPr>
            <w:tcW w:w="705" w:type="dxa"/>
            <w:tcBorders>
              <w:left w:val="single" w:sz="6"/>
            </w:tcBorders>
            <w:tcMar>
              <w:left w:w="90" w:type="dxa"/>
              <w:right w:w="90" w:type="dxa"/>
            </w:tcMar>
            <w:vAlign w:val="top"/>
          </w:tcPr>
          <w:p w:rsidR="711B3643" w:rsidP="711B3643" w:rsidRDefault="711B3643" w14:paraId="7FC27267" w14:textId="25BA763E">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4.3</w:t>
            </w:r>
          </w:p>
        </w:tc>
        <w:tc>
          <w:tcPr>
            <w:tcW w:w="1785" w:type="dxa"/>
            <w:tcMar>
              <w:left w:w="90" w:type="dxa"/>
              <w:right w:w="90" w:type="dxa"/>
            </w:tcMar>
            <w:vAlign w:val="top"/>
          </w:tcPr>
          <w:p w:rsidR="711B3643" w:rsidP="711B3643" w:rsidRDefault="711B3643" w14:paraId="497B1686" w14:textId="5A2B2B6D">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Challenging assumptions and recognizing community agency</w:t>
            </w:r>
          </w:p>
        </w:tc>
        <w:tc>
          <w:tcPr>
            <w:tcW w:w="2655" w:type="dxa"/>
            <w:tcMar>
              <w:left w:w="90" w:type="dxa"/>
              <w:right w:w="90" w:type="dxa"/>
            </w:tcMar>
            <w:vAlign w:val="top"/>
          </w:tcPr>
          <w:p w:rsidR="711B3643" w:rsidP="711B3643" w:rsidRDefault="711B3643" w14:paraId="5E96B4D3" w14:textId="1E912E30">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The importance of interrogating positionality and personal assumptions, including deficit-based perceptions of community needs and priorities</w:t>
            </w:r>
          </w:p>
        </w:tc>
        <w:tc>
          <w:tcPr>
            <w:tcW w:w="3345" w:type="dxa"/>
            <w:tcMar>
              <w:left w:w="90" w:type="dxa"/>
              <w:right w:w="90" w:type="dxa"/>
            </w:tcMar>
            <w:vAlign w:val="top"/>
          </w:tcPr>
          <w:p w:rsidR="711B3643" w:rsidP="711B3643" w:rsidRDefault="711B3643" w14:paraId="7043B32A" w14:textId="21C12B24">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Any assumptions or beliefs or generalizations about the community are wrong.” (2024) (1)</w:t>
            </w:r>
          </w:p>
          <w:p w:rsidR="711B3643" w:rsidP="711B3643" w:rsidRDefault="711B3643" w14:paraId="0CD49BEC" w14:textId="28A70585">
            <w:pPr>
              <w:rPr>
                <w:rFonts w:ascii="Times New Roman" w:hAnsi="Times New Roman" w:eastAsia="Times New Roman" w:cs="Times New Roman"/>
                <w:b w:val="0"/>
                <w:bCs w:val="0"/>
                <w:i w:val="0"/>
                <w:iCs w:val="0"/>
                <w:color w:val="000000" w:themeColor="text1" w:themeTint="FF" w:themeShade="FF"/>
                <w:sz w:val="20"/>
                <w:szCs w:val="20"/>
              </w:rPr>
            </w:pPr>
          </w:p>
          <w:p w:rsidR="711B3643" w:rsidP="711B3643" w:rsidRDefault="711B3643" w14:paraId="2560DA43" w14:textId="053289C5">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“Do not hold onto your idea too tightly. Let the community openly interrogate, scrutinize, and question your ideas/thoughts.” (2023) (2)</w:t>
            </w:r>
          </w:p>
          <w:p w:rsidR="711B3643" w:rsidP="711B3643" w:rsidRDefault="711B3643" w14:paraId="1FC12F0D" w14:textId="51E72266">
            <w:pPr>
              <w:rPr>
                <w:rFonts w:ascii="Times New Roman" w:hAnsi="Times New Roman" w:eastAsia="Times New Roman" w:cs="Times New Roman"/>
                <w:b w:val="0"/>
                <w:bCs w:val="0"/>
                <w:i w:val="0"/>
                <w:iCs w:val="0"/>
                <w:color w:val="000000" w:themeColor="text1" w:themeTint="FF" w:themeShade="FF"/>
                <w:sz w:val="20"/>
                <w:szCs w:val="20"/>
              </w:rPr>
            </w:pPr>
          </w:p>
          <w:p w:rsidR="711B3643" w:rsidP="711B3643" w:rsidRDefault="711B3643" w14:paraId="118344F6" w14:textId="428F5735">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“Never do work as an act of charity. Give people respect and treat them as an equal person.” (2023) (2)</w:t>
            </w:r>
          </w:p>
        </w:tc>
        <w:tc>
          <w:tcPr>
            <w:tcW w:w="840" w:type="dxa"/>
            <w:tcBorders>
              <w:right w:val="single" w:sz="6"/>
            </w:tcBorders>
            <w:tcMar>
              <w:left w:w="90" w:type="dxa"/>
              <w:right w:w="90" w:type="dxa"/>
            </w:tcMar>
            <w:vAlign w:val="top"/>
          </w:tcPr>
          <w:p w:rsidR="711B3643" w:rsidP="711B3643" w:rsidRDefault="711B3643" w14:paraId="62895A67" w14:textId="0A10583F">
            <w:pPr>
              <w:rPr>
                <w:rFonts w:ascii="Times New Roman" w:hAnsi="Times New Roman" w:eastAsia="Times New Roman" w:cs="Times New Roman"/>
                <w:b w:val="0"/>
                <w:bCs w:val="0"/>
                <w:i w:val="0"/>
                <w:iCs w:val="0"/>
                <w:sz w:val="20"/>
                <w:szCs w:val="20"/>
              </w:rPr>
            </w:pPr>
          </w:p>
        </w:tc>
      </w:tr>
      <w:tr w:rsidR="711B3643" w:rsidTr="711B3643" w14:paraId="6AB73CC4">
        <w:trPr>
          <w:trHeight w:val="300"/>
        </w:trPr>
        <w:tc>
          <w:tcPr>
            <w:tcW w:w="705" w:type="dxa"/>
            <w:tcBorders>
              <w:left w:val="single" w:sz="6"/>
            </w:tcBorders>
            <w:tcMar>
              <w:left w:w="90" w:type="dxa"/>
              <w:right w:w="90" w:type="dxa"/>
            </w:tcMar>
            <w:vAlign w:val="top"/>
          </w:tcPr>
          <w:p w:rsidR="711B3643" w:rsidP="711B3643" w:rsidRDefault="711B3643" w14:paraId="6F2D8DA1" w14:textId="75BEB26F">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4.4</w:t>
            </w:r>
          </w:p>
        </w:tc>
        <w:tc>
          <w:tcPr>
            <w:tcW w:w="1785" w:type="dxa"/>
            <w:tcMar>
              <w:left w:w="90" w:type="dxa"/>
              <w:right w:w="90" w:type="dxa"/>
            </w:tcMar>
            <w:vAlign w:val="top"/>
          </w:tcPr>
          <w:p w:rsidR="711B3643" w:rsidP="711B3643" w:rsidRDefault="711B3643" w14:paraId="061F24BC" w14:textId="77B56E59">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 xml:space="preserve">Uplifting the power of storytelling </w:t>
            </w:r>
          </w:p>
        </w:tc>
        <w:tc>
          <w:tcPr>
            <w:tcW w:w="2655" w:type="dxa"/>
            <w:tcMar>
              <w:left w:w="90" w:type="dxa"/>
              <w:right w:w="90" w:type="dxa"/>
            </w:tcMar>
            <w:vAlign w:val="top"/>
          </w:tcPr>
          <w:p w:rsidR="711B3643" w:rsidP="711B3643" w:rsidRDefault="711B3643" w14:paraId="66404527" w14:textId="11EE897C">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The impact, meaningfulness, and pitfalls of narratives/storytelling</w:t>
            </w:r>
          </w:p>
        </w:tc>
        <w:tc>
          <w:tcPr>
            <w:tcW w:w="3345" w:type="dxa"/>
            <w:tcMar>
              <w:left w:w="90" w:type="dxa"/>
              <w:right w:w="90" w:type="dxa"/>
            </w:tcMar>
            <w:vAlign w:val="top"/>
          </w:tcPr>
          <w:p w:rsidR="711B3643" w:rsidP="711B3643" w:rsidRDefault="711B3643" w14:paraId="3ECC049C" w14:textId="3C1AC5B4">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Behind the ‘participant,’ the ‘recipient,’ ‘beneficiary,’ and ‘coordinator,’ are individuals with a story and resilience.” (2023) (1)</w:t>
            </w:r>
          </w:p>
          <w:p w:rsidR="711B3643" w:rsidP="711B3643" w:rsidRDefault="711B3643" w14:paraId="5F536F48" w14:textId="564EFA5F">
            <w:pPr>
              <w:rPr>
                <w:rFonts w:ascii="Times New Roman" w:hAnsi="Times New Roman" w:eastAsia="Times New Roman" w:cs="Times New Roman"/>
                <w:b w:val="0"/>
                <w:bCs w:val="0"/>
                <w:i w:val="0"/>
                <w:iCs w:val="0"/>
                <w:color w:val="000000" w:themeColor="text1" w:themeTint="FF" w:themeShade="FF"/>
                <w:sz w:val="20"/>
                <w:szCs w:val="20"/>
              </w:rPr>
            </w:pPr>
          </w:p>
          <w:p w:rsidR="711B3643" w:rsidP="711B3643" w:rsidRDefault="711B3643" w14:paraId="6EC09232" w14:textId="5ABCD785">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trike w:val="0"/>
                <w:dstrike w:val="0"/>
                <w:sz w:val="20"/>
                <w:szCs w:val="20"/>
                <w:u w:val="none"/>
                <w:lang w:val="en-US"/>
              </w:rPr>
              <w:t>“Be aware of the narrative you take with you.” (2023) (1)</w:t>
            </w:r>
          </w:p>
        </w:tc>
        <w:tc>
          <w:tcPr>
            <w:tcW w:w="840" w:type="dxa"/>
            <w:tcBorders>
              <w:right w:val="single" w:sz="6"/>
            </w:tcBorders>
            <w:tcMar>
              <w:left w:w="90" w:type="dxa"/>
              <w:right w:w="90" w:type="dxa"/>
            </w:tcMar>
            <w:vAlign w:val="top"/>
          </w:tcPr>
          <w:p w:rsidR="711B3643" w:rsidP="711B3643" w:rsidRDefault="711B3643" w14:paraId="4ECD3329" w14:textId="4222B7B7">
            <w:pPr>
              <w:rPr>
                <w:rFonts w:ascii="Times New Roman" w:hAnsi="Times New Roman" w:eastAsia="Times New Roman" w:cs="Times New Roman"/>
                <w:b w:val="0"/>
                <w:bCs w:val="0"/>
                <w:i w:val="0"/>
                <w:iCs w:val="0"/>
                <w:sz w:val="20"/>
                <w:szCs w:val="20"/>
              </w:rPr>
            </w:pPr>
          </w:p>
        </w:tc>
      </w:tr>
      <w:tr w:rsidR="711B3643" w:rsidTr="711B3643" w14:paraId="74C68E87">
        <w:trPr>
          <w:trHeight w:val="300"/>
        </w:trPr>
        <w:tc>
          <w:tcPr>
            <w:tcW w:w="705" w:type="dxa"/>
            <w:tcBorders>
              <w:left w:val="single" w:sz="6"/>
            </w:tcBorders>
            <w:tcMar>
              <w:left w:w="90" w:type="dxa"/>
              <w:right w:w="90" w:type="dxa"/>
            </w:tcMar>
            <w:vAlign w:val="top"/>
          </w:tcPr>
          <w:p w:rsidR="711B3643" w:rsidP="711B3643" w:rsidRDefault="711B3643" w14:paraId="25D6F2A1" w14:textId="2DB98306">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1"/>
                <w:bCs w:val="1"/>
                <w:i w:val="0"/>
                <w:iCs w:val="0"/>
                <w:sz w:val="20"/>
                <w:szCs w:val="20"/>
                <w:lang w:val="en-US"/>
              </w:rPr>
              <w:t>5</w:t>
            </w:r>
          </w:p>
        </w:tc>
        <w:tc>
          <w:tcPr>
            <w:tcW w:w="1785" w:type="dxa"/>
            <w:tcMar>
              <w:left w:w="90" w:type="dxa"/>
              <w:right w:w="90" w:type="dxa"/>
            </w:tcMar>
            <w:vAlign w:val="top"/>
          </w:tcPr>
          <w:p w:rsidR="711B3643" w:rsidP="711B3643" w:rsidRDefault="711B3643" w14:paraId="79BEE6B9" w14:textId="23396F0D">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1"/>
                <w:bCs w:val="1"/>
                <w:i w:val="0"/>
                <w:iCs w:val="0"/>
                <w:strike w:val="0"/>
                <w:dstrike w:val="0"/>
                <w:color w:val="000000" w:themeColor="text1" w:themeTint="FF" w:themeShade="FF"/>
                <w:sz w:val="20"/>
                <w:szCs w:val="20"/>
                <w:u w:val="none"/>
                <w:lang w:val="en-US"/>
              </w:rPr>
              <w:t>Fellowship experience</w:t>
            </w:r>
          </w:p>
        </w:tc>
        <w:tc>
          <w:tcPr>
            <w:tcW w:w="2655" w:type="dxa"/>
            <w:tcMar>
              <w:left w:w="90" w:type="dxa"/>
              <w:right w:w="90" w:type="dxa"/>
            </w:tcMar>
            <w:vAlign w:val="top"/>
          </w:tcPr>
          <w:p w:rsidR="711B3643" w:rsidP="711B3643" w:rsidRDefault="711B3643" w14:paraId="2040331B" w14:textId="16FA217D">
            <w:pPr>
              <w:rPr>
                <w:rFonts w:ascii="Times New Roman" w:hAnsi="Times New Roman" w:eastAsia="Times New Roman" w:cs="Times New Roman"/>
                <w:b w:val="0"/>
                <w:bCs w:val="0"/>
                <w:i w:val="0"/>
                <w:iCs w:val="0"/>
                <w:sz w:val="20"/>
                <w:szCs w:val="20"/>
              </w:rPr>
            </w:pPr>
          </w:p>
        </w:tc>
        <w:tc>
          <w:tcPr>
            <w:tcW w:w="3345" w:type="dxa"/>
            <w:tcMar>
              <w:left w:w="90" w:type="dxa"/>
              <w:right w:w="90" w:type="dxa"/>
            </w:tcMar>
            <w:vAlign w:val="top"/>
          </w:tcPr>
          <w:p w:rsidR="711B3643" w:rsidP="711B3643" w:rsidRDefault="711B3643" w14:paraId="61D745DB" w14:textId="349121D5">
            <w:pPr>
              <w:rPr>
                <w:rFonts w:ascii="Times New Roman" w:hAnsi="Times New Roman" w:eastAsia="Times New Roman" w:cs="Times New Roman"/>
                <w:b w:val="0"/>
                <w:bCs w:val="0"/>
                <w:i w:val="0"/>
                <w:iCs w:val="0"/>
                <w:sz w:val="20"/>
                <w:szCs w:val="20"/>
              </w:rPr>
            </w:pPr>
          </w:p>
        </w:tc>
        <w:tc>
          <w:tcPr>
            <w:tcW w:w="840" w:type="dxa"/>
            <w:tcBorders>
              <w:right w:val="single" w:sz="6"/>
            </w:tcBorders>
            <w:tcMar>
              <w:left w:w="90" w:type="dxa"/>
              <w:right w:w="90" w:type="dxa"/>
            </w:tcMar>
            <w:vAlign w:val="top"/>
          </w:tcPr>
          <w:p w:rsidR="711B3643" w:rsidP="711B3643" w:rsidRDefault="711B3643" w14:paraId="2CC402D5" w14:textId="30051D88">
            <w:pPr>
              <w:rPr>
                <w:rFonts w:ascii="Times New Roman" w:hAnsi="Times New Roman" w:eastAsia="Times New Roman" w:cs="Times New Roman"/>
                <w:b w:val="0"/>
                <w:bCs w:val="0"/>
                <w:i w:val="0"/>
                <w:iCs w:val="0"/>
                <w:sz w:val="20"/>
                <w:szCs w:val="20"/>
              </w:rPr>
            </w:pPr>
          </w:p>
        </w:tc>
      </w:tr>
      <w:tr w:rsidR="711B3643" w:rsidTr="711B3643" w14:paraId="6AB2FEE9">
        <w:trPr>
          <w:trHeight w:val="300"/>
        </w:trPr>
        <w:tc>
          <w:tcPr>
            <w:tcW w:w="705" w:type="dxa"/>
            <w:tcBorders>
              <w:left w:val="single" w:sz="6"/>
            </w:tcBorders>
            <w:tcMar>
              <w:left w:w="90" w:type="dxa"/>
              <w:right w:w="90" w:type="dxa"/>
            </w:tcMar>
            <w:vAlign w:val="top"/>
          </w:tcPr>
          <w:p w:rsidR="711B3643" w:rsidP="711B3643" w:rsidRDefault="711B3643" w14:paraId="4D6C8608" w14:textId="6C65984E">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5.1</w:t>
            </w:r>
          </w:p>
        </w:tc>
        <w:tc>
          <w:tcPr>
            <w:tcW w:w="1785" w:type="dxa"/>
            <w:tcMar>
              <w:left w:w="90" w:type="dxa"/>
              <w:right w:w="90" w:type="dxa"/>
            </w:tcMar>
            <w:vAlign w:val="top"/>
          </w:tcPr>
          <w:p w:rsidR="711B3643" w:rsidP="711B3643" w:rsidRDefault="711B3643" w14:paraId="1C2E73B4" w14:textId="35A0CC06">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1"/>
                <w:iCs w:val="1"/>
                <w:strike w:val="0"/>
                <w:dstrike w:val="0"/>
                <w:color w:val="000000" w:themeColor="text1" w:themeTint="FF" w:themeShade="FF"/>
                <w:sz w:val="20"/>
                <w:szCs w:val="20"/>
                <w:u w:val="none"/>
                <w:lang w:val="en-US"/>
              </w:rPr>
              <w:t>Clarifying service learning with fellowship/partners</w:t>
            </w:r>
          </w:p>
        </w:tc>
        <w:tc>
          <w:tcPr>
            <w:tcW w:w="2655" w:type="dxa"/>
            <w:tcMar>
              <w:left w:w="90" w:type="dxa"/>
              <w:right w:w="90" w:type="dxa"/>
            </w:tcMar>
            <w:vAlign w:val="top"/>
          </w:tcPr>
          <w:p w:rsidR="711B3643" w:rsidP="711B3643" w:rsidRDefault="711B3643" w14:paraId="35C5DFC5" w14:textId="3F8E67DF">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Confusion about the meaning of service learning in a community engaged project</w:t>
            </w:r>
          </w:p>
        </w:tc>
        <w:tc>
          <w:tcPr>
            <w:tcW w:w="3345" w:type="dxa"/>
            <w:tcMar>
              <w:left w:w="90" w:type="dxa"/>
              <w:right w:w="90" w:type="dxa"/>
            </w:tcMar>
            <w:vAlign w:val="top"/>
          </w:tcPr>
          <w:p w:rsidR="711B3643" w:rsidP="711B3643" w:rsidRDefault="711B3643" w14:paraId="6E9ECA1F" w14:textId="7743679C">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“[I wish I knew h]</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ow to work with host/partner organizations (who may have different expectations) to build a service learning project.” (2018) (1)</w:t>
            </w:r>
          </w:p>
        </w:tc>
        <w:tc>
          <w:tcPr>
            <w:tcW w:w="840" w:type="dxa"/>
            <w:tcBorders>
              <w:right w:val="single" w:sz="6"/>
            </w:tcBorders>
            <w:tcMar>
              <w:left w:w="90" w:type="dxa"/>
              <w:right w:w="90" w:type="dxa"/>
            </w:tcMar>
            <w:vAlign w:val="top"/>
          </w:tcPr>
          <w:p w:rsidR="711B3643" w:rsidP="711B3643" w:rsidRDefault="711B3643" w14:paraId="7E255A20" w14:textId="4BD38AC2">
            <w:pPr>
              <w:rPr>
                <w:rFonts w:ascii="Times New Roman" w:hAnsi="Times New Roman" w:eastAsia="Times New Roman" w:cs="Times New Roman"/>
                <w:b w:val="0"/>
                <w:bCs w:val="0"/>
                <w:i w:val="0"/>
                <w:iCs w:val="0"/>
                <w:sz w:val="20"/>
                <w:szCs w:val="20"/>
              </w:rPr>
            </w:pPr>
          </w:p>
        </w:tc>
      </w:tr>
      <w:tr w:rsidR="711B3643" w:rsidTr="711B3643" w14:paraId="798673CF">
        <w:trPr>
          <w:trHeight w:val="300"/>
        </w:trPr>
        <w:tc>
          <w:tcPr>
            <w:tcW w:w="705" w:type="dxa"/>
            <w:tcBorders>
              <w:left w:val="single" w:sz="6"/>
            </w:tcBorders>
            <w:tcMar>
              <w:left w:w="90" w:type="dxa"/>
              <w:right w:w="90" w:type="dxa"/>
            </w:tcMar>
            <w:vAlign w:val="top"/>
          </w:tcPr>
          <w:p w:rsidR="711B3643" w:rsidP="711B3643" w:rsidRDefault="711B3643" w14:paraId="338F6810" w14:textId="4CA84D3B">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1"/>
                <w:iCs w:val="1"/>
                <w:sz w:val="20"/>
                <w:szCs w:val="20"/>
                <w:lang w:val="en-US"/>
              </w:rPr>
              <w:t>5.2</w:t>
            </w:r>
          </w:p>
        </w:tc>
        <w:tc>
          <w:tcPr>
            <w:tcW w:w="1785" w:type="dxa"/>
            <w:tcMar>
              <w:left w:w="90" w:type="dxa"/>
              <w:right w:w="90" w:type="dxa"/>
            </w:tcMar>
            <w:vAlign w:val="top"/>
          </w:tcPr>
          <w:p w:rsidR="711B3643" w:rsidP="711B3643" w:rsidRDefault="711B3643" w14:paraId="45806B36" w14:textId="4DDBF07E">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1"/>
                <w:iCs w:val="1"/>
                <w:strike w:val="0"/>
                <w:dstrike w:val="0"/>
                <w:color w:val="000000" w:themeColor="text1" w:themeTint="FF" w:themeShade="FF"/>
                <w:sz w:val="20"/>
                <w:szCs w:val="20"/>
                <w:u w:val="none"/>
                <w:lang w:val="en-US"/>
              </w:rPr>
              <w:t>Getting to know other fellows and leaning on fellowship support</w:t>
            </w:r>
          </w:p>
        </w:tc>
        <w:tc>
          <w:tcPr>
            <w:tcW w:w="2655" w:type="dxa"/>
            <w:tcMar>
              <w:left w:w="90" w:type="dxa"/>
              <w:right w:w="90" w:type="dxa"/>
            </w:tcMar>
            <w:vAlign w:val="top"/>
          </w:tcPr>
          <w:p w:rsidR="711B3643" w:rsidP="711B3643" w:rsidRDefault="711B3643" w14:paraId="429F349C" w14:textId="3BF8E613">
            <w:pPr>
              <w:rPr>
                <w:rFonts w:ascii="Times New Roman" w:hAnsi="Times New Roman" w:eastAsia="Times New Roman" w:cs="Times New Roman"/>
                <w:b w:val="0"/>
                <w:bCs w:val="0"/>
                <w:i w:val="0"/>
                <w:iCs w:val="0"/>
                <w:sz w:val="20"/>
                <w:szCs w:val="20"/>
              </w:rPr>
            </w:pPr>
            <w:r w:rsidRPr="711B3643" w:rsidR="711B3643">
              <w:rPr>
                <w:rFonts w:ascii="Times New Roman" w:hAnsi="Times New Roman" w:eastAsia="Times New Roman" w:cs="Times New Roman"/>
                <w:b w:val="0"/>
                <w:bCs w:val="0"/>
                <w:i w:val="0"/>
                <w:iCs w:val="0"/>
                <w:sz w:val="20"/>
                <w:szCs w:val="20"/>
                <w:lang w:val="en-US"/>
              </w:rPr>
              <w:t>Desire to form stronger relationships and support systems with other fellows and fellowship staff</w:t>
            </w:r>
          </w:p>
        </w:tc>
        <w:tc>
          <w:tcPr>
            <w:tcW w:w="3345" w:type="dxa"/>
            <w:tcMar>
              <w:left w:w="90" w:type="dxa"/>
              <w:right w:w="90" w:type="dxa"/>
            </w:tcMar>
            <w:vAlign w:val="top"/>
          </w:tcPr>
          <w:p w:rsidR="711B3643" w:rsidP="711B3643" w:rsidRDefault="711B3643" w14:paraId="3FA4434B" w14:textId="08BA2404">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I wish I had a stronger understanding of the other projects in my cohort and developed stronger relationships with others who I didn't know before to be more connected during the summer.” (2018) (1)</w:t>
            </w:r>
          </w:p>
          <w:p w:rsidR="711B3643" w:rsidP="711B3643" w:rsidRDefault="711B3643" w14:paraId="0100A651" w14:textId="2CD46274">
            <w:pPr>
              <w:rPr>
                <w:rFonts w:ascii="Times New Roman" w:hAnsi="Times New Roman" w:eastAsia="Times New Roman" w:cs="Times New Roman"/>
                <w:b w:val="0"/>
                <w:bCs w:val="0"/>
                <w:i w:val="0"/>
                <w:iCs w:val="0"/>
                <w:color w:val="000000" w:themeColor="text1" w:themeTint="FF" w:themeShade="FF"/>
                <w:sz w:val="20"/>
                <w:szCs w:val="20"/>
              </w:rPr>
            </w:pPr>
          </w:p>
          <w:p w:rsidR="711B3643" w:rsidP="711B3643" w:rsidRDefault="711B3643" w14:paraId="239C39B8" w14:textId="644F0E51">
            <w:pPr>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sz w:val="20"/>
                <w:szCs w:val="20"/>
                <w:lang w:val="en-US"/>
              </w:rPr>
              <w:t>“</w:t>
            </w:r>
            <w:r w:rsidRPr="711B3643" w:rsidR="711B3643">
              <w:rPr>
                <w:rFonts w:ascii="Times New Roman" w:hAnsi="Times New Roman" w:eastAsia="Times New Roman" w:cs="Times New Roman"/>
                <w:b w:val="0"/>
                <w:bCs w:val="0"/>
                <w:i w:val="0"/>
                <w:iCs w:val="0"/>
                <w:strike w:val="0"/>
                <w:dstrike w:val="0"/>
                <w:color w:val="000000" w:themeColor="text1" w:themeTint="FF" w:themeShade="FF"/>
                <w:sz w:val="20"/>
                <w:szCs w:val="20"/>
                <w:u w:val="none"/>
                <w:lang w:val="en-US"/>
              </w:rPr>
              <w:t>Ask for help or support if you need it! RSLF is ready to help!” (2018) (1)</w:t>
            </w:r>
          </w:p>
        </w:tc>
        <w:tc>
          <w:tcPr>
            <w:tcW w:w="840" w:type="dxa"/>
            <w:tcBorders>
              <w:right w:val="single" w:sz="6"/>
            </w:tcBorders>
            <w:tcMar>
              <w:left w:w="90" w:type="dxa"/>
              <w:right w:w="90" w:type="dxa"/>
            </w:tcMar>
            <w:vAlign w:val="top"/>
          </w:tcPr>
          <w:p w:rsidR="711B3643" w:rsidP="711B3643" w:rsidRDefault="711B3643" w14:paraId="1D02F939" w14:textId="118E1506">
            <w:pPr>
              <w:rPr>
                <w:rFonts w:ascii="Times New Roman" w:hAnsi="Times New Roman" w:eastAsia="Times New Roman" w:cs="Times New Roman"/>
                <w:b w:val="0"/>
                <w:bCs w:val="0"/>
                <w:i w:val="0"/>
                <w:iCs w:val="0"/>
                <w:sz w:val="20"/>
                <w:szCs w:val="20"/>
              </w:rPr>
            </w:pPr>
          </w:p>
        </w:tc>
      </w:tr>
      <w:tr w:rsidR="711B3643" w:rsidTr="711B3643" w14:paraId="31906D45">
        <w:trPr>
          <w:trHeight w:val="300"/>
        </w:trPr>
        <w:tc>
          <w:tcPr>
            <w:tcW w:w="9330" w:type="dxa"/>
            <w:gridSpan w:val="5"/>
            <w:tcBorders>
              <w:left w:val="single" w:sz="6"/>
              <w:bottom w:val="single" w:sz="6"/>
              <w:right w:val="single" w:sz="6"/>
            </w:tcBorders>
            <w:tcMar>
              <w:left w:w="90" w:type="dxa"/>
              <w:right w:w="90" w:type="dxa"/>
            </w:tcMar>
            <w:vAlign w:val="top"/>
          </w:tcPr>
          <w:p w:rsidR="711B3643" w:rsidP="711B3643" w:rsidRDefault="711B3643" w14:paraId="41D05615" w14:textId="276C9961">
            <w:pPr>
              <w:spacing w:line="240" w:lineRule="auto"/>
              <w:rPr>
                <w:rFonts w:ascii="Times New Roman" w:hAnsi="Times New Roman" w:eastAsia="Times New Roman" w:cs="Times New Roman"/>
                <w:b w:val="0"/>
                <w:bCs w:val="0"/>
                <w:i w:val="0"/>
                <w:iCs w:val="0"/>
                <w:color w:val="000000" w:themeColor="text1" w:themeTint="FF" w:themeShade="FF"/>
                <w:sz w:val="20"/>
                <w:szCs w:val="20"/>
              </w:rPr>
            </w:pPr>
            <w:r w:rsidRPr="711B3643" w:rsidR="711B3643">
              <w:rPr>
                <w:rFonts w:ascii="Times New Roman" w:hAnsi="Times New Roman" w:eastAsia="Times New Roman" w:cs="Times New Roman"/>
                <w:b w:val="0"/>
                <w:bCs w:val="0"/>
                <w:i w:val="0"/>
                <w:iCs w:val="0"/>
                <w:caps w:val="0"/>
                <w:smallCaps w:val="0"/>
                <w:color w:val="000000" w:themeColor="text1" w:themeTint="FF" w:themeShade="FF"/>
                <w:sz w:val="20"/>
                <w:szCs w:val="20"/>
                <w:vertAlign w:val="superscript"/>
                <w:lang w:val="en-US"/>
              </w:rPr>
              <w:t>1</w:t>
            </w:r>
            <w:r w:rsidRPr="711B3643" w:rsidR="711B364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 xml:space="preserve"> Numeration identifies the year and prompt answered by the quoted response, with one referring to “What did you wish you knew before your community engaged learning experience?” and two referring to “What advice would you give to the next cohort of fellows?”</w:t>
            </w:r>
          </w:p>
        </w:tc>
      </w:tr>
    </w:tbl>
    <w:p xmlns:wp14="http://schemas.microsoft.com/office/word/2010/wordml" w:rsidP="711B3643" wp14:paraId="352527E4" wp14:textId="6FFC50D5">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p14:paraId="2C078E63" wp14:textId="0383EAD4"/>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31A1B3"/>
    <w:rsid w:val="3C31A1B3"/>
    <w:rsid w:val="711B3643"/>
    <w:rsid w:val="75A6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A1B3"/>
  <w15:chartTrackingRefBased/>
  <w15:docId w15:val="{E262B280-E42B-41E6-AA05-5033D2379E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2025-04-01T18:51:46.3927762Z</dcterms:created>
  <dcterms:modified xsi:type="dcterms:W3CDTF">2025-04-01T18:54:08.8777444Z</dcterms:modified>
  <dc:creator>Marrero, Abrania</dc:creator>
  <lastModifiedBy>Marrero, Abrania</lastModifiedBy>
</coreProperties>
</file>