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E54AB">
      <w:pPr>
        <w:pStyle w:val="52"/>
        <w:rPr>
          <w:b w:val="0"/>
        </w:rPr>
      </w:pPr>
      <w:r>
        <w:t>Supplementary Material</w:t>
      </w:r>
    </w:p>
    <w:p w14:paraId="5E584EE8">
      <w:pPr>
        <w:pStyle w:val="2"/>
      </w:pPr>
      <w:r>
        <w:t xml:space="preserve">Supplementary Figures </w:t>
      </w:r>
    </w:p>
    <w:p w14:paraId="5D1C8BF6">
      <w:pPr>
        <w:rPr>
          <w:rFonts w:hint="eastAsia"/>
        </w:rPr>
      </w:pPr>
      <w:r>
        <w:rPr>
          <w:rFonts w:hint="eastAsia"/>
        </w:rPr>
        <w:t>Figure S1: Funnel plot of the eight genes causally associated with bladder cancer.</w:t>
      </w:r>
    </w:p>
    <w:p w14:paraId="0987869D">
      <w:pPr>
        <w:rPr>
          <w:rFonts w:hint="eastAsia"/>
        </w:rPr>
      </w:pPr>
      <w:r>
        <w:rPr>
          <w:rFonts w:hint="eastAsia"/>
        </w:rPr>
        <w:t>Figure S2: Scatter plot of the eight genes causally associated with bladder cancer.</w:t>
      </w:r>
    </w:p>
    <w:p w14:paraId="25A82C28">
      <w:pPr>
        <w:rPr>
          <w:rFonts w:hint="eastAsia"/>
        </w:rPr>
      </w:pPr>
      <w:r>
        <w:rPr>
          <w:rFonts w:hint="eastAsia"/>
        </w:rPr>
        <w:t>Figure S3: Leave-one-out sensitivity analysis of the eight genes causally associated with bladder cancer.</w:t>
      </w:r>
    </w:p>
    <w:p w14:paraId="2581D849">
      <w:pPr>
        <w:rPr>
          <w:rFonts w:hint="eastAsia"/>
        </w:rPr>
      </w:pPr>
      <w:r>
        <w:rPr>
          <w:rFonts w:hint="eastAsia"/>
        </w:rPr>
        <w:t xml:space="preserve">Figure </w:t>
      </w:r>
      <w:r>
        <w:rPr>
          <w:rFonts w:hint="eastAsia" w:eastAsia="宋体"/>
          <w:lang w:val="en-US" w:eastAsia="zh-CN"/>
        </w:rPr>
        <w:t>S</w:t>
      </w:r>
      <w:r>
        <w:rPr>
          <w:rFonts w:hint="eastAsia"/>
        </w:rPr>
        <w:t>4. GO and KEGG enrichment analysis of key genes in bladder cancer.</w:t>
      </w:r>
    </w:p>
    <w:p w14:paraId="22E08523">
      <w:pPr>
        <w:rPr>
          <w:rFonts w:hint="eastAsia"/>
        </w:rPr>
      </w:pPr>
      <w:r>
        <w:rPr>
          <w:rFonts w:hint="default"/>
          <w:lang w:val="en-US" w:eastAsia="zh-CN"/>
        </w:rPr>
        <w:t>Figure S5. Xcell analysis in bladder cancer.</w:t>
      </w:r>
    </w:p>
    <w:p w14:paraId="4ECECC95">
      <w:pPr>
        <w:rPr>
          <w:rFonts w:hint="eastAsia"/>
        </w:rPr>
      </w:pPr>
      <w:r>
        <w:rPr>
          <w:rFonts w:hint="eastAsia"/>
        </w:rPr>
        <w:t xml:space="preserve">Figure </w:t>
      </w:r>
      <w:r>
        <w:rPr>
          <w:rFonts w:hint="eastAsia"/>
          <w:lang w:val="en-US" w:eastAsia="zh-CN"/>
        </w:rPr>
        <w:t>S6</w:t>
      </w:r>
      <w:r>
        <w:rPr>
          <w:rFonts w:hint="eastAsia"/>
        </w:rPr>
        <w:t>.</w:t>
      </w:r>
      <w:r>
        <w:rPr>
          <w:rFonts w:hint="default"/>
          <w:lang w:val="en-US" w:eastAsia="zh-CN"/>
        </w:rPr>
        <w:t xml:space="preserve"> Box plots showing differential expression analysis of key genes in TCGA and GSE7476 datasets.</w:t>
      </w:r>
    </w:p>
    <w:p w14:paraId="7CD80DD1">
      <w:pPr>
        <w:rPr>
          <w:rFonts w:cs="Times New Roman"/>
          <w:szCs w:val="24"/>
          <w:u w:val="single"/>
        </w:rPr>
      </w:pPr>
      <w:r>
        <w:rPr>
          <w:rFonts w:hint="eastAsia"/>
        </w:rPr>
        <w:t>Figure S</w:t>
      </w:r>
      <w:r>
        <w:rPr>
          <w:rFonts w:hint="eastAsia" w:eastAsia="宋体"/>
          <w:lang w:val="en-US" w:eastAsia="zh-CN"/>
        </w:rPr>
        <w:t>7</w:t>
      </w:r>
      <w:r>
        <w:rPr>
          <w:rFonts w:hint="eastAsia"/>
        </w:rPr>
        <w:t>: Box plots showing the differential analysis of qRT-PCR experiments for the eight key genes.</w:t>
      </w:r>
    </w:p>
    <w:p w14:paraId="07970E94">
      <w:pPr>
        <w:pStyle w:val="4"/>
      </w:pPr>
      <w:r>
        <w:t>Supplementary Figures</w:t>
      </w:r>
    </w:p>
    <w:p w14:paraId="11EC8DA1">
      <w:pPr>
        <w:keepNext/>
        <w:rPr>
          <w:rFonts w:cs="Times New Roman"/>
          <w:szCs w:val="24"/>
        </w:rPr>
      </w:pPr>
      <w:r>
        <w:rPr>
          <w:rFonts w:hint="eastAsia" w:eastAsia="宋体" w:cs="Times New Roman"/>
          <w:szCs w:val="24"/>
          <w:lang w:eastAsia="zh-CN"/>
        </w:rPr>
        <w:drawing>
          <wp:inline distT="0" distB="0" distL="114300" distR="114300">
            <wp:extent cx="6200775" cy="6548120"/>
            <wp:effectExtent l="0" t="0" r="9525" b="5080"/>
            <wp:docPr id="2" name="图片 2" descr="1.漏斗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漏斗图-01"/>
                    <pic:cNvPicPr>
                      <a:picLocks noChangeAspect="1"/>
                    </pic:cNvPicPr>
                  </pic:nvPicPr>
                  <pic:blipFill>
                    <a:blip r:embed="rId10"/>
                    <a:stretch>
                      <a:fillRect/>
                    </a:stretch>
                  </pic:blipFill>
                  <pic:spPr>
                    <a:xfrm>
                      <a:off x="0" y="0"/>
                      <a:ext cx="6200775" cy="6548120"/>
                    </a:xfrm>
                    <a:prstGeom prst="rect">
                      <a:avLst/>
                    </a:prstGeom>
                  </pic:spPr>
                </pic:pic>
              </a:graphicData>
            </a:graphic>
          </wp:inline>
        </w:drawing>
      </w:r>
    </w:p>
    <w:p w14:paraId="3B020E77">
      <w:pPr>
        <w:keepNext/>
        <w:rPr>
          <w:rFonts w:cs="Times New Roman"/>
          <w:b/>
          <w:szCs w:val="24"/>
        </w:rPr>
      </w:pPr>
      <w:r>
        <w:rPr>
          <w:rFonts w:cs="Times New Roman"/>
          <w:b/>
          <w:szCs w:val="24"/>
        </w:rPr>
        <w:t xml:space="preserve">Supplementary Figure </w:t>
      </w:r>
      <w:r>
        <w:rPr>
          <w:rFonts w:hint="eastAsia" w:eastAsia="宋体" w:cs="Times New Roman"/>
          <w:b/>
          <w:szCs w:val="24"/>
          <w:lang w:val="en-US" w:eastAsia="zh-CN"/>
        </w:rPr>
        <w:t>S</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cs="Times New Roman"/>
          <w:szCs w:val="24"/>
        </w:rPr>
        <w:t xml:space="preserve"> </w:t>
      </w:r>
      <w:r>
        <w:rPr>
          <w:rFonts w:hint="eastAsia" w:cs="Times New Roman"/>
          <w:szCs w:val="24"/>
        </w:rPr>
        <w:t>(A-H) MR effect size of key genes on bladder cancer; (A) LIMS2; (B) TP53INP2; (C) IRAK3; (D) STX2; (E) CYP27A1; (F) IL11RA; (G)KCNMB1; (H) PDLIM7</w:t>
      </w:r>
      <w:r>
        <w:rPr>
          <w:rFonts w:cs="Times New Roman"/>
          <w:szCs w:val="24"/>
        </w:rPr>
        <w:t xml:space="preserve">. </w:t>
      </w:r>
    </w:p>
    <w:p w14:paraId="58F1AED1">
      <w:pPr>
        <w:spacing w:before="240"/>
        <w:rPr>
          <w:rFonts w:hint="eastAsia" w:eastAsia="宋体"/>
          <w:lang w:eastAsia="zh-CN"/>
        </w:rPr>
      </w:pPr>
      <w:r>
        <w:rPr>
          <w:rFonts w:hint="eastAsia" w:eastAsia="宋体"/>
          <w:lang w:eastAsia="zh-CN"/>
        </w:rPr>
        <w:drawing>
          <wp:inline distT="0" distB="0" distL="114300" distR="114300">
            <wp:extent cx="6200775" cy="5803900"/>
            <wp:effectExtent l="0" t="0" r="9525" b="0"/>
            <wp:docPr id="3" name="图片 3" descr="2.截距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截距图-01"/>
                    <pic:cNvPicPr>
                      <a:picLocks noChangeAspect="1"/>
                    </pic:cNvPicPr>
                  </pic:nvPicPr>
                  <pic:blipFill>
                    <a:blip r:embed="rId11"/>
                    <a:stretch>
                      <a:fillRect/>
                    </a:stretch>
                  </pic:blipFill>
                  <pic:spPr>
                    <a:xfrm>
                      <a:off x="0" y="0"/>
                      <a:ext cx="6200775" cy="5803900"/>
                    </a:xfrm>
                    <a:prstGeom prst="rect">
                      <a:avLst/>
                    </a:prstGeom>
                  </pic:spPr>
                </pic:pic>
              </a:graphicData>
            </a:graphic>
          </wp:inline>
        </w:drawing>
      </w:r>
    </w:p>
    <w:p w14:paraId="44D1FF2A">
      <w:pPr>
        <w:spacing w:before="240"/>
        <w:rPr>
          <w:rFonts w:hint="eastAsia" w:eastAsia="宋体"/>
          <w:lang w:eastAsia="zh-CN"/>
        </w:rPr>
      </w:pPr>
      <w:r>
        <w:rPr>
          <w:rFonts w:cs="Times New Roman"/>
          <w:b/>
          <w:szCs w:val="24"/>
        </w:rPr>
        <w:t xml:space="preserve">Supplementary Figure </w:t>
      </w:r>
      <w:r>
        <w:rPr>
          <w:rFonts w:hint="eastAsia" w:eastAsia="宋体" w:cs="Times New Roman"/>
          <w:b/>
          <w:szCs w:val="24"/>
          <w:lang w:val="en-US" w:eastAsia="zh-CN"/>
        </w:rPr>
        <w:t>S2</w:t>
      </w:r>
      <w:r>
        <w:rPr>
          <w:rFonts w:cs="Times New Roman"/>
          <w:b/>
          <w:szCs w:val="24"/>
        </w:rPr>
        <w:t>.</w:t>
      </w:r>
      <w:r>
        <w:rPr>
          <w:rFonts w:cs="Times New Roman"/>
          <w:szCs w:val="24"/>
        </w:rPr>
        <w:t xml:space="preserve"> </w:t>
      </w:r>
      <w:r>
        <w:rPr>
          <w:rFonts w:hint="eastAsia" w:ascii="Times New Roman" w:hAnsi="Times New Roman" w:cs="Times New Roman"/>
          <w:szCs w:val="24"/>
          <w:lang w:val="en-US" w:eastAsia="zh-CN"/>
        </w:rPr>
        <w:t>Scatter plot of eight genes causally linked to bladder cancer. (A-H) MR effect size of key genes on bladder cancer; (A) LIMS2; (B) TP53INP2; (C) IRAK3; (D) STX2; (E) CYP27A1; (F) IL11RA; (G) KCNMB1; (H) PDLIM7</w:t>
      </w:r>
    </w:p>
    <w:p w14:paraId="5D892F62">
      <w:pPr>
        <w:spacing w:before="240"/>
        <w:rPr>
          <w:rFonts w:hint="eastAsia" w:eastAsia="宋体"/>
          <w:lang w:eastAsia="zh-CN"/>
        </w:rPr>
      </w:pPr>
      <w:r>
        <w:rPr>
          <w:rFonts w:hint="eastAsia" w:eastAsia="宋体"/>
          <w:lang w:eastAsia="zh-CN"/>
        </w:rPr>
        <w:drawing>
          <wp:inline distT="0" distB="0" distL="114300" distR="114300">
            <wp:extent cx="6200775" cy="6151245"/>
            <wp:effectExtent l="0" t="0" r="9525" b="8255"/>
            <wp:docPr id="4" name="图片 4" descr="3.留一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留一图-01"/>
                    <pic:cNvPicPr>
                      <a:picLocks noChangeAspect="1"/>
                    </pic:cNvPicPr>
                  </pic:nvPicPr>
                  <pic:blipFill>
                    <a:blip r:embed="rId12"/>
                    <a:stretch>
                      <a:fillRect/>
                    </a:stretch>
                  </pic:blipFill>
                  <pic:spPr>
                    <a:xfrm>
                      <a:off x="0" y="0"/>
                      <a:ext cx="6200775" cy="6151245"/>
                    </a:xfrm>
                    <a:prstGeom prst="rect">
                      <a:avLst/>
                    </a:prstGeom>
                  </pic:spPr>
                </pic:pic>
              </a:graphicData>
            </a:graphic>
          </wp:inline>
        </w:drawing>
      </w:r>
    </w:p>
    <w:p w14:paraId="575CDF34">
      <w:pPr>
        <w:spacing w:before="240"/>
        <w:rPr>
          <w:rFonts w:hint="eastAsia" w:ascii="Times New Roman" w:hAnsi="Times New Roman" w:cs="Times New Roman"/>
          <w:szCs w:val="24"/>
          <w:lang w:val="en-US" w:eastAsia="zh-CN"/>
        </w:rPr>
      </w:pPr>
      <w:r>
        <w:rPr>
          <w:rFonts w:cs="Times New Roman"/>
          <w:b/>
          <w:szCs w:val="24"/>
        </w:rPr>
        <w:t xml:space="preserve">Supplementary Figure </w:t>
      </w:r>
      <w:r>
        <w:rPr>
          <w:rFonts w:hint="eastAsia" w:eastAsia="宋体" w:cs="Times New Roman"/>
          <w:b/>
          <w:szCs w:val="24"/>
          <w:lang w:val="en-US" w:eastAsia="zh-CN"/>
        </w:rPr>
        <w:t>S3</w:t>
      </w:r>
      <w:r>
        <w:rPr>
          <w:rFonts w:cs="Times New Roman"/>
          <w:b/>
          <w:szCs w:val="24"/>
        </w:rPr>
        <w:t>.</w:t>
      </w:r>
      <w:r>
        <w:rPr>
          <w:rFonts w:cs="Times New Roman"/>
          <w:szCs w:val="24"/>
        </w:rPr>
        <w:t xml:space="preserve"> </w:t>
      </w:r>
      <w:r>
        <w:rPr>
          <w:rFonts w:hint="default" w:ascii="Times New Roman" w:hAnsi="Times New Roman" w:cs="Times New Roman"/>
          <w:szCs w:val="24"/>
          <w:lang w:val="en-US" w:eastAsia="zh-CN"/>
        </w:rPr>
        <w:t>Leave-one-out analysis plot</w:t>
      </w:r>
      <w:r>
        <w:rPr>
          <w:rFonts w:hint="eastAsia" w:ascii="Times New Roman" w:hAnsi="Times New Roman" w:cs="Times New Roman"/>
          <w:szCs w:val="24"/>
          <w:lang w:val="en-US" w:eastAsia="zh-CN"/>
        </w:rPr>
        <w:t xml:space="preserve"> of eight genes causally linked to bladder cancer. (A-H) MR effect size of key genes on bladder cancer; (A) LIMS2; (B) TP53INP2; (C) IRAK3; (D) STX2; (E) CYP27A1; (F) IL11RA; (G) KCNMB1; (H) PDLIM7</w:t>
      </w:r>
    </w:p>
    <w:p w14:paraId="46D059E0">
      <w:pPr>
        <w:keepNext w:val="0"/>
        <w:keepLines w:val="0"/>
        <w:widowControl/>
        <w:suppressLineNumbers w:val="0"/>
        <w:spacing w:before="120" w:beforeAutospacing="0" w:after="240" w:afterAutospacing="0"/>
        <w:ind w:left="0" w:right="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drawing>
          <wp:inline distT="0" distB="0" distL="114300" distR="114300">
            <wp:extent cx="4954270" cy="6937375"/>
            <wp:effectExtent l="0" t="0" r="11430" b="9525"/>
            <wp:docPr id="6" name="图片 6" descr="FIG7 富集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7 富集分析图"/>
                    <pic:cNvPicPr>
                      <a:picLocks noChangeAspect="1"/>
                    </pic:cNvPicPr>
                  </pic:nvPicPr>
                  <pic:blipFill>
                    <a:blip r:embed="rId13"/>
                    <a:stretch>
                      <a:fillRect/>
                    </a:stretch>
                  </pic:blipFill>
                  <pic:spPr>
                    <a:xfrm>
                      <a:off x="0" y="0"/>
                      <a:ext cx="4954270" cy="6937375"/>
                    </a:xfrm>
                    <a:prstGeom prst="rect">
                      <a:avLst/>
                    </a:prstGeom>
                  </pic:spPr>
                </pic:pic>
              </a:graphicData>
            </a:graphic>
          </wp:inline>
        </w:drawing>
      </w:r>
    </w:p>
    <w:p w14:paraId="5C411322">
      <w:pPr>
        <w:keepNext w:val="0"/>
        <w:keepLines w:val="0"/>
        <w:widowControl/>
        <w:suppressLineNumbers w:val="0"/>
        <w:spacing w:before="120" w:beforeAutospacing="0" w:after="240" w:afterAutospacing="0"/>
        <w:ind w:left="0" w:right="0"/>
        <w:jc w:val="both"/>
        <w:rPr>
          <w:rFonts w:hint="default" w:ascii="Times New Roman" w:hAnsi="Times New Roman" w:eastAsia="宋体" w:cs="Times New Roman"/>
          <w:kern w:val="0"/>
          <w:sz w:val="24"/>
          <w:szCs w:val="24"/>
          <w:lang w:val="en-US" w:eastAsia="zh-CN" w:bidi="ar"/>
        </w:rPr>
      </w:pPr>
      <w:r>
        <w:rPr>
          <w:rFonts w:cs="Times New Roman"/>
          <w:b/>
          <w:szCs w:val="24"/>
        </w:rPr>
        <w:t xml:space="preserve">Supplementary Figure </w:t>
      </w:r>
      <w:r>
        <w:rPr>
          <w:rFonts w:hint="eastAsia" w:eastAsia="宋体" w:cs="Times New Roman"/>
          <w:b/>
          <w:szCs w:val="24"/>
          <w:lang w:val="en-US" w:eastAsia="zh-CN"/>
        </w:rPr>
        <w:t>S4</w:t>
      </w:r>
      <w:r>
        <w:rPr>
          <w:rFonts w:cs="Times New Roman"/>
          <w:b/>
          <w:szCs w:val="24"/>
        </w:rPr>
        <w:t>.</w:t>
      </w:r>
      <w:r>
        <w:rPr>
          <w:rFonts w:hint="default" w:ascii="Times New Roman" w:hAnsi="Times New Roman" w:eastAsia="宋体" w:cs="Times New Roman"/>
          <w:kern w:val="0"/>
          <w:sz w:val="24"/>
          <w:szCs w:val="24"/>
          <w:lang w:val="en-US" w:eastAsia="zh-CN" w:bidi="ar"/>
        </w:rPr>
        <w:t xml:space="preserve"> GO and KEGG enrichment analysis of key genes in bladder cancer. (A) Circos plot of co-expressed genes; (B) Bar plot of GO enrichment analysis for the eight key genes; (C) Bubble plot of GO enrichment analysis for the eight key genes; (D) Bar plot of KEGG enrichment analysis for the eight key genes; (E) Bubble plot of KEGG enrichment analysis for the eight key genes.(The Circos plot depicts a circular chromosome map. Different colored regions represent different chromosomes, with the locations of eight co-expressed genes marked.The size of the bubble indicates the strength of the P value.)</w:t>
      </w:r>
    </w:p>
    <w:p w14:paraId="14691D24">
      <w:pPr>
        <w:keepNext w:val="0"/>
        <w:keepLines w:val="0"/>
        <w:widowControl/>
        <w:suppressLineNumbers w:val="0"/>
        <w:spacing w:before="120" w:beforeAutospacing="0" w:after="240" w:afterAutospacing="0"/>
        <w:ind w:left="0" w:right="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drawing>
          <wp:inline distT="0" distB="0" distL="114300" distR="114300">
            <wp:extent cx="5078730" cy="7461885"/>
            <wp:effectExtent l="0" t="0" r="1270" b="5715"/>
            <wp:docPr id="9" name="图片 9" descr="5.Xcell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Xcell验证"/>
                    <pic:cNvPicPr>
                      <a:picLocks noChangeAspect="1"/>
                    </pic:cNvPicPr>
                  </pic:nvPicPr>
                  <pic:blipFill>
                    <a:blip r:embed="rId14"/>
                    <a:stretch>
                      <a:fillRect/>
                    </a:stretch>
                  </pic:blipFill>
                  <pic:spPr>
                    <a:xfrm>
                      <a:off x="0" y="0"/>
                      <a:ext cx="5078730" cy="7461885"/>
                    </a:xfrm>
                    <a:prstGeom prst="rect">
                      <a:avLst/>
                    </a:prstGeom>
                  </pic:spPr>
                </pic:pic>
              </a:graphicData>
            </a:graphic>
          </wp:inline>
        </w:drawing>
      </w:r>
    </w:p>
    <w:p w14:paraId="0232467D">
      <w:pPr>
        <w:keepNext w:val="0"/>
        <w:keepLines w:val="0"/>
        <w:widowControl/>
        <w:suppressLineNumbers w:val="0"/>
        <w:spacing w:before="120" w:beforeAutospacing="0" w:after="240" w:afterAutospacing="0"/>
        <w:ind w:left="0" w:right="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bCs/>
          <w:kern w:val="0"/>
          <w:sz w:val="24"/>
          <w:szCs w:val="24"/>
          <w:lang w:val="en-US" w:eastAsia="zh-CN" w:bidi="ar"/>
        </w:rPr>
        <w:t xml:space="preserve">Supplementary Figure S5. </w:t>
      </w:r>
      <w:r>
        <w:rPr>
          <w:rFonts w:hint="default" w:ascii="Times New Roman" w:hAnsi="Times New Roman" w:eastAsia="宋体" w:cs="Times New Roman"/>
          <w:kern w:val="0"/>
          <w:sz w:val="24"/>
          <w:szCs w:val="24"/>
          <w:lang w:val="en-US" w:eastAsia="zh-CN" w:bidi="ar"/>
        </w:rPr>
        <w:t>Xcell analysis in bladder cancer. (A-B) Box plots demonstrate differential infiltration landscapes of 64 immune cell types between bladder cancer and normal tissues. (C) Box plots illustrate distinct infiltration patterns of 4 immune cell subsets in bladder cancer versus normal samples.</w:t>
      </w:r>
    </w:p>
    <w:p w14:paraId="655C03D9">
      <w:pPr>
        <w:keepNext w:val="0"/>
        <w:keepLines w:val="0"/>
        <w:widowControl/>
        <w:suppressLineNumbers w:val="0"/>
        <w:spacing w:before="120" w:beforeAutospacing="0" w:after="240" w:afterAutospacing="0"/>
        <w:ind w:left="0" w:right="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drawing>
          <wp:inline distT="0" distB="0" distL="114300" distR="114300">
            <wp:extent cx="5483225" cy="6628130"/>
            <wp:effectExtent l="0" t="0" r="3175" b="1270"/>
            <wp:docPr id="8" name="图片 8"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6"/>
                    <pic:cNvPicPr>
                      <a:picLocks noChangeAspect="1"/>
                    </pic:cNvPicPr>
                  </pic:nvPicPr>
                  <pic:blipFill>
                    <a:blip r:embed="rId15"/>
                    <a:stretch>
                      <a:fillRect/>
                    </a:stretch>
                  </pic:blipFill>
                  <pic:spPr>
                    <a:xfrm>
                      <a:off x="0" y="0"/>
                      <a:ext cx="5483225" cy="6628130"/>
                    </a:xfrm>
                    <a:prstGeom prst="rect">
                      <a:avLst/>
                    </a:prstGeom>
                  </pic:spPr>
                </pic:pic>
              </a:graphicData>
            </a:graphic>
          </wp:inline>
        </w:drawing>
      </w:r>
    </w:p>
    <w:p w14:paraId="13448FCA">
      <w:pPr>
        <w:keepNext w:val="0"/>
        <w:keepLines w:val="0"/>
        <w:widowControl/>
        <w:suppressLineNumbers w:val="0"/>
        <w:spacing w:before="120" w:beforeAutospacing="0" w:after="240" w:afterAutospacing="0"/>
        <w:ind w:left="0" w:right="0"/>
        <w:jc w:val="both"/>
        <w:rPr>
          <w:rFonts w:hint="eastAsia" w:ascii="Times New Roman" w:hAnsi="Times New Roman" w:eastAsia="宋体" w:cs="Times New Roman"/>
          <w:kern w:val="0"/>
          <w:sz w:val="24"/>
          <w:szCs w:val="24"/>
          <w:lang w:val="en-US" w:eastAsia="zh-CN" w:bidi="ar"/>
        </w:rPr>
      </w:pPr>
      <w:r>
        <w:rPr>
          <w:rFonts w:cs="Times New Roman"/>
          <w:b/>
          <w:szCs w:val="24"/>
        </w:rPr>
        <w:t xml:space="preserve">Supplementary Figure </w:t>
      </w:r>
      <w:r>
        <w:rPr>
          <w:rFonts w:hint="eastAsia" w:eastAsia="宋体" w:cs="Times New Roman"/>
          <w:b/>
          <w:szCs w:val="24"/>
          <w:lang w:val="en-US" w:eastAsia="zh-CN"/>
        </w:rPr>
        <w:t>S6</w:t>
      </w:r>
      <w:r>
        <w:rPr>
          <w:rFonts w:cs="Times New Roman"/>
          <w:b/>
          <w:szCs w:val="24"/>
        </w:rPr>
        <w:t>.</w:t>
      </w:r>
      <w:r>
        <w:rPr>
          <w:rFonts w:hint="default" w:ascii="Times New Roman" w:hAnsi="Times New Roman" w:eastAsia="宋体" w:cs="Times New Roman"/>
          <w:sz w:val="24"/>
          <w:szCs w:val="24"/>
          <w:lang w:val="en-US" w:eastAsia="zh-CN" w:bidi="ar"/>
        </w:rPr>
        <w:t xml:space="preserve"> Box plots showing differential expression analysis of key genes in TCGA and GSE7476 datasets. (A-H) Box plots showing the differential expression analysis results of LIMS2, TP53INP2, IRAK3, STX2, CYP27A1, IL11RA, KCNMB1, and PDLIM7 in the TCGA dataset; (I-P) Box plots showing the differential expression analysis results of LIMS2, TP53INP2, IRAK3, STX2, CYP27A1, IL11RA, KCNMB1, and PDLIM7 in the GSE7476 dataset. Differences between groups were assessed using the Wilcoxon rank-sum test. Each p-value is shown above the corresponding box plot (NS: p &gt; 0.05;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0.05;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0.01;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0.001;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0.0001).</w:t>
      </w:r>
    </w:p>
    <w:p w14:paraId="6C20C356">
      <w:pPr>
        <w:spacing w:before="240"/>
        <w:rPr>
          <w:rFonts w:hint="eastAsia" w:eastAsia="宋体"/>
          <w:lang w:eastAsia="zh-CN"/>
        </w:rPr>
      </w:pPr>
      <w:r>
        <w:rPr>
          <w:rFonts w:hint="eastAsia" w:eastAsia="宋体"/>
          <w:lang w:eastAsia="zh-CN"/>
        </w:rPr>
        <w:drawing>
          <wp:inline distT="0" distB="0" distL="114300" distR="114300">
            <wp:extent cx="6200775" cy="7220585"/>
            <wp:effectExtent l="0" t="0" r="9525" b="5715"/>
            <wp:docPr id="5" name="图片 5" descr="4.箱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箱线图"/>
                    <pic:cNvPicPr>
                      <a:picLocks noChangeAspect="1"/>
                    </pic:cNvPicPr>
                  </pic:nvPicPr>
                  <pic:blipFill>
                    <a:blip r:embed="rId16"/>
                    <a:stretch>
                      <a:fillRect/>
                    </a:stretch>
                  </pic:blipFill>
                  <pic:spPr>
                    <a:xfrm>
                      <a:off x="0" y="0"/>
                      <a:ext cx="6200775" cy="7220585"/>
                    </a:xfrm>
                    <a:prstGeom prst="rect">
                      <a:avLst/>
                    </a:prstGeom>
                  </pic:spPr>
                </pic:pic>
              </a:graphicData>
            </a:graphic>
          </wp:inline>
        </w:drawing>
      </w:r>
    </w:p>
    <w:p w14:paraId="32211510">
      <w:pPr>
        <w:keepNext w:val="0"/>
        <w:keepLines w:val="0"/>
        <w:widowControl/>
        <w:suppressLineNumbers w:val="0"/>
        <w:spacing w:before="120" w:beforeAutospacing="0" w:after="240" w:afterAutospacing="0"/>
        <w:ind w:left="0" w:right="0"/>
        <w:jc w:val="both"/>
        <w:rPr>
          <w:rFonts w:hint="eastAsia" w:ascii="Times New Roman" w:hAnsi="Times New Roman" w:cs="Times New Roman"/>
          <w:szCs w:val="24"/>
          <w:lang w:val="en-US" w:eastAsia="zh-CN"/>
        </w:rPr>
      </w:pPr>
      <w:r>
        <w:rPr>
          <w:rFonts w:cs="Times New Roman"/>
          <w:b/>
          <w:szCs w:val="24"/>
        </w:rPr>
        <w:t xml:space="preserve">Supplementary Figure </w:t>
      </w:r>
      <w:r>
        <w:rPr>
          <w:rFonts w:hint="eastAsia" w:eastAsia="宋体" w:cs="Times New Roman"/>
          <w:b/>
          <w:szCs w:val="24"/>
          <w:lang w:val="en-US" w:eastAsia="zh-CN"/>
        </w:rPr>
        <w:t>S7</w:t>
      </w:r>
      <w:r>
        <w:rPr>
          <w:rFonts w:cs="Times New Roman"/>
          <w:b/>
          <w:szCs w:val="24"/>
        </w:rPr>
        <w:t>.</w:t>
      </w:r>
      <w:r>
        <w:rPr>
          <w:rFonts w:cs="Times New Roman"/>
          <w:szCs w:val="24"/>
        </w:rPr>
        <w:t xml:space="preserve"> </w:t>
      </w:r>
      <w:r>
        <w:rPr>
          <w:rFonts w:hint="eastAsia" w:ascii="Times New Roman" w:hAnsi="Times New Roman" w:cs="Times New Roman"/>
          <w:szCs w:val="24"/>
          <w:lang w:val="en-US" w:eastAsia="zh-CN"/>
        </w:rPr>
        <w:t>Real-time quantitative PCR (qPCR) and differential analysis box plots of key genes. (A-F) Box plots showing differential expression analysis of eight key genes in bladder normal cells (SV) and bladder cancer cell lines (5637, T24, and HT1376): (A) LIMS2; (B) IRAK3; (C) STX2; (D) IL11RA; (E) KCNMB1; (F) PDLIM7.</w:t>
      </w:r>
      <w:r>
        <w:rPr>
          <w:rFonts w:hint="default" w:ascii="Times New Roman" w:hAnsi="Times New Roman" w:eastAsia="宋体" w:cs="Times New Roman"/>
          <w:sz w:val="24"/>
          <w:szCs w:val="24"/>
          <w:lang w:val="en-US" w:eastAsia="zh-CN" w:bidi="ar"/>
        </w:rPr>
        <w:t xml:space="preserve"> (NS: p &gt; 0.05;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0.05;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0.01;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0.001; ****: p </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 xml:space="preserve"> 0.0001).</w:t>
      </w:r>
      <w:bookmarkStart w:id="0" w:name="_GoBack"/>
      <w:bookmarkEnd w:id="0"/>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FF27">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AB28">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EDBA">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11A5B">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138C2D40"/>
    <w:rsid w:val="13FE1F83"/>
    <w:rsid w:val="35354BC5"/>
    <w:rsid w:val="418D317C"/>
    <w:rsid w:val="4C133783"/>
    <w:rsid w:val="53DD4BDC"/>
    <w:rsid w:val="69033CDC"/>
    <w:rsid w:val="6EFB30F0"/>
    <w:rsid w:val="74D41187"/>
    <w:rsid w:val="79F00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Heading 1 Char"/>
    <w:basedOn w:val="22"/>
    <w:link w:val="2"/>
    <w:qFormat/>
    <w:uiPriority w:val="2"/>
    <w:rPr>
      <w:rFonts w:ascii="Times New Roman" w:hAnsi="Times New Roman" w:eastAsia="Cambria" w:cs="Times New Roman"/>
      <w:b/>
      <w:sz w:val="24"/>
      <w:szCs w:val="24"/>
    </w:rPr>
  </w:style>
  <w:style w:type="character" w:customStyle="1" w:styleId="32">
    <w:name w:val="Heading 2 Char"/>
    <w:basedOn w:val="22"/>
    <w:link w:val="4"/>
    <w:qFormat/>
    <w:uiPriority w:val="2"/>
    <w:rPr>
      <w:rFonts w:ascii="Times New Roman" w:hAnsi="Times New Roman" w:eastAsia="Cambria" w:cs="Times New Roman"/>
      <w:b/>
      <w:sz w:val="24"/>
      <w:szCs w:val="24"/>
    </w:rPr>
  </w:style>
  <w:style w:type="character" w:customStyle="1" w:styleId="33">
    <w:name w:val="Subtitle Char"/>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Balloon Text Char"/>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Comment Text Char"/>
    <w:basedOn w:val="22"/>
    <w:link w:val="10"/>
    <w:semiHidden/>
    <w:qFormat/>
    <w:uiPriority w:val="99"/>
    <w:rPr>
      <w:rFonts w:ascii="Times New Roman" w:hAnsi="Times New Roman"/>
      <w:sz w:val="20"/>
      <w:szCs w:val="20"/>
    </w:rPr>
  </w:style>
  <w:style w:type="character" w:customStyle="1" w:styleId="38">
    <w:name w:val="Comment Subject Char"/>
    <w:basedOn w:val="37"/>
    <w:link w:val="19"/>
    <w:semiHidden/>
    <w:qFormat/>
    <w:uiPriority w:val="99"/>
    <w:rPr>
      <w:rFonts w:ascii="Times New Roman" w:hAnsi="Times New Roman"/>
      <w:b/>
      <w:bCs/>
      <w:sz w:val="20"/>
      <w:szCs w:val="20"/>
    </w:rPr>
  </w:style>
  <w:style w:type="character" w:customStyle="1" w:styleId="39">
    <w:name w:val="Endnote Text Char"/>
    <w:basedOn w:val="22"/>
    <w:link w:val="11"/>
    <w:semiHidden/>
    <w:qFormat/>
    <w:uiPriority w:val="99"/>
    <w:rPr>
      <w:rFonts w:ascii="Times New Roman" w:hAnsi="Times New Roman"/>
      <w:sz w:val="20"/>
      <w:szCs w:val="20"/>
    </w:rPr>
  </w:style>
  <w:style w:type="character" w:customStyle="1" w:styleId="40">
    <w:name w:val="Footer Char"/>
    <w:basedOn w:val="22"/>
    <w:link w:val="13"/>
    <w:qFormat/>
    <w:uiPriority w:val="99"/>
    <w:rPr>
      <w:rFonts w:ascii="Times New Roman" w:hAnsi="Times New Roman"/>
      <w:sz w:val="24"/>
    </w:rPr>
  </w:style>
  <w:style w:type="character" w:customStyle="1" w:styleId="41">
    <w:name w:val="Footnote Text Char"/>
    <w:basedOn w:val="22"/>
    <w:link w:val="16"/>
    <w:semiHidden/>
    <w:qFormat/>
    <w:uiPriority w:val="99"/>
    <w:rPr>
      <w:rFonts w:ascii="Times New Roman" w:hAnsi="Times New Roman"/>
      <w:sz w:val="20"/>
      <w:szCs w:val="20"/>
    </w:rPr>
  </w:style>
  <w:style w:type="character" w:customStyle="1" w:styleId="42">
    <w:name w:val="Header Char"/>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Heading 3 Char"/>
    <w:basedOn w:val="22"/>
    <w:link w:val="5"/>
    <w:qFormat/>
    <w:uiPriority w:val="2"/>
    <w:rPr>
      <w:rFonts w:ascii="Times New Roman" w:hAnsi="Times New Roman" w:eastAsiaTheme="majorEastAsia" w:cstheme="majorBidi"/>
      <w:b/>
      <w:sz w:val="24"/>
      <w:szCs w:val="24"/>
    </w:rPr>
  </w:style>
  <w:style w:type="character" w:customStyle="1" w:styleId="46">
    <w:name w:val="Heading 4 Char"/>
    <w:basedOn w:val="22"/>
    <w:link w:val="6"/>
    <w:qFormat/>
    <w:uiPriority w:val="2"/>
    <w:rPr>
      <w:rFonts w:ascii="Times New Roman" w:hAnsi="Times New Roman" w:eastAsiaTheme="majorEastAsia" w:cstheme="majorBidi"/>
      <w:b/>
      <w:iCs/>
      <w:sz w:val="24"/>
      <w:szCs w:val="24"/>
    </w:rPr>
  </w:style>
  <w:style w:type="character" w:customStyle="1" w:styleId="47">
    <w:name w:val="Heading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441E3-103C-4487-877D-08CD22337C19}">
  <ds:schemaRefs/>
</ds:datastoreItem>
</file>

<file path=customXml/itemProps3.xml><?xml version="1.0" encoding="utf-8"?>
<ds:datastoreItem xmlns:ds="http://schemas.openxmlformats.org/officeDocument/2006/customXml" ds:itemID="{114314AF-3C36-4C2C-B599-40A76C6FFFC1}">
  <ds:schemaRefs/>
</ds:datastoreItem>
</file>

<file path=customXml/itemProps4.xml><?xml version="1.0" encoding="utf-8"?>
<ds:datastoreItem xmlns:ds="http://schemas.openxmlformats.org/officeDocument/2006/customXml" ds:itemID="{2558679B-78FB-42CD-A1EA-A99096AF5568}">
  <ds:schemaRefs/>
</ds:datastoreItem>
</file>

<file path=customXml/itemProps5.xml><?xml version="1.0" encoding="utf-8"?>
<ds:datastoreItem xmlns:ds="http://schemas.openxmlformats.org/officeDocument/2006/customXml" ds:itemID="{4B2E0E22-D442-4EBE-AAA2-EDC8871E7B41}">
  <ds:schemaRefs/>
</ds:datastoreItem>
</file>

<file path=customXml/itemProps6.xml><?xml version="1.0" encoding="utf-8"?>
<ds:datastoreItem xmlns:ds="http://schemas.openxmlformats.org/officeDocument/2006/customXml" ds:itemID="{A3D4929F-83D0-432F-8F82-6D4423C25F5E}">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8</Pages>
  <Words>503</Words>
  <Characters>2740</Characters>
  <Lines>6</Lines>
  <Paragraphs>1</Paragraphs>
  <TotalTime>0</TotalTime>
  <ScaleCrop>false</ScaleCrop>
  <LinksUpToDate>false</LinksUpToDate>
  <CharactersWithSpaces>3228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狮子害乌龟</cp:lastModifiedBy>
  <cp:lastPrinted>2013-10-03T12:51:00Z</cp:lastPrinted>
  <dcterms:modified xsi:type="dcterms:W3CDTF">2025-06-20T09:04:13Z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TemplateDocerSaveRecord">
    <vt:lpwstr>eyJoZGlkIjoiNmEyZTdkYjQ4Y2ViMWY2OGE4OTJlNWI5N2M5MDJjM2MiLCJ1c2VySWQiOiIzMTMzOTEzNjUifQ==</vt:lpwstr>
  </property>
  <property fmtid="{D5CDD505-2E9C-101B-9397-08002B2CF9AE}" pid="11" name="KSOProductBuildVer">
    <vt:lpwstr>2052-12.1.0.21541</vt:lpwstr>
  </property>
  <property fmtid="{D5CDD505-2E9C-101B-9397-08002B2CF9AE}" pid="12" name="ICV">
    <vt:lpwstr>1B1EC359E5B24BA4A0940F31BE36039F_12</vt:lpwstr>
  </property>
</Properties>
</file>