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95F2" w14:textId="3DE6453D" w:rsidR="007421FC" w:rsidRPr="00D64D8B" w:rsidRDefault="00D64D8B">
      <w:pPr>
        <w:rPr>
          <w:rFonts w:ascii="Times New Roman" w:hAnsi="Times New Roman" w:cs="Times New Roman"/>
          <w:sz w:val="24"/>
          <w:szCs w:val="28"/>
        </w:rPr>
      </w:pPr>
      <w:r w:rsidRPr="00D64D8B">
        <w:rPr>
          <w:rFonts w:ascii="Times New Roman" w:hAnsi="Times New Roman" w:cs="Times New Roman" w:hint="eastAsia"/>
          <w:sz w:val="24"/>
          <w:szCs w:val="28"/>
        </w:rPr>
        <w:t xml:space="preserve">Supplementary Table 1. </w:t>
      </w:r>
      <w:r w:rsidRPr="00D64D8B">
        <w:rPr>
          <w:rFonts w:ascii="Times New Roman" w:hAnsi="Times New Roman" w:cs="Times New Roman"/>
          <w:sz w:val="24"/>
          <w:szCs w:val="28"/>
        </w:rPr>
        <w:t>Two-Way ANOVA Results for SCL-90 Psychological Symptom Dimensions by Gender and Exercise Intensity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2709"/>
        <w:gridCol w:w="3381"/>
        <w:gridCol w:w="2588"/>
        <w:gridCol w:w="2554"/>
      </w:tblGrid>
      <w:tr w:rsidR="00D64D8B" w:rsidRPr="00305E77" w14:paraId="2B47C80E" w14:textId="77777777" w:rsidTr="00305E77"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68D680" w14:textId="77777777" w:rsidR="007421FC" w:rsidRPr="007421FC" w:rsidRDefault="007421FC" w:rsidP="00305E7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​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14:ligatures w14:val="none"/>
              </w:rPr>
              <w:t>SCL-90 Factor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​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3EC79A4" w14:textId="77777777" w:rsidR="007421FC" w:rsidRPr="00305E77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​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14:ligatures w14:val="none"/>
              </w:rPr>
              <w:t>Main Effect: Gender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​</w:t>
            </w:r>
          </w:p>
          <w:p w14:paraId="24F9DCBF" w14:textId="150D8D25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; </w:t>
            </w:r>
            <w:r w:rsidRPr="007421FC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; η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4011EA" w14:textId="77777777" w:rsidR="007421FC" w:rsidRPr="00305E77" w:rsidRDefault="007421FC" w:rsidP="007421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​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14:ligatures w14:val="none"/>
              </w:rPr>
              <w:t>Main Effect: Exercise Intensity</w:t>
            </w:r>
          </w:p>
          <w:p w14:paraId="2096429C" w14:textId="0F4DF1C0" w:rsidR="007421FC" w:rsidRPr="007421FC" w:rsidRDefault="007421FC" w:rsidP="007421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; </w:t>
            </w:r>
            <w:r w:rsidRPr="007421FC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; η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998A5D" w14:textId="77777777" w:rsidR="007421FC" w:rsidRPr="00305E77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​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14:ligatures w14:val="none"/>
              </w:rPr>
              <w:t>Interaction Effect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​</w:t>
            </w:r>
          </w:p>
          <w:p w14:paraId="3F862F7E" w14:textId="62E0C95B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; </w:t>
            </w:r>
            <w:r w:rsidRPr="007421FC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; η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FFF2559" w14:textId="77777777" w:rsidR="007421FC" w:rsidRPr="00305E77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​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14:ligatures w14:val="none"/>
              </w:rPr>
              <w:t>Post-Hoc Comparisons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​</w:t>
            </w:r>
          </w:p>
          <w:p w14:paraId="19D8BFEE" w14:textId="3EA8E251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(Tukey HSD)</w:t>
            </w:r>
          </w:p>
        </w:tc>
      </w:tr>
      <w:tr w:rsidR="00D64D8B" w:rsidRPr="00305E77" w14:paraId="5BFB2E5B" w14:textId="77777777" w:rsidTr="00305E77">
        <w:tc>
          <w:tcPr>
            <w:tcW w:w="976" w:type="pct"/>
            <w:tcBorders>
              <w:top w:val="single" w:sz="4" w:space="0" w:color="auto"/>
            </w:tcBorders>
            <w:hideMark/>
          </w:tcPr>
          <w:p w14:paraId="7BD29C92" w14:textId="77777777" w:rsidR="007421FC" w:rsidRPr="007421FC" w:rsidRDefault="007421FC" w:rsidP="00305E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14:ligatures w14:val="none"/>
              </w:rPr>
              <w:t>Somatization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</w:p>
        </w:tc>
        <w:tc>
          <w:tcPr>
            <w:tcW w:w="970" w:type="pct"/>
            <w:tcBorders>
              <w:top w:val="single" w:sz="4" w:space="0" w:color="auto"/>
            </w:tcBorders>
            <w:hideMark/>
          </w:tcPr>
          <w:p w14:paraId="59CD84EC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=2.24; </w:t>
            </w: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=.135;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=.003</w:t>
            </w:r>
          </w:p>
        </w:tc>
        <w:tc>
          <w:tcPr>
            <w:tcW w:w="1211" w:type="pct"/>
            <w:tcBorders>
              <w:top w:val="single" w:sz="4" w:space="0" w:color="auto"/>
            </w:tcBorders>
            <w:hideMark/>
          </w:tcPr>
          <w:p w14:paraId="3C71438D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=1.87; </w:t>
            </w: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=.155;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=.004</w:t>
            </w:r>
          </w:p>
        </w:tc>
        <w:tc>
          <w:tcPr>
            <w:tcW w:w="927" w:type="pct"/>
            <w:tcBorders>
              <w:top w:val="single" w:sz="4" w:space="0" w:color="auto"/>
            </w:tcBorders>
            <w:hideMark/>
          </w:tcPr>
          <w:p w14:paraId="60394EB0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=0.92; </w:t>
            </w: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=.399;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=.002</w:t>
            </w:r>
          </w:p>
        </w:tc>
        <w:tc>
          <w:tcPr>
            <w:tcW w:w="915" w:type="pct"/>
            <w:tcBorders>
              <w:top w:val="single" w:sz="4" w:space="0" w:color="auto"/>
            </w:tcBorders>
          </w:tcPr>
          <w:p w14:paraId="118CA74F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</w:p>
        </w:tc>
      </w:tr>
      <w:tr w:rsidR="00D64D8B" w:rsidRPr="00305E77" w14:paraId="7E907B95" w14:textId="77777777" w:rsidTr="00305E77">
        <w:tc>
          <w:tcPr>
            <w:tcW w:w="976" w:type="pct"/>
            <w:hideMark/>
          </w:tcPr>
          <w:p w14:paraId="4E2E3CCA" w14:textId="77777777" w:rsidR="007421FC" w:rsidRPr="007421FC" w:rsidRDefault="007421FC" w:rsidP="00305E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14:ligatures w14:val="none"/>
              </w:rPr>
              <w:t>Obsession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</w:p>
        </w:tc>
        <w:tc>
          <w:tcPr>
            <w:tcW w:w="970" w:type="pct"/>
            <w:hideMark/>
          </w:tcPr>
          <w:p w14:paraId="5EDEE227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=20.01; </w:t>
            </w:r>
            <w:r w:rsidRPr="007421FC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&lt;.001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=.023</w:t>
            </w:r>
          </w:p>
        </w:tc>
        <w:tc>
          <w:tcPr>
            <w:tcW w:w="1211" w:type="pct"/>
            <w:hideMark/>
          </w:tcPr>
          <w:p w14:paraId="2796EB07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=8.96; </w:t>
            </w:r>
            <w:r w:rsidRPr="007421FC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&lt;.001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=.021</w:t>
            </w:r>
          </w:p>
        </w:tc>
        <w:tc>
          <w:tcPr>
            <w:tcW w:w="927" w:type="pct"/>
            <w:hideMark/>
          </w:tcPr>
          <w:p w14:paraId="63C344DB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=1.24; </w:t>
            </w: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=.291;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=.003</w:t>
            </w:r>
          </w:p>
        </w:tc>
        <w:tc>
          <w:tcPr>
            <w:tcW w:w="915" w:type="pct"/>
          </w:tcPr>
          <w:p w14:paraId="5535732D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</w:p>
        </w:tc>
      </w:tr>
      <w:tr w:rsidR="00D64D8B" w:rsidRPr="00305E77" w14:paraId="4AFF1E23" w14:textId="77777777" w:rsidTr="00305E77">
        <w:tc>
          <w:tcPr>
            <w:tcW w:w="976" w:type="pct"/>
            <w:hideMark/>
          </w:tcPr>
          <w:p w14:paraId="07E1F519" w14:textId="77777777" w:rsidR="007421FC" w:rsidRPr="007421FC" w:rsidRDefault="007421FC" w:rsidP="00305E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14:ligatures w14:val="none"/>
              </w:rPr>
              <w:t>Interpersonal Sensitivity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</w:p>
        </w:tc>
        <w:tc>
          <w:tcPr>
            <w:tcW w:w="970" w:type="pct"/>
            <w:hideMark/>
          </w:tcPr>
          <w:p w14:paraId="02847E34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=25.16; </w:t>
            </w:r>
            <w:r w:rsidRPr="007421FC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&lt;.001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=.029</w:t>
            </w:r>
          </w:p>
        </w:tc>
        <w:tc>
          <w:tcPr>
            <w:tcW w:w="1211" w:type="pct"/>
            <w:hideMark/>
          </w:tcPr>
          <w:p w14:paraId="2FEA3442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=11.03; </w:t>
            </w:r>
            <w:r w:rsidRPr="007421FC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&lt;.001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=.025</w:t>
            </w:r>
          </w:p>
        </w:tc>
        <w:tc>
          <w:tcPr>
            <w:tcW w:w="927" w:type="pct"/>
            <w:hideMark/>
          </w:tcPr>
          <w:p w14:paraId="46E397A1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=0.87; </w:t>
            </w: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=.420;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=.002</w:t>
            </w:r>
          </w:p>
        </w:tc>
        <w:tc>
          <w:tcPr>
            <w:tcW w:w="915" w:type="pct"/>
          </w:tcPr>
          <w:p w14:paraId="243CC931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</w:p>
        </w:tc>
      </w:tr>
      <w:tr w:rsidR="00D64D8B" w:rsidRPr="00305E77" w14:paraId="36D72BC1" w14:textId="77777777" w:rsidTr="00305E77">
        <w:tc>
          <w:tcPr>
            <w:tcW w:w="976" w:type="pct"/>
            <w:hideMark/>
          </w:tcPr>
          <w:p w14:paraId="38340D8A" w14:textId="77777777" w:rsidR="007421FC" w:rsidRPr="007421FC" w:rsidRDefault="007421FC" w:rsidP="00305E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14:ligatures w14:val="none"/>
              </w:rPr>
              <w:t>Depression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</w:p>
        </w:tc>
        <w:tc>
          <w:tcPr>
            <w:tcW w:w="970" w:type="pct"/>
            <w:hideMark/>
          </w:tcPr>
          <w:p w14:paraId="3FF84565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=12.48;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  <w:r w:rsidRPr="007421FC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&lt;.001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=.015</w:t>
            </w:r>
          </w:p>
        </w:tc>
        <w:tc>
          <w:tcPr>
            <w:tcW w:w="1211" w:type="pct"/>
            <w:hideMark/>
          </w:tcPr>
          <w:p w14:paraId="328AFA80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=14.27; </w:t>
            </w:r>
            <w:r w:rsidRPr="007421FC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&lt;.001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=.032</w:t>
            </w:r>
          </w:p>
        </w:tc>
        <w:tc>
          <w:tcPr>
            <w:tcW w:w="927" w:type="pct"/>
            <w:hideMark/>
          </w:tcPr>
          <w:p w14:paraId="18B8CCEE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=1.05; </w:t>
            </w: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=.351;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=.002</w:t>
            </w:r>
          </w:p>
        </w:tc>
        <w:tc>
          <w:tcPr>
            <w:tcW w:w="915" w:type="pct"/>
          </w:tcPr>
          <w:p w14:paraId="6F3C65E9" w14:textId="77777777" w:rsidR="00D64D8B" w:rsidRPr="00305E77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305E77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H &lt; L</w:t>
            </w:r>
            <w:r w:rsidRPr="00305E77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 (</w:t>
            </w:r>
            <w:r w:rsidRPr="00305E77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14:ligatures w14:val="none"/>
              </w:rPr>
              <w:t>p</w:t>
            </w:r>
            <w:r w:rsidRPr="00305E77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&lt;.001)</w:t>
            </w:r>
          </w:p>
          <w:p w14:paraId="049A846E" w14:textId="5649FB59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305E77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  <w:r w:rsidRPr="00305E77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M &lt; L</w:t>
            </w:r>
            <w:r w:rsidRPr="00305E77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 (</w:t>
            </w:r>
            <w:r w:rsidRPr="00305E77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14:ligatures w14:val="none"/>
              </w:rPr>
              <w:t>p</w:t>
            </w:r>
            <w:r w:rsidRPr="00305E77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=.038)</w:t>
            </w:r>
          </w:p>
        </w:tc>
      </w:tr>
      <w:tr w:rsidR="00D64D8B" w:rsidRPr="00305E77" w14:paraId="5ACFCF67" w14:textId="77777777" w:rsidTr="00305E77">
        <w:tc>
          <w:tcPr>
            <w:tcW w:w="976" w:type="pct"/>
            <w:hideMark/>
          </w:tcPr>
          <w:p w14:paraId="77B66300" w14:textId="77777777" w:rsidR="007421FC" w:rsidRPr="007421FC" w:rsidRDefault="007421FC" w:rsidP="00305E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14:ligatures w14:val="none"/>
              </w:rPr>
              <w:t>Anxiety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</w:p>
        </w:tc>
        <w:tc>
          <w:tcPr>
            <w:tcW w:w="970" w:type="pct"/>
            <w:hideMark/>
          </w:tcPr>
          <w:p w14:paraId="2B00F9AD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=10.25;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  <w:r w:rsidRPr="007421FC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=.001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=.012</w:t>
            </w:r>
          </w:p>
        </w:tc>
        <w:tc>
          <w:tcPr>
            <w:tcW w:w="1211" w:type="pct"/>
            <w:hideMark/>
          </w:tcPr>
          <w:p w14:paraId="5F77334B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=12.84; </w:t>
            </w:r>
            <w:r w:rsidRPr="007421FC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&lt;.001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=.029</w:t>
            </w:r>
          </w:p>
        </w:tc>
        <w:tc>
          <w:tcPr>
            <w:tcW w:w="927" w:type="pct"/>
            <w:hideMark/>
          </w:tcPr>
          <w:p w14:paraId="7AF7AF17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=0.96; </w:t>
            </w: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=.383;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=.002</w:t>
            </w:r>
          </w:p>
        </w:tc>
        <w:tc>
          <w:tcPr>
            <w:tcW w:w="915" w:type="pct"/>
          </w:tcPr>
          <w:p w14:paraId="0B050650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305E77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  <w:r w:rsidRPr="00305E77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H &lt; L</w:t>
            </w:r>
            <w:r w:rsidRPr="00305E77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 (</w:t>
            </w:r>
            <w:r w:rsidRPr="00305E77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14:ligatures w14:val="none"/>
              </w:rPr>
              <w:t>p</w:t>
            </w:r>
            <w:r w:rsidRPr="00305E77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=.002)</w:t>
            </w:r>
          </w:p>
        </w:tc>
      </w:tr>
      <w:tr w:rsidR="00D64D8B" w:rsidRPr="00305E77" w14:paraId="698E94B9" w14:textId="77777777" w:rsidTr="00305E77">
        <w:tc>
          <w:tcPr>
            <w:tcW w:w="976" w:type="pct"/>
            <w:hideMark/>
          </w:tcPr>
          <w:p w14:paraId="71547FED" w14:textId="77777777" w:rsidR="007421FC" w:rsidRPr="007421FC" w:rsidRDefault="007421FC" w:rsidP="00305E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14:ligatures w14:val="none"/>
              </w:rPr>
              <w:t>Hostility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</w:p>
        </w:tc>
        <w:tc>
          <w:tcPr>
            <w:tcW w:w="970" w:type="pct"/>
            <w:hideMark/>
          </w:tcPr>
          <w:p w14:paraId="51BC9B50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=0.87; </w:t>
            </w: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=.351;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=.001</w:t>
            </w:r>
          </w:p>
        </w:tc>
        <w:tc>
          <w:tcPr>
            <w:tcW w:w="1211" w:type="pct"/>
            <w:hideMark/>
          </w:tcPr>
          <w:p w14:paraId="4B9F1B69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=2.15; </w:t>
            </w: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=.117;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=.005</w:t>
            </w:r>
          </w:p>
        </w:tc>
        <w:tc>
          <w:tcPr>
            <w:tcW w:w="927" w:type="pct"/>
            <w:hideMark/>
          </w:tcPr>
          <w:p w14:paraId="31EB72B2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=1.33; </w:t>
            </w: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=.265;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=.003</w:t>
            </w:r>
          </w:p>
        </w:tc>
        <w:tc>
          <w:tcPr>
            <w:tcW w:w="915" w:type="pct"/>
          </w:tcPr>
          <w:p w14:paraId="309BF18E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</w:p>
        </w:tc>
      </w:tr>
      <w:tr w:rsidR="00D64D8B" w:rsidRPr="00305E77" w14:paraId="7A4E2BE8" w14:textId="77777777" w:rsidTr="00305E77">
        <w:tc>
          <w:tcPr>
            <w:tcW w:w="976" w:type="pct"/>
            <w:hideMark/>
          </w:tcPr>
          <w:p w14:paraId="1DEC69A1" w14:textId="77777777" w:rsidR="007421FC" w:rsidRPr="007421FC" w:rsidRDefault="007421FC" w:rsidP="00305E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14:ligatures w14:val="none"/>
              </w:rPr>
              <w:t>Phobic Anxiety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</w:p>
        </w:tc>
        <w:tc>
          <w:tcPr>
            <w:tcW w:w="970" w:type="pct"/>
            <w:hideMark/>
          </w:tcPr>
          <w:p w14:paraId="119D18F6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=1.99; </w:t>
            </w: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=.158;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=.002</w:t>
            </w:r>
          </w:p>
        </w:tc>
        <w:tc>
          <w:tcPr>
            <w:tcW w:w="1211" w:type="pct"/>
            <w:hideMark/>
          </w:tcPr>
          <w:p w14:paraId="52D3562E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=3.01; </w:t>
            </w: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=.050;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=.007</w:t>
            </w:r>
          </w:p>
        </w:tc>
        <w:tc>
          <w:tcPr>
            <w:tcW w:w="927" w:type="pct"/>
            <w:hideMark/>
          </w:tcPr>
          <w:p w14:paraId="109E0120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=0.75; </w:t>
            </w: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=.472;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=.002</w:t>
            </w:r>
          </w:p>
        </w:tc>
        <w:tc>
          <w:tcPr>
            <w:tcW w:w="915" w:type="pct"/>
          </w:tcPr>
          <w:p w14:paraId="189DD702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</w:p>
        </w:tc>
      </w:tr>
      <w:tr w:rsidR="00D64D8B" w:rsidRPr="00305E77" w14:paraId="63490A15" w14:textId="77777777" w:rsidTr="00305E77">
        <w:tc>
          <w:tcPr>
            <w:tcW w:w="976" w:type="pct"/>
            <w:hideMark/>
          </w:tcPr>
          <w:p w14:paraId="23F76EBA" w14:textId="77777777" w:rsidR="007421FC" w:rsidRPr="007421FC" w:rsidRDefault="007421FC" w:rsidP="00305E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14:ligatures w14:val="none"/>
              </w:rPr>
              <w:t>Paranoid Ideation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</w:p>
        </w:tc>
        <w:tc>
          <w:tcPr>
            <w:tcW w:w="970" w:type="pct"/>
            <w:hideMark/>
          </w:tcPr>
          <w:p w14:paraId="665F8A65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=2.47; </w:t>
            </w: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=.116;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=.003</w:t>
            </w:r>
          </w:p>
        </w:tc>
        <w:tc>
          <w:tcPr>
            <w:tcW w:w="1211" w:type="pct"/>
            <w:hideMark/>
          </w:tcPr>
          <w:p w14:paraId="7A4D20B3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=4.12; </w:t>
            </w: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=.017;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=.010</w:t>
            </w:r>
          </w:p>
        </w:tc>
        <w:tc>
          <w:tcPr>
            <w:tcW w:w="927" w:type="pct"/>
            <w:hideMark/>
          </w:tcPr>
          <w:p w14:paraId="7BEC7553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=1.18; </w:t>
            </w: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=.309;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=.003</w:t>
            </w:r>
          </w:p>
        </w:tc>
        <w:tc>
          <w:tcPr>
            <w:tcW w:w="915" w:type="pct"/>
          </w:tcPr>
          <w:p w14:paraId="395DEC8F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</w:p>
        </w:tc>
      </w:tr>
      <w:tr w:rsidR="00D64D8B" w:rsidRPr="00305E77" w14:paraId="03CC73D2" w14:textId="77777777" w:rsidTr="00305E77">
        <w:tc>
          <w:tcPr>
            <w:tcW w:w="976" w:type="pct"/>
            <w:tcBorders>
              <w:bottom w:val="single" w:sz="4" w:space="0" w:color="auto"/>
            </w:tcBorders>
            <w:hideMark/>
          </w:tcPr>
          <w:p w14:paraId="0414A332" w14:textId="77777777" w:rsidR="007421FC" w:rsidRPr="007421FC" w:rsidRDefault="007421FC" w:rsidP="00305E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bdr w:val="none" w:sz="0" w:space="0" w:color="auto" w:frame="1"/>
                <w14:ligatures w14:val="none"/>
              </w:rPr>
              <w:t>Psychoticism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hideMark/>
          </w:tcPr>
          <w:p w14:paraId="26C5674B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=3.02; </w:t>
            </w: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=.082;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=.004</w:t>
            </w:r>
          </w:p>
        </w:tc>
        <w:tc>
          <w:tcPr>
            <w:tcW w:w="1211" w:type="pct"/>
            <w:tcBorders>
              <w:bottom w:val="single" w:sz="4" w:space="0" w:color="auto"/>
            </w:tcBorders>
            <w:hideMark/>
          </w:tcPr>
          <w:p w14:paraId="7E186F93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=6.89;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  <w:r w:rsidRPr="007421FC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=.001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=.016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hideMark/>
          </w:tcPr>
          <w:p w14:paraId="0A7D579C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F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=0.82; </w:t>
            </w:r>
            <w:r w:rsidRPr="007421FC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:bdr w:val="none" w:sz="0" w:space="0" w:color="auto" w:frame="1"/>
                <w14:ligatures w14:val="none"/>
              </w:rPr>
              <w:t>p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=.442; η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:bdr w:val="none" w:sz="0" w:space="0" w:color="auto" w:frame="1"/>
                <w:vertAlign w:val="superscript"/>
                <w14:ligatures w14:val="none"/>
              </w:rPr>
              <w:t>2</w:t>
            </w:r>
            <w:r w:rsidRPr="007421FC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=.002</w:t>
            </w: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14:paraId="0596C33B" w14:textId="77777777" w:rsidR="007421FC" w:rsidRPr="007421FC" w:rsidRDefault="007421FC" w:rsidP="00FC6F8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305E77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H &lt; L</w:t>
            </w:r>
            <w:r w:rsidRPr="00305E77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 (</w:t>
            </w:r>
            <w:r w:rsidRPr="00305E77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14:ligatures w14:val="none"/>
              </w:rPr>
              <w:t>p</w:t>
            </w:r>
            <w:r w:rsidRPr="00305E77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=.007)</w:t>
            </w:r>
            <w:r w:rsidRPr="00305E77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br/>
              <w:t>​</w:t>
            </w:r>
            <w:r w:rsidRPr="00305E77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14:ligatures w14:val="none"/>
              </w:rPr>
              <w:t>H &lt; M</w:t>
            </w:r>
            <w:r w:rsidRPr="00305E77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​ (</w:t>
            </w:r>
            <w:r w:rsidRPr="00305E77">
              <w:rPr>
                <w:rFonts w:ascii="Times New Roman" w:eastAsia="宋体" w:hAnsi="Times New Roman" w:cs="Times New Roman"/>
                <w:i/>
                <w:iCs/>
                <w:kern w:val="0"/>
                <w:sz w:val="22"/>
                <w14:ligatures w14:val="none"/>
              </w:rPr>
              <w:t>p</w:t>
            </w:r>
            <w:r w:rsidRPr="00305E77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=.049)</w:t>
            </w:r>
          </w:p>
        </w:tc>
      </w:tr>
    </w:tbl>
    <w:p w14:paraId="69701846" w14:textId="77777777" w:rsidR="00D64D8B" w:rsidRPr="00D64D8B" w:rsidRDefault="00D64D8B" w:rsidP="00D64D8B">
      <w:pPr>
        <w:rPr>
          <w:rFonts w:ascii="Times New Roman" w:hAnsi="Times New Roman" w:cs="Times New Roman"/>
          <w:sz w:val="16"/>
          <w:szCs w:val="18"/>
        </w:rPr>
      </w:pPr>
      <w:r w:rsidRPr="00D64D8B">
        <w:rPr>
          <w:rFonts w:ascii="Times New Roman" w:hAnsi="Times New Roman" w:cs="Times New Roman"/>
          <w:sz w:val="16"/>
          <w:szCs w:val="18"/>
        </w:rPr>
        <w:t>​Design: 2 × 3 factorial ANOVA examining effects of ​Gender​ (Male/Female) and ​Exercise Intensity​ (Low/Moderate/High) on SCL-90 symptom dimensions.</w:t>
      </w:r>
    </w:p>
    <w:p w14:paraId="0C6017AA" w14:textId="77777777" w:rsidR="00D64D8B" w:rsidRPr="00D64D8B" w:rsidRDefault="00D64D8B" w:rsidP="00D64D8B">
      <w:pPr>
        <w:rPr>
          <w:rFonts w:ascii="Times New Roman" w:hAnsi="Times New Roman" w:cs="Times New Roman"/>
          <w:sz w:val="16"/>
          <w:szCs w:val="18"/>
        </w:rPr>
      </w:pPr>
      <w:r w:rsidRPr="00D64D8B">
        <w:rPr>
          <w:rFonts w:ascii="Times New Roman" w:hAnsi="Times New Roman" w:cs="Times New Roman"/>
          <w:sz w:val="16"/>
          <w:szCs w:val="18"/>
        </w:rPr>
        <w:t>​Effect Size: η² = partial eta-squared (small: ≥.01, medium: ≥.06, large: ≥.14 per Cohen, 1988).</w:t>
      </w:r>
    </w:p>
    <w:p w14:paraId="5D788D41" w14:textId="77777777" w:rsidR="00D64D8B" w:rsidRPr="00D64D8B" w:rsidRDefault="00D64D8B" w:rsidP="00D64D8B">
      <w:pPr>
        <w:rPr>
          <w:rFonts w:ascii="Times New Roman" w:hAnsi="Times New Roman" w:cs="Times New Roman"/>
          <w:sz w:val="16"/>
          <w:szCs w:val="18"/>
        </w:rPr>
      </w:pPr>
      <w:r w:rsidRPr="00D64D8B">
        <w:rPr>
          <w:rFonts w:ascii="Times New Roman" w:hAnsi="Times New Roman" w:cs="Times New Roman"/>
          <w:sz w:val="16"/>
          <w:szCs w:val="18"/>
        </w:rPr>
        <w:t>​Group Codes: H = High Intensity, M = Moderate Intensity, L = Low Intensity.</w:t>
      </w:r>
    </w:p>
    <w:p w14:paraId="74CFCECD" w14:textId="77777777" w:rsidR="00D64D8B" w:rsidRPr="00D64D8B" w:rsidRDefault="00D64D8B" w:rsidP="00D64D8B">
      <w:pPr>
        <w:rPr>
          <w:rFonts w:ascii="Times New Roman" w:hAnsi="Times New Roman" w:cs="Times New Roman"/>
          <w:sz w:val="16"/>
          <w:szCs w:val="18"/>
        </w:rPr>
      </w:pPr>
      <w:r w:rsidRPr="00D64D8B">
        <w:rPr>
          <w:rFonts w:ascii="Times New Roman" w:hAnsi="Times New Roman" w:cs="Times New Roman"/>
          <w:sz w:val="16"/>
          <w:szCs w:val="18"/>
        </w:rPr>
        <w:t>​Post-hoc Tests: Tukey HSD comparisons reported only for significant main effects (p &lt; .05).</w:t>
      </w:r>
    </w:p>
    <w:p w14:paraId="633D86A8" w14:textId="77777777" w:rsidR="00D64D8B" w:rsidRPr="00D64D8B" w:rsidRDefault="00D64D8B" w:rsidP="00D64D8B">
      <w:pPr>
        <w:rPr>
          <w:rFonts w:ascii="Times New Roman" w:hAnsi="Times New Roman" w:cs="Times New Roman"/>
          <w:sz w:val="16"/>
          <w:szCs w:val="18"/>
        </w:rPr>
      </w:pPr>
      <w:r w:rsidRPr="00D64D8B">
        <w:rPr>
          <w:rFonts w:ascii="Times New Roman" w:hAnsi="Times New Roman" w:cs="Times New Roman"/>
          <w:sz w:val="16"/>
          <w:szCs w:val="18"/>
        </w:rPr>
        <w:t>​Statistical Significance: Bolded p-values indicate p &lt; .05.</w:t>
      </w:r>
    </w:p>
    <w:p w14:paraId="6BAE22D0" w14:textId="127A77E8" w:rsidR="00D931B0" w:rsidRDefault="00D64D8B" w:rsidP="00D64D8B">
      <w:pPr>
        <w:rPr>
          <w:rFonts w:ascii="Times New Roman" w:hAnsi="Times New Roman" w:cs="Times New Roman"/>
          <w:sz w:val="16"/>
          <w:szCs w:val="18"/>
        </w:rPr>
      </w:pPr>
      <w:r w:rsidRPr="00D64D8B">
        <w:rPr>
          <w:rFonts w:ascii="Times New Roman" w:hAnsi="Times New Roman" w:cs="Times New Roman"/>
          <w:sz w:val="16"/>
          <w:szCs w:val="18"/>
        </w:rPr>
        <w:t>​Interaction Interpretation: All interaction effects non-significant (p &gt; .</w:t>
      </w:r>
      <w:r>
        <w:rPr>
          <w:rFonts w:ascii="Times New Roman" w:hAnsi="Times New Roman" w:cs="Times New Roman" w:hint="eastAsia"/>
          <w:sz w:val="16"/>
          <w:szCs w:val="18"/>
        </w:rPr>
        <w:t>05</w:t>
      </w:r>
      <w:r w:rsidRPr="00D64D8B">
        <w:rPr>
          <w:rFonts w:ascii="Times New Roman" w:hAnsi="Times New Roman" w:cs="Times New Roman"/>
          <w:sz w:val="16"/>
          <w:szCs w:val="18"/>
        </w:rPr>
        <w:t>), indicating ​</w:t>
      </w:r>
      <w:r w:rsidR="00D931B0" w:rsidRPr="00D931B0">
        <w:rPr>
          <w:rFonts w:ascii="Times New Roman" w:hAnsi="Times New Roman" w:cs="Times New Roman"/>
          <w:sz w:val="16"/>
          <w:szCs w:val="18"/>
        </w:rPr>
        <w:t>relationship between exercise intensity and SCL-90 symptom severity did not differ by gender.</w:t>
      </w:r>
    </w:p>
    <w:p w14:paraId="0487AF9D" w14:textId="27A12250" w:rsidR="007421FC" w:rsidRPr="007421FC" w:rsidRDefault="00D64D8B" w:rsidP="00D64D8B">
      <w:pPr>
        <w:rPr>
          <w:rFonts w:ascii="Times New Roman" w:hAnsi="Times New Roman" w:cs="Times New Roman" w:hint="eastAsia"/>
          <w:sz w:val="16"/>
          <w:szCs w:val="18"/>
        </w:rPr>
      </w:pPr>
      <w:r w:rsidRPr="00D64D8B">
        <w:rPr>
          <w:rFonts w:ascii="Times New Roman" w:hAnsi="Times New Roman" w:cs="Times New Roman"/>
          <w:sz w:val="16"/>
          <w:szCs w:val="18"/>
        </w:rPr>
        <w:t>​Total Sample: N = 852 medical students.</w:t>
      </w:r>
    </w:p>
    <w:sectPr w:rsidR="007421FC" w:rsidRPr="007421FC" w:rsidSect="007421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FC"/>
    <w:rsid w:val="00025A43"/>
    <w:rsid w:val="00053189"/>
    <w:rsid w:val="00060805"/>
    <w:rsid w:val="000F43F6"/>
    <w:rsid w:val="001163E4"/>
    <w:rsid w:val="002919BB"/>
    <w:rsid w:val="002B34DF"/>
    <w:rsid w:val="002D5BDB"/>
    <w:rsid w:val="00305E77"/>
    <w:rsid w:val="003138B1"/>
    <w:rsid w:val="003A03A6"/>
    <w:rsid w:val="00415212"/>
    <w:rsid w:val="00564442"/>
    <w:rsid w:val="005B36E3"/>
    <w:rsid w:val="00676362"/>
    <w:rsid w:val="006765A3"/>
    <w:rsid w:val="00706A37"/>
    <w:rsid w:val="007421FC"/>
    <w:rsid w:val="0076010E"/>
    <w:rsid w:val="008832D2"/>
    <w:rsid w:val="008B348F"/>
    <w:rsid w:val="008F467D"/>
    <w:rsid w:val="00971A98"/>
    <w:rsid w:val="00A25759"/>
    <w:rsid w:val="00C203BE"/>
    <w:rsid w:val="00C32556"/>
    <w:rsid w:val="00D64D8B"/>
    <w:rsid w:val="00D931B0"/>
    <w:rsid w:val="00F6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88A5"/>
  <w15:chartTrackingRefBased/>
  <w15:docId w15:val="{7176FAF0-9B3D-4AFD-BF52-60CAC162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1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2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1F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1F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1F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1F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1F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1F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1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1F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1F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421F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1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1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1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1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1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421F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4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俊霖 贺</dc:creator>
  <cp:keywords/>
  <dc:description/>
  <cp:lastModifiedBy>俊霖 贺</cp:lastModifiedBy>
  <cp:revision>2</cp:revision>
  <dcterms:created xsi:type="dcterms:W3CDTF">2025-07-08T14:35:00Z</dcterms:created>
  <dcterms:modified xsi:type="dcterms:W3CDTF">2025-07-08T14:35:00Z</dcterms:modified>
</cp:coreProperties>
</file>