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BE7FF" w14:textId="192546B7" w:rsidR="000F4299" w:rsidRDefault="000F4299" w:rsidP="000F4299">
      <w:pPr>
        <w:jc w:val="center"/>
        <w:rPr>
          <w:rFonts w:ascii="Times New Roman" w:hAnsi="Times New Roman" w:cs="Times New Roman"/>
          <w:sz w:val="36"/>
          <w:szCs w:val="36"/>
        </w:rPr>
      </w:pPr>
      <w:r w:rsidRPr="009F6F0D">
        <w:rPr>
          <w:rFonts w:ascii="Times New Roman" w:hAnsi="Times New Roman" w:cs="Times New Roman"/>
          <w:sz w:val="36"/>
          <w:szCs w:val="36"/>
        </w:rPr>
        <w:t xml:space="preserve">Supplementary </w:t>
      </w:r>
      <w:r>
        <w:rPr>
          <w:rFonts w:ascii="Times New Roman" w:hAnsi="Times New Roman" w:cs="Times New Roman"/>
          <w:sz w:val="36"/>
          <w:szCs w:val="36"/>
        </w:rPr>
        <w:t>Information</w:t>
      </w:r>
      <w:r w:rsidRPr="009F6F0D">
        <w:rPr>
          <w:rFonts w:ascii="Times New Roman" w:hAnsi="Times New Roman" w:cs="Times New Roman"/>
          <w:sz w:val="36"/>
          <w:szCs w:val="36"/>
        </w:rPr>
        <w:t xml:space="preserve"> for</w:t>
      </w:r>
    </w:p>
    <w:p w14:paraId="3025EDA3" w14:textId="77777777" w:rsidR="00FD193C" w:rsidRDefault="00FD193C" w:rsidP="00062A40">
      <w:pPr>
        <w:pStyle w:val="Heading2"/>
        <w:spacing w:line="240" w:lineRule="auto"/>
        <w:rPr>
          <w:rFonts w:eastAsia="Arial Unicode MS" w:cs="Times New Roman"/>
          <w:bCs w:val="0"/>
          <w:color w:val="auto"/>
          <w:kern w:val="0"/>
          <w:sz w:val="32"/>
        </w:rPr>
      </w:pPr>
      <w:r w:rsidRPr="00FD193C">
        <w:rPr>
          <w:rFonts w:eastAsia="Arial Unicode MS" w:cs="Times New Roman" w:hint="eastAsia"/>
          <w:bCs w:val="0"/>
          <w:color w:val="auto"/>
          <w:kern w:val="0"/>
          <w:sz w:val="32"/>
        </w:rPr>
        <w:t>Dual-Functional Injectable Adhesive Hydrogel Delivering Ginger-Derived Doxorubicin Vesicles for Osteosarcoma Recurrence Suppression and Post-Resection Wound Healing</w:t>
      </w:r>
      <w:r w:rsidRPr="00FD193C">
        <w:rPr>
          <w:rFonts w:eastAsia="Arial Unicode MS" w:cs="Times New Roman"/>
          <w:bCs w:val="0"/>
          <w:color w:val="auto"/>
          <w:kern w:val="0"/>
          <w:sz w:val="32"/>
        </w:rPr>
        <w:t xml:space="preserve"> </w:t>
      </w:r>
    </w:p>
    <w:p w14:paraId="7BFCCBDB" w14:textId="77777777" w:rsidR="002B2F10" w:rsidRPr="002B2F10" w:rsidRDefault="002B2F10" w:rsidP="002B2F10"/>
    <w:p w14:paraId="4A03B13A" w14:textId="05E7FEC8" w:rsidR="00062A40" w:rsidRPr="009F6F0D" w:rsidRDefault="00062A40" w:rsidP="00062A40">
      <w:pPr>
        <w:pStyle w:val="Heading2"/>
        <w:spacing w:line="240" w:lineRule="auto"/>
        <w:rPr>
          <w:rFonts w:cs="Times New Roman"/>
          <w:szCs w:val="24"/>
        </w:rPr>
      </w:pPr>
      <w:r w:rsidRPr="00356754">
        <w:rPr>
          <w:rFonts w:cs="Times New Roman"/>
          <w:szCs w:val="24"/>
        </w:rPr>
        <w:t xml:space="preserve">Supplementary </w:t>
      </w:r>
      <w:r w:rsidRPr="009F6F0D">
        <w:rPr>
          <w:rFonts w:cs="Times New Roman"/>
          <w:szCs w:val="24"/>
        </w:rPr>
        <w:t>Materials and Methods</w:t>
      </w:r>
    </w:p>
    <w:p w14:paraId="492B9545" w14:textId="17E16D40" w:rsidR="001A79D0" w:rsidRPr="001A79D0" w:rsidRDefault="00062A40" w:rsidP="001A79D0">
      <w:pPr>
        <w:rPr>
          <w:rFonts w:ascii="Times New Roman" w:hAnsi="Times New Roman" w:cs="Times New Roman"/>
          <w:b/>
          <w:szCs w:val="21"/>
        </w:rPr>
      </w:pPr>
      <w:r w:rsidRPr="00AA6EEB">
        <w:rPr>
          <w:rFonts w:ascii="Times New Roman" w:hAnsi="Times New Roman" w:cs="Times New Roman"/>
          <w:b/>
          <w:szCs w:val="21"/>
        </w:rPr>
        <w:t xml:space="preserve">1. </w:t>
      </w:r>
      <w:r w:rsidR="001A79D0" w:rsidRPr="001A79D0">
        <w:rPr>
          <w:rFonts w:ascii="Times New Roman" w:hAnsi="Times New Roman" w:cs="Times New Roman"/>
          <w:b/>
          <w:szCs w:val="21"/>
        </w:rPr>
        <w:t xml:space="preserve">Cell </w:t>
      </w:r>
      <w:r w:rsidR="00BE3F21">
        <w:rPr>
          <w:rFonts w:ascii="Times New Roman" w:hAnsi="Times New Roman" w:cs="Times New Roman" w:hint="eastAsia"/>
          <w:b/>
          <w:szCs w:val="21"/>
        </w:rPr>
        <w:t>and Animal</w:t>
      </w:r>
    </w:p>
    <w:p w14:paraId="413F4D8B" w14:textId="725148F7" w:rsidR="00BE3F21" w:rsidRPr="00BE3F21" w:rsidRDefault="00BE3F21" w:rsidP="00BE3F21">
      <w:pPr>
        <w:ind w:firstLine="420"/>
        <w:rPr>
          <w:rFonts w:ascii="Times New Roman" w:hAnsi="Times New Roman" w:cs="Times New Roman"/>
          <w:bCs/>
          <w:szCs w:val="21"/>
        </w:rPr>
      </w:pPr>
      <w:r w:rsidRPr="00BE3F21">
        <w:rPr>
          <w:rFonts w:ascii="Times New Roman" w:hAnsi="Times New Roman" w:cs="Times New Roman" w:hint="eastAsia"/>
          <w:bCs/>
          <w:szCs w:val="21"/>
        </w:rPr>
        <w:t>Human MNNG/HOS osteosarcoma cell (MNNG/HOS) and osteoblast cell line (MC 3T3-E1) were obtained from the Chinese Academy of Science cells Bank (Shanghai, China) and maintained in Dulbecco</w:t>
      </w:r>
      <w:r w:rsidRPr="00BE3F21">
        <w:rPr>
          <w:rFonts w:ascii="Times New Roman" w:hAnsi="Times New Roman" w:cs="Times New Roman" w:hint="eastAsia"/>
          <w:bCs/>
          <w:szCs w:val="21"/>
        </w:rPr>
        <w:t>’</w:t>
      </w:r>
      <w:r w:rsidRPr="00BE3F21">
        <w:rPr>
          <w:rFonts w:ascii="Times New Roman" w:hAnsi="Times New Roman" w:cs="Times New Roman" w:hint="eastAsia"/>
          <w:bCs/>
          <w:szCs w:val="21"/>
        </w:rPr>
        <w:t xml:space="preserve">s modified Eagle medium (DMEM) with </w:t>
      </w:r>
      <w:r w:rsidRPr="00BE3F21">
        <w:rPr>
          <w:rFonts w:ascii="Times New Roman" w:hAnsi="Times New Roman" w:cs="Times New Roman"/>
          <w:bCs/>
          <w:szCs w:val="21"/>
        </w:rPr>
        <w:t xml:space="preserve">10% FBS and 1% penicillin−streptomycin. </w:t>
      </w:r>
      <w:r>
        <w:rPr>
          <w:rFonts w:ascii="Times New Roman" w:hAnsi="Times New Roman" w:cs="Times New Roman" w:hint="eastAsia"/>
          <w:bCs/>
          <w:szCs w:val="21"/>
        </w:rPr>
        <w:t xml:space="preserve"> </w:t>
      </w:r>
      <w:r w:rsidR="003A2C11" w:rsidRPr="003A2C11">
        <w:rPr>
          <w:rFonts w:ascii="Times New Roman" w:hAnsi="Times New Roman" w:cs="Times New Roman"/>
          <w:bCs/>
          <w:szCs w:val="21"/>
        </w:rPr>
        <w:t>Sprague-Dawley rats (80 g, female) were sacrificed by cervical dislocation, and femurs and tibias were separated from hind limbs. The ends of the femur or tibia were removed, and the bone marrow was flushed out with 1 ml DMEM/F12 medium. The bone marrow was repeatedly washed to generate a single-cell suspension that was centrifuged at 1000 rpm for 5 min. The supernatant was removed, and cells were washed with DMEM/F12 and centrifuged for an additional 5 min. Finally, the supernatant was removed, and cells were resuspended in DMEM/F12 medium containing 10% fetal bovine serum (FBS) and 1% penicillin-streptomycin. Cells isolated from one hind limb were plated in a 25-cm2 dish and incubated at 37 °C with 5% CO2, which was defined as passage 0 (P0). After 24 h, c</w:t>
      </w:r>
      <w:r w:rsidR="003A2C11" w:rsidRPr="003A2C11">
        <w:rPr>
          <w:rFonts w:ascii="Times New Roman" w:hAnsi="Times New Roman" w:cs="Times New Roman" w:hint="eastAsia"/>
          <w:bCs/>
          <w:szCs w:val="21"/>
        </w:rPr>
        <w:t xml:space="preserve">ells were washed with PBS twice to remove non-adherent cells. When cell confluency was greater than 90%, the cells were secondarily cultured, and the passage number was increased by one. Cells from passages 2 and 3 were used to </w:t>
      </w:r>
      <w:r w:rsidR="003A2C11">
        <w:rPr>
          <w:rFonts w:ascii="Times New Roman" w:hAnsi="Times New Roman" w:cs="Times New Roman" w:hint="eastAsia"/>
          <w:bCs/>
          <w:szCs w:val="21"/>
        </w:rPr>
        <w:t>further studies</w:t>
      </w:r>
      <w:r w:rsidR="003A2C11" w:rsidRPr="003A2C11">
        <w:rPr>
          <w:rFonts w:ascii="Times New Roman" w:hAnsi="Times New Roman" w:cs="Times New Roman" w:hint="eastAsia"/>
          <w:bCs/>
          <w:szCs w:val="21"/>
        </w:rPr>
        <w:t>.</w:t>
      </w:r>
      <w:r w:rsidR="003A2C11">
        <w:rPr>
          <w:rFonts w:ascii="Times New Roman" w:hAnsi="Times New Roman" w:cs="Times New Roman" w:hint="eastAsia"/>
          <w:bCs/>
          <w:szCs w:val="21"/>
        </w:rPr>
        <w:t xml:space="preserve"> </w:t>
      </w:r>
      <w:r w:rsidRPr="00BE3F21">
        <w:rPr>
          <w:rFonts w:ascii="Times New Roman" w:hAnsi="Times New Roman" w:cs="Times New Roman"/>
          <w:bCs/>
          <w:szCs w:val="21"/>
        </w:rPr>
        <w:t>The nude female mice,</w:t>
      </w:r>
      <w:r w:rsidRPr="00BE3F21">
        <w:rPr>
          <w:rFonts w:ascii="Times New Roman" w:hAnsi="Times New Roman" w:cs="Times New Roman" w:hint="eastAsia"/>
          <w:bCs/>
          <w:szCs w:val="21"/>
        </w:rPr>
        <w:t xml:space="preserve"> </w:t>
      </w:r>
      <w:r w:rsidRPr="00BE3F21">
        <w:rPr>
          <w:rFonts w:ascii="Times New Roman" w:hAnsi="Times New Roman" w:cs="Times New Roman"/>
          <w:bCs/>
          <w:szCs w:val="21"/>
        </w:rPr>
        <w:t>20−22 g, were purchased from SPF (Beijing) Biotechnology Co., Ltd.</w:t>
      </w:r>
      <w:r w:rsidRPr="00BE3F21">
        <w:rPr>
          <w:rFonts w:ascii="Times New Roman" w:hAnsi="Times New Roman" w:cs="Times New Roman" w:hint="eastAsia"/>
          <w:bCs/>
          <w:szCs w:val="21"/>
        </w:rPr>
        <w:t xml:space="preserve"> All animal experiments were carried out in accordance with guidelines evaluated and approved by the ethics committee of Tianjin tumor hospital</w:t>
      </w:r>
      <w:r w:rsidRPr="00BE3F21">
        <w:rPr>
          <w:rFonts w:ascii="Times New Roman" w:hAnsi="Times New Roman" w:cs="Times New Roman"/>
          <w:bCs/>
          <w:szCs w:val="21"/>
        </w:rPr>
        <w:t>.</w:t>
      </w:r>
    </w:p>
    <w:p w14:paraId="1DB240D7" w14:textId="77777777" w:rsidR="00062A40" w:rsidRDefault="00062A40" w:rsidP="00062A40">
      <w:pPr>
        <w:rPr>
          <w:rFonts w:ascii="Times New Roman" w:hAnsi="Times New Roman" w:cs="Times New Roman"/>
          <w:b/>
          <w:szCs w:val="21"/>
        </w:rPr>
      </w:pPr>
    </w:p>
    <w:p w14:paraId="2800E798" w14:textId="0BEF45EC" w:rsidR="00062A40" w:rsidRDefault="00450142" w:rsidP="00062A40">
      <w:pPr>
        <w:rPr>
          <w:rFonts w:ascii="Times New Roman" w:hAnsi="Times New Roman" w:cs="Times New Roman"/>
          <w:b/>
          <w:szCs w:val="21"/>
        </w:rPr>
      </w:pPr>
      <w:r>
        <w:rPr>
          <w:rFonts w:ascii="Times New Roman" w:hAnsi="Times New Roman" w:cs="Times New Roman" w:hint="eastAsia"/>
          <w:b/>
          <w:szCs w:val="21"/>
        </w:rPr>
        <w:t>2</w:t>
      </w:r>
      <w:r w:rsidR="00062A40">
        <w:rPr>
          <w:rFonts w:ascii="Times New Roman" w:hAnsi="Times New Roman" w:cs="Times New Roman"/>
          <w:b/>
          <w:szCs w:val="21"/>
        </w:rPr>
        <w:t xml:space="preserve">. </w:t>
      </w:r>
      <w:r w:rsidR="00062A40">
        <w:rPr>
          <w:rFonts w:ascii="Times New Roman" w:hAnsi="Times New Roman" w:cs="Times New Roman" w:hint="eastAsia"/>
          <w:b/>
          <w:szCs w:val="21"/>
        </w:rPr>
        <w:t>Synthesis</w:t>
      </w:r>
      <w:r w:rsidR="00062A40">
        <w:rPr>
          <w:rFonts w:ascii="Times New Roman" w:hAnsi="Times New Roman" w:cs="Times New Roman"/>
          <w:b/>
          <w:szCs w:val="21"/>
        </w:rPr>
        <w:t xml:space="preserve"> </w:t>
      </w:r>
      <w:r w:rsidR="00062A40">
        <w:rPr>
          <w:rFonts w:ascii="Times New Roman" w:hAnsi="Times New Roman" w:cs="Times New Roman" w:hint="eastAsia"/>
          <w:b/>
          <w:szCs w:val="21"/>
        </w:rPr>
        <w:t>of</w:t>
      </w:r>
      <w:r w:rsidR="00062A40">
        <w:rPr>
          <w:rFonts w:ascii="Times New Roman" w:hAnsi="Times New Roman" w:cs="Times New Roman"/>
          <w:b/>
          <w:szCs w:val="21"/>
        </w:rPr>
        <w:t xml:space="preserve"> </w:t>
      </w:r>
      <w:r w:rsidR="002B2F10">
        <w:rPr>
          <w:rFonts w:ascii="Times New Roman" w:hAnsi="Times New Roman" w:cs="Times New Roman" w:hint="eastAsia"/>
          <w:b/>
          <w:szCs w:val="21"/>
        </w:rPr>
        <w:t>c</w:t>
      </w:r>
      <w:r w:rsidR="002B2F10" w:rsidRPr="002B2F10">
        <w:rPr>
          <w:rFonts w:ascii="Times New Roman" w:hAnsi="Times New Roman" w:cs="Times New Roman" w:hint="eastAsia"/>
          <w:b/>
          <w:szCs w:val="21"/>
        </w:rPr>
        <w:t>arboxymethyl chitosan </w:t>
      </w:r>
      <w:proofErr w:type="spellStart"/>
      <w:r w:rsidR="002B2F10">
        <w:rPr>
          <w:rFonts w:ascii="Times New Roman" w:hAnsi="Times New Roman" w:cs="Times New Roman" w:hint="eastAsia"/>
          <w:b/>
          <w:szCs w:val="21"/>
        </w:rPr>
        <w:t>m</w:t>
      </w:r>
      <w:r w:rsidR="002B2F10" w:rsidRPr="002B2F10">
        <w:rPr>
          <w:rFonts w:ascii="Times New Roman" w:hAnsi="Times New Roman" w:cs="Times New Roman" w:hint="eastAsia"/>
          <w:b/>
          <w:szCs w:val="21"/>
        </w:rPr>
        <w:t>ethacryloy</w:t>
      </w:r>
      <w:r w:rsidR="002B2F10">
        <w:rPr>
          <w:rFonts w:ascii="Times New Roman" w:hAnsi="Times New Roman" w:cs="Times New Roman" w:hint="eastAsia"/>
          <w:b/>
          <w:szCs w:val="21"/>
        </w:rPr>
        <w:t>l</w:t>
      </w:r>
      <w:proofErr w:type="spellEnd"/>
      <w:r w:rsidR="00062A40" w:rsidRPr="00062A40">
        <w:rPr>
          <w:rFonts w:ascii="Times New Roman" w:hAnsi="Times New Roman" w:cs="Times New Roman"/>
          <w:b/>
          <w:szCs w:val="21"/>
        </w:rPr>
        <w:t xml:space="preserve"> (</w:t>
      </w:r>
      <w:r w:rsidR="002B2F10">
        <w:rPr>
          <w:rFonts w:ascii="Times New Roman" w:hAnsi="Times New Roman" w:cs="Times New Roman" w:hint="eastAsia"/>
          <w:b/>
          <w:szCs w:val="21"/>
        </w:rPr>
        <w:t>CM</w:t>
      </w:r>
      <w:r>
        <w:rPr>
          <w:rFonts w:ascii="Times New Roman" w:hAnsi="Times New Roman" w:cs="Times New Roman" w:hint="eastAsia"/>
          <w:b/>
          <w:szCs w:val="21"/>
        </w:rPr>
        <w:t>CS</w:t>
      </w:r>
      <w:r w:rsidR="00062A40" w:rsidRPr="00062A40">
        <w:rPr>
          <w:rFonts w:ascii="Times New Roman" w:hAnsi="Times New Roman" w:cs="Times New Roman"/>
          <w:b/>
          <w:szCs w:val="21"/>
        </w:rPr>
        <w:t>MA)</w:t>
      </w:r>
    </w:p>
    <w:p w14:paraId="48A9A44C" w14:textId="519C4001" w:rsidR="00062A40" w:rsidRPr="00450142" w:rsidRDefault="003E4AB7" w:rsidP="003E4AB7">
      <w:pPr>
        <w:ind w:firstLine="420"/>
        <w:rPr>
          <w:rFonts w:ascii="Times New Roman" w:hAnsi="Times New Roman" w:cs="Times New Roman"/>
          <w:bCs/>
          <w:szCs w:val="21"/>
        </w:rPr>
      </w:pPr>
      <w:r w:rsidRPr="003E4AB7">
        <w:rPr>
          <w:rFonts w:ascii="Times New Roman" w:hAnsi="Times New Roman" w:cs="Times New Roman" w:hint="eastAsia"/>
          <w:bCs/>
          <w:szCs w:val="21"/>
        </w:rPr>
        <w:t xml:space="preserve">Chitosan (2.0 g) was immersed in 25 mL of 50 </w:t>
      </w:r>
      <w:proofErr w:type="spellStart"/>
      <w:r w:rsidRPr="003E4AB7">
        <w:rPr>
          <w:rFonts w:ascii="Times New Roman" w:hAnsi="Times New Roman" w:cs="Times New Roman" w:hint="eastAsia"/>
          <w:bCs/>
          <w:szCs w:val="21"/>
        </w:rPr>
        <w:t>wt</w:t>
      </w:r>
      <w:proofErr w:type="spellEnd"/>
      <w:r>
        <w:rPr>
          <w:rFonts w:ascii="Times New Roman" w:hAnsi="Times New Roman" w:cs="Times New Roman" w:hint="eastAsia"/>
          <w:bCs/>
          <w:szCs w:val="21"/>
        </w:rPr>
        <w:t xml:space="preserve"> </w:t>
      </w:r>
      <w:r w:rsidRPr="003E4AB7">
        <w:rPr>
          <w:rFonts w:ascii="Times New Roman" w:hAnsi="Times New Roman" w:cs="Times New Roman" w:hint="eastAsia"/>
          <w:bCs/>
          <w:szCs w:val="21"/>
        </w:rPr>
        <w:t>% NaOH solution for 24 hours at room temperature to achieve swelling and alkalization. The alkalized polymer was subsequently filtered under suction to remove excess NaOH, yielding a moist cake. Monochloroacetic acid (1.0</w:t>
      </w:r>
      <w:r w:rsidRPr="003E4AB7">
        <w:rPr>
          <w:rFonts w:ascii="Times New Roman" w:hAnsi="Times New Roman" w:cs="Times New Roman" w:hint="eastAsia"/>
          <w:bCs/>
          <w:szCs w:val="21"/>
        </w:rPr>
        <w:t>–</w:t>
      </w:r>
      <w:r w:rsidRPr="003E4AB7">
        <w:rPr>
          <w:rFonts w:ascii="Times New Roman" w:hAnsi="Times New Roman" w:cs="Times New Roman" w:hint="eastAsia"/>
          <w:bCs/>
          <w:szCs w:val="21"/>
        </w:rPr>
        <w:t>5.0 g, adjusted to prepare carboxymethylated derivatives with varying substitution degrees, denoted as CMCS 1</w:t>
      </w:r>
      <w:r w:rsidRPr="003E4AB7">
        <w:rPr>
          <w:rFonts w:ascii="Times New Roman" w:hAnsi="Times New Roman" w:cs="Times New Roman" w:hint="eastAsia"/>
          <w:bCs/>
          <w:szCs w:val="21"/>
        </w:rPr>
        <w:t>–</w:t>
      </w:r>
      <w:r w:rsidRPr="003E4AB7">
        <w:rPr>
          <w:rFonts w:ascii="Times New Roman" w:hAnsi="Times New Roman" w:cs="Times New Roman" w:hint="eastAsia"/>
          <w:bCs/>
          <w:szCs w:val="21"/>
        </w:rPr>
        <w:t>5) dissolved in 25 mL isopropanol was added dropwise to the alkalized chitosan over 20 minutes. The mixture was stirred for 8 hours at room temperature to complete the carboxymethylation reaction. Post-reaction, the slurry was filtered to remove the solvent, and the solid was dissolved in 100 mL deionized water. The solution was neutralized to pH 7.0 by adding 2.5 M HCl, followed by centrifugation (4000 rpm, 15 minutes) to remove insoluble residues. The supernatant was mixed with 150 mL ethanol to precipitate the carboxymethyl chitosan (CMCS), which was then filtered, rinsed repeatedly with ethanol, and vacuum-dried at room temperature.</w:t>
      </w:r>
      <w:r>
        <w:rPr>
          <w:rFonts w:ascii="Times New Roman" w:hAnsi="Times New Roman" w:cs="Times New Roman" w:hint="eastAsia"/>
          <w:bCs/>
          <w:szCs w:val="21"/>
        </w:rPr>
        <w:t xml:space="preserve"> </w:t>
      </w:r>
      <w:r w:rsidRPr="003E4AB7">
        <w:rPr>
          <w:rFonts w:ascii="Times New Roman" w:hAnsi="Times New Roman" w:cs="Times New Roman" w:hint="eastAsia"/>
          <w:bCs/>
          <w:szCs w:val="21"/>
        </w:rPr>
        <w:t xml:space="preserve">For </w:t>
      </w:r>
      <w:proofErr w:type="spellStart"/>
      <w:r w:rsidRPr="003E4AB7">
        <w:rPr>
          <w:rFonts w:ascii="Times New Roman" w:hAnsi="Times New Roman" w:cs="Times New Roman" w:hint="eastAsia"/>
          <w:bCs/>
          <w:szCs w:val="21"/>
        </w:rPr>
        <w:t>methacrylation</w:t>
      </w:r>
      <w:proofErr w:type="spellEnd"/>
      <w:r w:rsidRPr="003E4AB7">
        <w:rPr>
          <w:rFonts w:ascii="Times New Roman" w:hAnsi="Times New Roman" w:cs="Times New Roman" w:hint="eastAsia"/>
          <w:bCs/>
          <w:szCs w:val="21"/>
        </w:rPr>
        <w:t xml:space="preserve">, CMCS (1.0 g) was dissolved in 100 mL deionized water, followed by sequential addition of triethylamine (5.0 mL, as a catalyst), glycidyl methacrylate (15.0 mL), and </w:t>
      </w:r>
      <w:proofErr w:type="spellStart"/>
      <w:r w:rsidRPr="003E4AB7">
        <w:rPr>
          <w:rFonts w:ascii="Times New Roman" w:hAnsi="Times New Roman" w:cs="Times New Roman" w:hint="eastAsia"/>
          <w:bCs/>
          <w:szCs w:val="21"/>
        </w:rPr>
        <w:t>tetrabutyl</w:t>
      </w:r>
      <w:proofErr w:type="spellEnd"/>
      <w:r w:rsidRPr="003E4AB7">
        <w:rPr>
          <w:rFonts w:ascii="Times New Roman" w:hAnsi="Times New Roman" w:cs="Times New Roman" w:hint="eastAsia"/>
          <w:bCs/>
          <w:szCs w:val="21"/>
        </w:rPr>
        <w:t xml:space="preserve"> </w:t>
      </w:r>
      <w:r w:rsidRPr="003E4AB7">
        <w:rPr>
          <w:rFonts w:ascii="Times New Roman" w:hAnsi="Times New Roman" w:cs="Times New Roman" w:hint="eastAsia"/>
          <w:bCs/>
          <w:szCs w:val="21"/>
        </w:rPr>
        <w:lastRenderedPageBreak/>
        <w:t>ammonium bromide (5.0 g, as a phase-transfer catalyst). The reaction mixture was stirred for 3 days at ambient temperature under light protection, then heated at 60</w:t>
      </w:r>
      <w:r w:rsidRPr="003E4AB7">
        <w:rPr>
          <w:rFonts w:ascii="Times New Roman" w:hAnsi="Times New Roman" w:cs="Times New Roman" w:hint="eastAsia"/>
          <w:bCs/>
          <w:szCs w:val="21"/>
        </w:rPr>
        <w:t>°</w:t>
      </w:r>
      <w:r w:rsidRPr="003E4AB7">
        <w:rPr>
          <w:rFonts w:ascii="Times New Roman" w:hAnsi="Times New Roman" w:cs="Times New Roman" w:hint="eastAsia"/>
          <w:bCs/>
          <w:szCs w:val="21"/>
        </w:rPr>
        <w:t xml:space="preserve">C for 1 hour to enhance conjugation efficiency. The product was precipitated in ethanol, collected via centrifugation, and subjected to three cycles of dissolution-precipitation (water/ethanol) to eliminate unreacted monomers. Finally, the </w:t>
      </w:r>
      <w:proofErr w:type="spellStart"/>
      <w:r w:rsidRPr="003E4AB7">
        <w:rPr>
          <w:rFonts w:ascii="Times New Roman" w:hAnsi="Times New Roman" w:cs="Times New Roman" w:hint="eastAsia"/>
          <w:bCs/>
          <w:szCs w:val="21"/>
        </w:rPr>
        <w:t>methacrylated</w:t>
      </w:r>
      <w:proofErr w:type="spellEnd"/>
      <w:r w:rsidRPr="003E4AB7">
        <w:rPr>
          <w:rFonts w:ascii="Times New Roman" w:hAnsi="Times New Roman" w:cs="Times New Roman" w:hint="eastAsia"/>
          <w:bCs/>
          <w:szCs w:val="21"/>
        </w:rPr>
        <w:t xml:space="preserve"> CMCS (CMCSMA) was lyophilized to obtain a dry powder. The successful introduction of methacrylate groups was confirmed by </w:t>
      </w:r>
      <w:r w:rsidRPr="003E4AB7">
        <w:rPr>
          <w:rFonts w:ascii="Times New Roman" w:hAnsi="Times New Roman" w:cs="Times New Roman" w:hint="eastAsia"/>
          <w:bCs/>
          <w:szCs w:val="21"/>
        </w:rPr>
        <w:t>¹</w:t>
      </w:r>
      <w:r w:rsidRPr="003E4AB7">
        <w:rPr>
          <w:rFonts w:ascii="Times New Roman" w:hAnsi="Times New Roman" w:cs="Times New Roman" w:hint="eastAsia"/>
          <w:bCs/>
          <w:szCs w:val="21"/>
        </w:rPr>
        <w:t>H-NMR spectroscopy.</w:t>
      </w:r>
    </w:p>
    <w:p w14:paraId="0251891E" w14:textId="77777777" w:rsidR="005F6F86" w:rsidRDefault="005F6F86" w:rsidP="00062A40"/>
    <w:p w14:paraId="30EC869F" w14:textId="77777777" w:rsidR="00D91241" w:rsidRPr="005F6F86" w:rsidRDefault="00D91241" w:rsidP="00062A40"/>
    <w:p w14:paraId="476FE6DA" w14:textId="47A7CFA5" w:rsidR="00852A2E" w:rsidRDefault="00852A2E" w:rsidP="00852A2E">
      <w:pPr>
        <w:rPr>
          <w:rFonts w:ascii="Times New Roman" w:hAnsi="Times New Roman" w:cs="Times New Roman"/>
          <w:szCs w:val="21"/>
        </w:rPr>
      </w:pPr>
      <w:r w:rsidRPr="00852A2E">
        <w:rPr>
          <w:rFonts w:ascii="Times New Roman" w:hAnsi="Times New Roman" w:cs="Times New Roman"/>
          <w:b/>
          <w:bCs/>
          <w:szCs w:val="21"/>
        </w:rPr>
        <w:t>Table S1</w:t>
      </w:r>
      <w:r w:rsidRPr="00852A2E">
        <w:rPr>
          <w:rFonts w:ascii="Times New Roman" w:hAnsi="Times New Roman" w:cs="Times New Roman"/>
          <w:szCs w:val="21"/>
        </w:rPr>
        <w:t xml:space="preserve">. Primer sequences used for the in vivo RT–qPCR analysis of </w:t>
      </w:r>
      <w:r>
        <w:rPr>
          <w:rFonts w:ascii="Times New Roman" w:hAnsi="Times New Roman" w:cs="Times New Roman"/>
          <w:szCs w:val="21"/>
        </w:rPr>
        <w:t>inflammatory</w:t>
      </w:r>
      <w:r w:rsidRPr="00852A2E">
        <w:rPr>
          <w:rFonts w:ascii="Times New Roman" w:hAnsi="Times New Roman" w:cs="Times New Roman"/>
          <w:szCs w:val="21"/>
        </w:rPr>
        <w:t xml:space="preserve"> genes.</w:t>
      </w:r>
    </w:p>
    <w:tbl>
      <w:tblPr>
        <w:tblStyle w:val="TableGrid"/>
        <w:tblW w:w="7804" w:type="dxa"/>
        <w:tblInd w:w="-5" w:type="dxa"/>
        <w:tblLook w:val="04A0" w:firstRow="1" w:lastRow="0" w:firstColumn="1" w:lastColumn="0" w:noHBand="0" w:noVBand="1"/>
      </w:tblPr>
      <w:tblGrid>
        <w:gridCol w:w="905"/>
        <w:gridCol w:w="3527"/>
        <w:gridCol w:w="3416"/>
      </w:tblGrid>
      <w:tr w:rsidR="00852A2E" w14:paraId="46DC3354" w14:textId="77777777" w:rsidTr="00852A2E">
        <w:tc>
          <w:tcPr>
            <w:tcW w:w="905" w:type="dxa"/>
          </w:tcPr>
          <w:p w14:paraId="3D03B87F" w14:textId="77777777" w:rsidR="00852A2E" w:rsidRDefault="00852A2E" w:rsidP="00513997">
            <w:pPr>
              <w:widowControl/>
              <w:jc w:val="center"/>
            </w:pPr>
            <w:r>
              <w:rPr>
                <w:rFonts w:hint="eastAsia"/>
              </w:rPr>
              <w:t>G</w:t>
            </w:r>
            <w:r>
              <w:t>ene</w:t>
            </w:r>
          </w:p>
        </w:tc>
        <w:tc>
          <w:tcPr>
            <w:tcW w:w="3405" w:type="dxa"/>
          </w:tcPr>
          <w:p w14:paraId="52C9AE36" w14:textId="77777777" w:rsidR="00852A2E" w:rsidRDefault="00852A2E" w:rsidP="00513997">
            <w:pPr>
              <w:widowControl/>
              <w:jc w:val="center"/>
            </w:pPr>
            <w:r>
              <w:t>F</w:t>
            </w:r>
            <w:r>
              <w:rPr>
                <w:rFonts w:hint="eastAsia"/>
              </w:rPr>
              <w:t>orward</w:t>
            </w:r>
            <w:r>
              <w:t xml:space="preserve"> P</w:t>
            </w:r>
            <w:r>
              <w:rPr>
                <w:rFonts w:hint="eastAsia"/>
              </w:rPr>
              <w:t>rimers</w:t>
            </w:r>
          </w:p>
        </w:tc>
        <w:tc>
          <w:tcPr>
            <w:tcW w:w="3494" w:type="dxa"/>
          </w:tcPr>
          <w:p w14:paraId="1E2D31CC" w14:textId="77777777" w:rsidR="00852A2E" w:rsidRDefault="00852A2E" w:rsidP="00513997">
            <w:pPr>
              <w:widowControl/>
              <w:jc w:val="center"/>
            </w:pPr>
            <w:r>
              <w:rPr>
                <w:rFonts w:hint="eastAsia"/>
              </w:rPr>
              <w:t>Reverse</w:t>
            </w:r>
            <w:r>
              <w:t xml:space="preserve"> P</w:t>
            </w:r>
            <w:r>
              <w:rPr>
                <w:rFonts w:hint="eastAsia"/>
              </w:rPr>
              <w:t>rimers</w:t>
            </w:r>
          </w:p>
        </w:tc>
      </w:tr>
      <w:tr w:rsidR="00852A2E" w14:paraId="03C9797D" w14:textId="77777777" w:rsidTr="00852A2E">
        <w:tc>
          <w:tcPr>
            <w:tcW w:w="905" w:type="dxa"/>
          </w:tcPr>
          <w:p w14:paraId="08A9FDA7" w14:textId="6BB2D27E" w:rsidR="00852A2E" w:rsidRDefault="00BE3F21" w:rsidP="00513997">
            <w:pPr>
              <w:widowControl/>
              <w:jc w:val="center"/>
            </w:pPr>
            <w:r>
              <w:rPr>
                <w:rFonts w:hint="eastAsia"/>
              </w:rPr>
              <w:t>MMP13</w:t>
            </w:r>
          </w:p>
        </w:tc>
        <w:tc>
          <w:tcPr>
            <w:tcW w:w="3405" w:type="dxa"/>
          </w:tcPr>
          <w:p w14:paraId="7C74A4DD" w14:textId="635D8E2D" w:rsidR="00852A2E" w:rsidRDefault="00FB39FD" w:rsidP="00513997">
            <w:pPr>
              <w:widowControl/>
              <w:jc w:val="center"/>
            </w:pPr>
            <w:r w:rsidRPr="00FB39FD">
              <w:rPr>
                <w:rFonts w:hint="eastAsia"/>
              </w:rPr>
              <w:t>GCCCCTTCCCTATGGTGATGATG</w:t>
            </w:r>
          </w:p>
        </w:tc>
        <w:tc>
          <w:tcPr>
            <w:tcW w:w="3494" w:type="dxa"/>
          </w:tcPr>
          <w:p w14:paraId="21E5B124" w14:textId="395369D4" w:rsidR="00852A2E" w:rsidRDefault="00FB39FD" w:rsidP="00513997">
            <w:pPr>
              <w:widowControl/>
              <w:jc w:val="center"/>
            </w:pPr>
            <w:r w:rsidRPr="00FB39FD">
              <w:rPr>
                <w:rFonts w:hint="eastAsia"/>
              </w:rPr>
              <w:t>CCGCAAGAGTCACAGGATGGTAG</w:t>
            </w:r>
          </w:p>
        </w:tc>
      </w:tr>
      <w:tr w:rsidR="00852A2E" w14:paraId="6B7C21C7" w14:textId="77777777" w:rsidTr="00852A2E">
        <w:tc>
          <w:tcPr>
            <w:tcW w:w="905" w:type="dxa"/>
          </w:tcPr>
          <w:p w14:paraId="634667DB" w14:textId="6FE91E49" w:rsidR="00852A2E" w:rsidRDefault="003A2C11" w:rsidP="00513997">
            <w:pPr>
              <w:widowControl/>
              <w:jc w:val="center"/>
            </w:pPr>
            <w:r>
              <w:rPr>
                <w:rFonts w:hint="eastAsia"/>
              </w:rPr>
              <w:t>P16</w:t>
            </w:r>
          </w:p>
        </w:tc>
        <w:tc>
          <w:tcPr>
            <w:tcW w:w="3405" w:type="dxa"/>
          </w:tcPr>
          <w:p w14:paraId="1F0B2649" w14:textId="7451A5FA" w:rsidR="00852A2E" w:rsidRDefault="00FB39FD" w:rsidP="00513997">
            <w:pPr>
              <w:widowControl/>
              <w:jc w:val="center"/>
            </w:pPr>
            <w:r w:rsidRPr="00FB39FD">
              <w:rPr>
                <w:rFonts w:hint="eastAsia"/>
              </w:rPr>
              <w:t>CACCAAACGCCCCGAACAC</w:t>
            </w:r>
          </w:p>
        </w:tc>
        <w:tc>
          <w:tcPr>
            <w:tcW w:w="3494" w:type="dxa"/>
          </w:tcPr>
          <w:p w14:paraId="09C87D50" w14:textId="4509912D" w:rsidR="00852A2E" w:rsidRDefault="00FB39FD" w:rsidP="00513997">
            <w:pPr>
              <w:widowControl/>
              <w:jc w:val="center"/>
            </w:pPr>
            <w:r w:rsidRPr="00FB39FD">
              <w:rPr>
                <w:rFonts w:hint="eastAsia"/>
              </w:rPr>
              <w:t>GCACCATAGGAGAGCAGGAGAG</w:t>
            </w:r>
          </w:p>
        </w:tc>
      </w:tr>
      <w:tr w:rsidR="00852A2E" w14:paraId="0E48391B" w14:textId="77777777" w:rsidTr="00852A2E">
        <w:tc>
          <w:tcPr>
            <w:tcW w:w="905" w:type="dxa"/>
          </w:tcPr>
          <w:p w14:paraId="1428C695" w14:textId="4CFEB6A8" w:rsidR="00852A2E" w:rsidRDefault="003A2C11" w:rsidP="00513997">
            <w:pPr>
              <w:widowControl/>
              <w:jc w:val="center"/>
            </w:pPr>
            <w:r>
              <w:rPr>
                <w:rFonts w:hint="eastAsia"/>
              </w:rPr>
              <w:t>OCN</w:t>
            </w:r>
          </w:p>
        </w:tc>
        <w:tc>
          <w:tcPr>
            <w:tcW w:w="3405" w:type="dxa"/>
          </w:tcPr>
          <w:p w14:paraId="7B56FC32" w14:textId="1901C7A9" w:rsidR="00852A2E" w:rsidRDefault="00FB39FD" w:rsidP="00513997">
            <w:pPr>
              <w:widowControl/>
              <w:jc w:val="center"/>
            </w:pPr>
            <w:r w:rsidRPr="00FB39FD">
              <w:rPr>
                <w:rFonts w:hint="eastAsia"/>
              </w:rPr>
              <w:t>CAGTAAGGTGGTGAATAGACTCCG</w:t>
            </w:r>
          </w:p>
        </w:tc>
        <w:tc>
          <w:tcPr>
            <w:tcW w:w="3494" w:type="dxa"/>
          </w:tcPr>
          <w:p w14:paraId="53160199" w14:textId="4D16CD4E" w:rsidR="00852A2E" w:rsidRDefault="00FB39FD" w:rsidP="00513997">
            <w:pPr>
              <w:widowControl/>
              <w:jc w:val="center"/>
            </w:pPr>
            <w:r w:rsidRPr="00FB39FD">
              <w:rPr>
                <w:rFonts w:hint="eastAsia"/>
              </w:rPr>
              <w:t>GGTGCCATAGATGCGCTTG</w:t>
            </w:r>
          </w:p>
        </w:tc>
      </w:tr>
      <w:tr w:rsidR="00852A2E" w14:paraId="58C9B0B6" w14:textId="77777777" w:rsidTr="00852A2E">
        <w:tc>
          <w:tcPr>
            <w:tcW w:w="905" w:type="dxa"/>
          </w:tcPr>
          <w:p w14:paraId="03C37137" w14:textId="60B5AD84" w:rsidR="00852A2E" w:rsidRDefault="003A2C11" w:rsidP="00513997">
            <w:pPr>
              <w:widowControl/>
              <w:jc w:val="center"/>
            </w:pPr>
            <w:r>
              <w:rPr>
                <w:rFonts w:hint="eastAsia"/>
              </w:rPr>
              <w:t>VEGF</w:t>
            </w:r>
          </w:p>
        </w:tc>
        <w:tc>
          <w:tcPr>
            <w:tcW w:w="3405" w:type="dxa"/>
          </w:tcPr>
          <w:p w14:paraId="7BDB0B7E" w14:textId="0D787D51" w:rsidR="00852A2E" w:rsidRDefault="00FB39FD" w:rsidP="00513997">
            <w:pPr>
              <w:widowControl/>
              <w:jc w:val="center"/>
            </w:pPr>
            <w:r w:rsidRPr="00FB39FD">
              <w:rPr>
                <w:rFonts w:hint="eastAsia"/>
              </w:rPr>
              <w:t>CCACAGGGGTCCTGGCAAAG</w:t>
            </w:r>
          </w:p>
        </w:tc>
        <w:tc>
          <w:tcPr>
            <w:tcW w:w="3494" w:type="dxa"/>
          </w:tcPr>
          <w:p w14:paraId="1D54C9AD" w14:textId="17537108" w:rsidR="00852A2E" w:rsidRDefault="00FB39FD" w:rsidP="00513997">
            <w:pPr>
              <w:widowControl/>
              <w:jc w:val="center"/>
            </w:pPr>
            <w:r w:rsidRPr="00FB39FD">
              <w:rPr>
                <w:rFonts w:hint="eastAsia"/>
              </w:rPr>
              <w:t>AGCCACTCACACACACAGCC</w:t>
            </w:r>
          </w:p>
        </w:tc>
      </w:tr>
      <w:tr w:rsidR="00852A2E" w14:paraId="665D36E4" w14:textId="77777777" w:rsidTr="00852A2E">
        <w:tc>
          <w:tcPr>
            <w:tcW w:w="905" w:type="dxa"/>
          </w:tcPr>
          <w:p w14:paraId="1394B0A0" w14:textId="77777777" w:rsidR="00852A2E" w:rsidRDefault="00852A2E" w:rsidP="00513997">
            <w:pPr>
              <w:widowControl/>
              <w:jc w:val="center"/>
            </w:pPr>
            <w:r>
              <w:rPr>
                <w:rFonts w:hint="eastAsia"/>
              </w:rPr>
              <w:t>G</w:t>
            </w:r>
            <w:r>
              <w:t>APDH</w:t>
            </w:r>
          </w:p>
        </w:tc>
        <w:tc>
          <w:tcPr>
            <w:tcW w:w="3405" w:type="dxa"/>
          </w:tcPr>
          <w:p w14:paraId="4A48B4D4" w14:textId="343362D3" w:rsidR="00852A2E" w:rsidRDefault="00FB39FD" w:rsidP="00513997">
            <w:pPr>
              <w:widowControl/>
              <w:jc w:val="center"/>
            </w:pPr>
            <w:r w:rsidRPr="00FB39FD">
              <w:rPr>
                <w:rFonts w:hint="eastAsia"/>
              </w:rPr>
              <w:t>CAAGTTCAACGGCACAGTCAAGG</w:t>
            </w:r>
          </w:p>
        </w:tc>
        <w:tc>
          <w:tcPr>
            <w:tcW w:w="3494" w:type="dxa"/>
          </w:tcPr>
          <w:p w14:paraId="624E0686" w14:textId="5041A311" w:rsidR="00852A2E" w:rsidRDefault="00FB39FD" w:rsidP="00513997">
            <w:pPr>
              <w:widowControl/>
              <w:jc w:val="center"/>
            </w:pPr>
            <w:r w:rsidRPr="00FB39FD">
              <w:rPr>
                <w:rFonts w:hint="eastAsia"/>
              </w:rPr>
              <w:t>ACATACTCAGCACCAGCATCACC</w:t>
            </w:r>
          </w:p>
        </w:tc>
      </w:tr>
    </w:tbl>
    <w:p w14:paraId="3A4E9FC6" w14:textId="77777777" w:rsidR="005F6F86" w:rsidRPr="00852A2E" w:rsidRDefault="005F6F86" w:rsidP="00062A40">
      <w:pPr>
        <w:rPr>
          <w:rFonts w:ascii="Times New Roman" w:hAnsi="Times New Roman" w:cs="Times New Roman"/>
          <w:sz w:val="18"/>
          <w:szCs w:val="20"/>
        </w:rPr>
      </w:pPr>
    </w:p>
    <w:p w14:paraId="7119110B" w14:textId="0F59C370" w:rsidR="00B82E3E" w:rsidRPr="009A5376" w:rsidRDefault="00791C6D" w:rsidP="001B6618">
      <w:pPr>
        <w:pStyle w:val="EndNoteBibliography"/>
        <w:jc w:val="center"/>
        <w:rPr>
          <w:color w:val="EE0000"/>
        </w:rPr>
      </w:pPr>
      <w:r w:rsidRPr="00791C6D">
        <w:rPr>
          <w:rFonts w:hint="eastAsia"/>
          <w:color w:val="EE0000"/>
        </w:rPr>
        <w:drawing>
          <wp:inline distT="0" distB="0" distL="0" distR="0" wp14:anchorId="58B44A88" wp14:editId="262092BB">
            <wp:extent cx="3972153" cy="3167380"/>
            <wp:effectExtent l="0" t="0" r="0" b="0"/>
            <wp:docPr id="1646928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r="11709"/>
                    <a:stretch/>
                  </pic:blipFill>
                  <pic:spPr bwMode="auto">
                    <a:xfrm>
                      <a:off x="0" y="0"/>
                      <a:ext cx="3972153" cy="3167380"/>
                    </a:xfrm>
                    <a:prstGeom prst="rect">
                      <a:avLst/>
                    </a:prstGeom>
                    <a:noFill/>
                    <a:ln>
                      <a:noFill/>
                    </a:ln>
                    <a:extLst>
                      <a:ext uri="{53640926-AAD7-44D8-BBD7-CCE9431645EC}">
                        <a14:shadowObscured xmlns:a14="http://schemas.microsoft.com/office/drawing/2010/main"/>
                      </a:ext>
                    </a:extLst>
                  </pic:spPr>
                </pic:pic>
              </a:graphicData>
            </a:graphic>
          </wp:inline>
        </w:drawing>
      </w:r>
    </w:p>
    <w:p w14:paraId="02A092EA" w14:textId="2260B9D0" w:rsidR="009A5376" w:rsidRPr="001E6D7C" w:rsidRDefault="009A5376" w:rsidP="00D91241">
      <w:pPr>
        <w:pStyle w:val="EndNoteBibliography"/>
        <w:jc w:val="center"/>
        <w:rPr>
          <w:rFonts w:ascii="Times New Roman" w:hAnsi="Times New Roman" w:cs="Times New Roman"/>
        </w:rPr>
      </w:pPr>
      <w:r w:rsidRPr="001E6D7C">
        <w:rPr>
          <w:rFonts w:ascii="Times New Roman" w:hAnsi="Times New Roman" w:cs="Times New Roman"/>
          <w:b/>
          <w:bCs/>
        </w:rPr>
        <w:t>FigureS1.</w:t>
      </w:r>
      <w:r w:rsidRPr="001E6D7C">
        <w:rPr>
          <w:rFonts w:ascii="Times New Roman" w:hAnsi="Times New Roman" w:cs="Times New Roman"/>
        </w:rPr>
        <w:t xml:space="preserve"> Rheology analysis of </w:t>
      </w:r>
      <w:r w:rsidR="006C2422" w:rsidRPr="001E6D7C">
        <w:rPr>
          <w:rFonts w:ascii="Times New Roman" w:hAnsi="Times New Roman" w:cs="Times New Roman" w:hint="eastAsia"/>
        </w:rPr>
        <w:t>CMCSMA</w:t>
      </w:r>
      <w:r w:rsidRPr="001E6D7C">
        <w:rPr>
          <w:rFonts w:ascii="Times New Roman" w:hAnsi="Times New Roman" w:cs="Times New Roman"/>
        </w:rPr>
        <w:t xml:space="preserve"> and </w:t>
      </w:r>
      <w:r w:rsidR="006C2422" w:rsidRPr="001E6D7C">
        <w:rPr>
          <w:rFonts w:ascii="Times New Roman" w:hAnsi="Times New Roman" w:cs="Times New Roman" w:hint="eastAsia"/>
        </w:rPr>
        <w:t>CMCSMA/TA</w:t>
      </w:r>
      <w:r w:rsidRPr="001E6D7C">
        <w:rPr>
          <w:rFonts w:ascii="Times New Roman" w:hAnsi="Times New Roman" w:cs="Times New Roman"/>
        </w:rPr>
        <w:t xml:space="preserve"> hydrogels.</w:t>
      </w:r>
    </w:p>
    <w:p w14:paraId="249A7615" w14:textId="77777777" w:rsidR="00D91241" w:rsidRPr="006C2422" w:rsidRDefault="00D91241" w:rsidP="00D91241">
      <w:pPr>
        <w:pStyle w:val="EndNoteBibliography"/>
        <w:jc w:val="center"/>
      </w:pPr>
    </w:p>
    <w:sectPr w:rsidR="00D91241" w:rsidRPr="006C24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1E721" w14:textId="77777777" w:rsidR="00547B08" w:rsidRDefault="00547B08" w:rsidP="000F4299">
      <w:r>
        <w:separator/>
      </w:r>
    </w:p>
  </w:endnote>
  <w:endnote w:type="continuationSeparator" w:id="0">
    <w:p w14:paraId="4703FE80" w14:textId="77777777" w:rsidR="00547B08" w:rsidRDefault="00547B08" w:rsidP="000F4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05711" w14:textId="77777777" w:rsidR="00547B08" w:rsidRDefault="00547B08" w:rsidP="000F4299">
      <w:r>
        <w:separator/>
      </w:r>
    </w:p>
  </w:footnote>
  <w:footnote w:type="continuationSeparator" w:id="0">
    <w:p w14:paraId="3E3E986C" w14:textId="77777777" w:rsidR="00547B08" w:rsidRDefault="00547B08" w:rsidP="000F4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cta Biomaterialia&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fsxffsenz2xe1e525ipxw5htvxzpvzseafe&quot;&gt;YZ-抗肿瘤&lt;record-ids&gt;&lt;item&gt;36&lt;/item&gt;&lt;/record-ids&gt;&lt;/item&gt;&lt;/Libraries&gt;"/>
  </w:docVars>
  <w:rsids>
    <w:rsidRoot w:val="00AE17B3"/>
    <w:rsid w:val="00062A40"/>
    <w:rsid w:val="000F4299"/>
    <w:rsid w:val="00140269"/>
    <w:rsid w:val="00182569"/>
    <w:rsid w:val="001A79D0"/>
    <w:rsid w:val="001B6618"/>
    <w:rsid w:val="001E6D7C"/>
    <w:rsid w:val="0028014A"/>
    <w:rsid w:val="002B2F10"/>
    <w:rsid w:val="003874FE"/>
    <w:rsid w:val="00395DA1"/>
    <w:rsid w:val="003A2C11"/>
    <w:rsid w:val="003E4AB7"/>
    <w:rsid w:val="00450142"/>
    <w:rsid w:val="004D008D"/>
    <w:rsid w:val="00547B08"/>
    <w:rsid w:val="005F6F86"/>
    <w:rsid w:val="00600636"/>
    <w:rsid w:val="0063461C"/>
    <w:rsid w:val="0063665A"/>
    <w:rsid w:val="00660C5F"/>
    <w:rsid w:val="006B16F5"/>
    <w:rsid w:val="006C2422"/>
    <w:rsid w:val="006D4844"/>
    <w:rsid w:val="00791C6D"/>
    <w:rsid w:val="008128F0"/>
    <w:rsid w:val="00852A2E"/>
    <w:rsid w:val="009601A0"/>
    <w:rsid w:val="009A5376"/>
    <w:rsid w:val="00A2507F"/>
    <w:rsid w:val="00AE17B3"/>
    <w:rsid w:val="00B539D6"/>
    <w:rsid w:val="00B82E3E"/>
    <w:rsid w:val="00BD36BE"/>
    <w:rsid w:val="00BE3F21"/>
    <w:rsid w:val="00D91241"/>
    <w:rsid w:val="00EE37D1"/>
    <w:rsid w:val="00F00113"/>
    <w:rsid w:val="00F6520D"/>
    <w:rsid w:val="00FB39FD"/>
    <w:rsid w:val="00FD1601"/>
    <w:rsid w:val="00FD1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B8BCA"/>
  <w15:chartTrackingRefBased/>
  <w15:docId w15:val="{B00C1D16-64CC-40C9-860C-106C8830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299"/>
    <w:pPr>
      <w:widowControl w:val="0"/>
      <w:jc w:val="both"/>
    </w:pPr>
  </w:style>
  <w:style w:type="paragraph" w:styleId="Heading2">
    <w:name w:val="heading 2"/>
    <w:basedOn w:val="Normal"/>
    <w:next w:val="Normal"/>
    <w:link w:val="Heading2Char"/>
    <w:uiPriority w:val="9"/>
    <w:unhideWhenUsed/>
    <w:qFormat/>
    <w:rsid w:val="00062A40"/>
    <w:pPr>
      <w:keepNext/>
      <w:keepLines/>
      <w:spacing w:before="120" w:after="120" w:line="360" w:lineRule="auto"/>
      <w:outlineLvl w:val="1"/>
    </w:pPr>
    <w:rPr>
      <w:rFonts w:ascii="Times New Roman" w:eastAsia="Times New Roman" w:hAnsi="Times New Roman" w:cstheme="majorBidi"/>
      <w:b/>
      <w:bCs/>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299"/>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0F4299"/>
    <w:rPr>
      <w:sz w:val="18"/>
      <w:szCs w:val="18"/>
    </w:rPr>
  </w:style>
  <w:style w:type="paragraph" w:styleId="Footer">
    <w:name w:val="footer"/>
    <w:basedOn w:val="Normal"/>
    <w:link w:val="FooterChar"/>
    <w:uiPriority w:val="99"/>
    <w:unhideWhenUsed/>
    <w:rsid w:val="000F42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0F4299"/>
    <w:rPr>
      <w:sz w:val="18"/>
      <w:szCs w:val="18"/>
    </w:rPr>
  </w:style>
  <w:style w:type="character" w:customStyle="1" w:styleId="Heading2Char">
    <w:name w:val="Heading 2 Char"/>
    <w:basedOn w:val="DefaultParagraphFont"/>
    <w:link w:val="Heading2"/>
    <w:uiPriority w:val="9"/>
    <w:rsid w:val="00062A40"/>
    <w:rPr>
      <w:rFonts w:ascii="Times New Roman" w:eastAsia="Times New Roman" w:hAnsi="Times New Roman" w:cstheme="majorBidi"/>
      <w:b/>
      <w:bCs/>
      <w:color w:val="000000" w:themeColor="text1"/>
      <w:sz w:val="24"/>
      <w:szCs w:val="32"/>
    </w:rPr>
  </w:style>
  <w:style w:type="paragraph" w:customStyle="1" w:styleId="EndNoteBibliographyTitle">
    <w:name w:val="EndNote Bibliography Title"/>
    <w:basedOn w:val="Normal"/>
    <w:link w:val="EndNoteBibliographyTitle0"/>
    <w:rsid w:val="005F6F86"/>
    <w:pPr>
      <w:jc w:val="center"/>
    </w:pPr>
    <w:rPr>
      <w:rFonts w:ascii="DengXian" w:eastAsia="DengXian" w:hAnsi="DengXian"/>
      <w:noProof/>
      <w:sz w:val="20"/>
    </w:rPr>
  </w:style>
  <w:style w:type="character" w:customStyle="1" w:styleId="EndNoteBibliographyTitle0">
    <w:name w:val="EndNote Bibliography Title 字符"/>
    <w:basedOn w:val="DefaultParagraphFont"/>
    <w:link w:val="EndNoteBibliographyTitle"/>
    <w:rsid w:val="005F6F86"/>
    <w:rPr>
      <w:rFonts w:ascii="DengXian" w:eastAsia="DengXian" w:hAnsi="DengXian"/>
      <w:noProof/>
      <w:sz w:val="20"/>
    </w:rPr>
  </w:style>
  <w:style w:type="paragraph" w:customStyle="1" w:styleId="EndNoteBibliography">
    <w:name w:val="EndNote Bibliography"/>
    <w:basedOn w:val="Normal"/>
    <w:link w:val="EndNoteBibliography0"/>
    <w:rsid w:val="005F6F86"/>
    <w:rPr>
      <w:rFonts w:ascii="DengXian" w:eastAsia="DengXian" w:hAnsi="DengXian"/>
      <w:noProof/>
      <w:sz w:val="20"/>
    </w:rPr>
  </w:style>
  <w:style w:type="character" w:customStyle="1" w:styleId="EndNoteBibliography0">
    <w:name w:val="EndNote Bibliography 字符"/>
    <w:basedOn w:val="DefaultParagraphFont"/>
    <w:link w:val="EndNoteBibliography"/>
    <w:rsid w:val="005F6F86"/>
    <w:rPr>
      <w:rFonts w:ascii="DengXian" w:eastAsia="DengXian" w:hAnsi="DengXian"/>
      <w:noProof/>
      <w:sz w:val="20"/>
    </w:rPr>
  </w:style>
  <w:style w:type="table" w:styleId="TableGrid">
    <w:name w:val="Table Grid"/>
    <w:basedOn w:val="TableNormal"/>
    <w:uiPriority w:val="39"/>
    <w:rsid w:val="00852A2E"/>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2C11"/>
    <w:rPr>
      <w:sz w:val="21"/>
      <w:szCs w:val="21"/>
    </w:rPr>
  </w:style>
  <w:style w:type="paragraph" w:styleId="CommentText">
    <w:name w:val="annotation text"/>
    <w:basedOn w:val="Normal"/>
    <w:link w:val="CommentTextChar"/>
    <w:uiPriority w:val="99"/>
    <w:unhideWhenUsed/>
    <w:rsid w:val="003A2C11"/>
    <w:pPr>
      <w:jc w:val="left"/>
    </w:pPr>
  </w:style>
  <w:style w:type="character" w:customStyle="1" w:styleId="CommentTextChar">
    <w:name w:val="Comment Text Char"/>
    <w:basedOn w:val="DefaultParagraphFont"/>
    <w:link w:val="CommentText"/>
    <w:uiPriority w:val="99"/>
    <w:rsid w:val="003A2C11"/>
  </w:style>
  <w:style w:type="paragraph" w:styleId="CommentSubject">
    <w:name w:val="annotation subject"/>
    <w:basedOn w:val="CommentText"/>
    <w:next w:val="CommentText"/>
    <w:link w:val="CommentSubjectChar"/>
    <w:uiPriority w:val="99"/>
    <w:semiHidden/>
    <w:unhideWhenUsed/>
    <w:rsid w:val="003A2C11"/>
    <w:rPr>
      <w:b/>
      <w:bCs/>
    </w:rPr>
  </w:style>
  <w:style w:type="character" w:customStyle="1" w:styleId="CommentSubjectChar">
    <w:name w:val="Comment Subject Char"/>
    <w:basedOn w:val="CommentTextChar"/>
    <w:link w:val="CommentSubject"/>
    <w:uiPriority w:val="99"/>
    <w:semiHidden/>
    <w:rsid w:val="003A2C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605</Words>
  <Characters>3453</Characters>
  <Application>Microsoft Office Word</Application>
  <DocSecurity>0</DocSecurity>
  <Lines>28</Lines>
  <Paragraphs>8</Paragraphs>
  <ScaleCrop>false</ScaleCrop>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浩 李</dc:creator>
  <cp:keywords/>
  <dc:description/>
  <cp:lastModifiedBy>Laura Niven</cp:lastModifiedBy>
  <cp:revision>18</cp:revision>
  <dcterms:created xsi:type="dcterms:W3CDTF">2023-10-05T16:02:00Z</dcterms:created>
  <dcterms:modified xsi:type="dcterms:W3CDTF">2025-06-09T09:59:00Z</dcterms:modified>
</cp:coreProperties>
</file>