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3B05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Table S1. Comparison of CR-POPF Incidence Rates by Year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1482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5195D7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Year</w:t>
            </w:r>
          </w:p>
        </w:tc>
        <w:tc>
          <w:tcPr>
            <w:tcW w:w="1704" w:type="dxa"/>
          </w:tcPr>
          <w:p w14:paraId="6DDAD71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Technique</w:t>
            </w:r>
          </w:p>
        </w:tc>
        <w:tc>
          <w:tcPr>
            <w:tcW w:w="1704" w:type="dxa"/>
          </w:tcPr>
          <w:p w14:paraId="0B12F43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Number of Cases</w:t>
            </w:r>
          </w:p>
        </w:tc>
        <w:tc>
          <w:tcPr>
            <w:tcW w:w="1705" w:type="dxa"/>
          </w:tcPr>
          <w:p w14:paraId="323E44D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CR-POPF, n (%)</w:t>
            </w:r>
          </w:p>
        </w:tc>
        <w:tc>
          <w:tcPr>
            <w:tcW w:w="1705" w:type="dxa"/>
          </w:tcPr>
          <w:p w14:paraId="71DA18C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p value*</w:t>
            </w:r>
          </w:p>
        </w:tc>
      </w:tr>
      <w:tr w14:paraId="6EC65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8AD010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2018-2019</w:t>
            </w:r>
          </w:p>
        </w:tc>
        <w:tc>
          <w:tcPr>
            <w:tcW w:w="1704" w:type="dxa"/>
          </w:tcPr>
          <w:p w14:paraId="18B06E7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c-PJ</w:t>
            </w:r>
          </w:p>
        </w:tc>
        <w:tc>
          <w:tcPr>
            <w:tcW w:w="1704" w:type="dxa"/>
          </w:tcPr>
          <w:p w14:paraId="3E5EF0E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</w:t>
            </w:r>
          </w:p>
        </w:tc>
        <w:tc>
          <w:tcPr>
            <w:tcW w:w="1705" w:type="dxa"/>
          </w:tcPr>
          <w:p w14:paraId="3222761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9 (15.3%)</w:t>
            </w:r>
          </w:p>
        </w:tc>
        <w:tc>
          <w:tcPr>
            <w:tcW w:w="1705" w:type="dxa"/>
          </w:tcPr>
          <w:p w14:paraId="456303F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0.645</w:t>
            </w:r>
            <w:r>
              <w:rPr>
                <w:rFonts w:hint="default"/>
                <w:vertAlign w:val="superscript"/>
                <w:lang w:val="en-US" w:eastAsia="zh-CN"/>
              </w:rPr>
              <w:t>†</w:t>
            </w:r>
          </w:p>
        </w:tc>
      </w:tr>
      <w:tr w14:paraId="3565A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234C35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2020</w:t>
            </w:r>
          </w:p>
        </w:tc>
        <w:tc>
          <w:tcPr>
            <w:tcW w:w="1704" w:type="dxa"/>
          </w:tcPr>
          <w:p w14:paraId="5C0D9ED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c-PJ</w:t>
            </w:r>
          </w:p>
        </w:tc>
        <w:tc>
          <w:tcPr>
            <w:tcW w:w="1704" w:type="dxa"/>
          </w:tcPr>
          <w:p w14:paraId="44AB2AB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1705" w:type="dxa"/>
          </w:tcPr>
          <w:p w14:paraId="2E12244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 (11.6%)</w:t>
            </w:r>
          </w:p>
        </w:tc>
        <w:tc>
          <w:tcPr>
            <w:tcW w:w="1705" w:type="dxa"/>
          </w:tcPr>
          <w:p w14:paraId="16B7F96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0.758</w:t>
            </w:r>
            <w:r>
              <w:rPr>
                <w:rFonts w:hint="default"/>
                <w:vertAlign w:val="superscript"/>
                <w:lang w:val="en-US" w:eastAsia="zh-CN"/>
              </w:rPr>
              <w:t>‡</w:t>
            </w:r>
          </w:p>
        </w:tc>
      </w:tr>
      <w:tr w14:paraId="30923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268D81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</w:t>
            </w:r>
          </w:p>
        </w:tc>
        <w:tc>
          <w:tcPr>
            <w:tcW w:w="1704" w:type="dxa"/>
          </w:tcPr>
          <w:p w14:paraId="3ACC636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c-PJ</w:t>
            </w:r>
          </w:p>
        </w:tc>
        <w:tc>
          <w:tcPr>
            <w:tcW w:w="1704" w:type="dxa"/>
          </w:tcPr>
          <w:p w14:paraId="6AC9ED3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1705" w:type="dxa"/>
          </w:tcPr>
          <w:p w14:paraId="4DB34AC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6 (13.3%)</w:t>
            </w:r>
          </w:p>
        </w:tc>
        <w:tc>
          <w:tcPr>
            <w:tcW w:w="1705" w:type="dxa"/>
          </w:tcPr>
          <w:p w14:paraId="29D648F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0.825</w:t>
            </w:r>
            <w:r>
              <w:rPr>
                <w:rFonts w:hint="default"/>
                <w:vertAlign w:val="superscript"/>
                <w:lang w:val="en-US" w:eastAsia="zh-CN"/>
              </w:rPr>
              <w:t>‡</w:t>
            </w:r>
          </w:p>
        </w:tc>
      </w:tr>
      <w:tr w14:paraId="4098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E9B3DD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1704" w:type="dxa"/>
          </w:tcPr>
          <w:p w14:paraId="7C959D5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c-PJ</w:t>
            </w:r>
          </w:p>
        </w:tc>
        <w:tc>
          <w:tcPr>
            <w:tcW w:w="1704" w:type="dxa"/>
          </w:tcPr>
          <w:p w14:paraId="63EBA5B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1705" w:type="dxa"/>
          </w:tcPr>
          <w:p w14:paraId="1817734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6 (14.3%)</w:t>
            </w:r>
          </w:p>
        </w:tc>
        <w:tc>
          <w:tcPr>
            <w:tcW w:w="1705" w:type="dxa"/>
          </w:tcPr>
          <w:p w14:paraId="76A7F1D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0.025</w:t>
            </w:r>
            <w:r>
              <w:rPr>
                <w:rFonts w:hint="default"/>
                <w:vertAlign w:val="superscript"/>
                <w:lang w:val="en-US" w:eastAsia="zh-CN"/>
              </w:rPr>
              <w:t>§</w:t>
            </w:r>
          </w:p>
        </w:tc>
      </w:tr>
      <w:tr w14:paraId="20EEE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01AD64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1704" w:type="dxa"/>
          </w:tcPr>
          <w:p w14:paraId="5626CCC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m-BPJ</w:t>
            </w:r>
          </w:p>
        </w:tc>
        <w:tc>
          <w:tcPr>
            <w:tcW w:w="1704" w:type="dxa"/>
          </w:tcPr>
          <w:p w14:paraId="7E62206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1705" w:type="dxa"/>
          </w:tcPr>
          <w:p w14:paraId="7F15656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 (11.1%)</w:t>
            </w:r>
          </w:p>
        </w:tc>
        <w:tc>
          <w:tcPr>
            <w:tcW w:w="1705" w:type="dxa"/>
          </w:tcPr>
          <w:p w14:paraId="3AFF325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0.432</w:t>
            </w:r>
            <w:r>
              <w:rPr>
                <w:rFonts w:hint="default"/>
                <w:vertAlign w:val="superscript"/>
                <w:lang w:val="en-US" w:eastAsia="zh-CN"/>
              </w:rPr>
              <w:t>‡</w:t>
            </w:r>
          </w:p>
        </w:tc>
      </w:tr>
      <w:tr w14:paraId="0906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B7469D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1704" w:type="dxa"/>
          </w:tcPr>
          <w:p w14:paraId="33E099C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m-BPJ</w:t>
            </w:r>
          </w:p>
        </w:tc>
        <w:tc>
          <w:tcPr>
            <w:tcW w:w="1704" w:type="dxa"/>
          </w:tcPr>
          <w:p w14:paraId="1C0491F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705" w:type="dxa"/>
          </w:tcPr>
          <w:p w14:paraId="7661491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 (7.5%)</w:t>
            </w:r>
          </w:p>
        </w:tc>
        <w:tc>
          <w:tcPr>
            <w:tcW w:w="1705" w:type="dxa"/>
          </w:tcPr>
          <w:p w14:paraId="72DC016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</w:tr>
      <w:tr w14:paraId="11431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BAFC04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Total</w:t>
            </w:r>
          </w:p>
        </w:tc>
        <w:tc>
          <w:tcPr>
            <w:tcW w:w="1704" w:type="dxa"/>
          </w:tcPr>
          <w:p w14:paraId="6A8F312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c-PJ</w:t>
            </w:r>
          </w:p>
        </w:tc>
        <w:tc>
          <w:tcPr>
            <w:tcW w:w="1704" w:type="dxa"/>
          </w:tcPr>
          <w:p w14:paraId="1A7C8F6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</w:t>
            </w:r>
          </w:p>
        </w:tc>
        <w:tc>
          <w:tcPr>
            <w:tcW w:w="1705" w:type="dxa"/>
          </w:tcPr>
          <w:p w14:paraId="4F0A603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17 (13.1%)</w:t>
            </w:r>
          </w:p>
        </w:tc>
        <w:tc>
          <w:tcPr>
            <w:tcW w:w="1705" w:type="dxa"/>
          </w:tcPr>
          <w:p w14:paraId="4AA0595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0.408</w:t>
            </w:r>
          </w:p>
        </w:tc>
      </w:tr>
      <w:tr w14:paraId="08048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F4F30C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Total</w:t>
            </w:r>
          </w:p>
        </w:tc>
        <w:tc>
          <w:tcPr>
            <w:tcW w:w="1704" w:type="dxa"/>
          </w:tcPr>
          <w:p w14:paraId="4CCB937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m-BPJ</w:t>
            </w:r>
          </w:p>
        </w:tc>
        <w:tc>
          <w:tcPr>
            <w:tcW w:w="1704" w:type="dxa"/>
          </w:tcPr>
          <w:p w14:paraId="3228770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</w:t>
            </w:r>
          </w:p>
        </w:tc>
        <w:tc>
          <w:tcPr>
            <w:tcW w:w="1705" w:type="dxa"/>
          </w:tcPr>
          <w:p w14:paraId="7C62720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8 (9.4%)</w:t>
            </w:r>
          </w:p>
        </w:tc>
        <w:tc>
          <w:tcPr>
            <w:tcW w:w="1705" w:type="dxa"/>
          </w:tcPr>
          <w:p w14:paraId="03FAE9A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D23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22" w:type="dxa"/>
            <w:gridSpan w:val="5"/>
          </w:tcPr>
          <w:p w14:paraId="079DC3E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c-PJ: conventional pancreaticojejunostomy, m-BPJ: modified Blumgart pancreaticojejunostomy, CR-POPF: clinically relevant postoperative pancreatic fistula.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vertAlign w:val="superscript"/>
                <w:lang w:val="en-US" w:eastAsia="zh-CN"/>
              </w:rPr>
              <w:t>*</w:t>
            </w:r>
            <w:r>
              <w:rPr>
                <w:rFonts w:hint="default"/>
                <w:vertAlign w:val="baseline"/>
                <w:lang w:val="en-US" w:eastAsia="zh-CN"/>
              </w:rPr>
              <w:t>Using Chi-square test or Fisher's exact test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. </w:t>
            </w:r>
            <w:r>
              <w:rPr>
                <w:rFonts w:hint="default"/>
                <w:vertAlign w:val="superscript"/>
                <w:lang w:val="en-US" w:eastAsia="zh-CN"/>
              </w:rPr>
              <w:t>†</w:t>
            </w:r>
            <w:r>
              <w:rPr>
                <w:rFonts w:hint="default"/>
                <w:vertAlign w:val="baseline"/>
                <w:lang w:val="en-US" w:eastAsia="zh-CN"/>
              </w:rPr>
              <w:t>Comparison with the 2020-2022 c-PJ group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. </w:t>
            </w:r>
            <w:r>
              <w:rPr>
                <w:rFonts w:hint="default"/>
                <w:vertAlign w:val="superscript"/>
                <w:lang w:val="en-US" w:eastAsia="zh-CN"/>
              </w:rPr>
              <w:t>‡</w:t>
            </w:r>
            <w:r>
              <w:rPr>
                <w:rFonts w:hint="default"/>
                <w:vertAlign w:val="baseline"/>
                <w:lang w:val="en-US" w:eastAsia="zh-CN"/>
              </w:rPr>
              <w:t>Comparison with the next year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. </w:t>
            </w:r>
            <w:r>
              <w:rPr>
                <w:rFonts w:hint="default"/>
                <w:vertAlign w:val="superscript"/>
                <w:lang w:val="en-US" w:eastAsia="zh-CN"/>
              </w:rPr>
              <w:t>§</w:t>
            </w:r>
            <w:r>
              <w:rPr>
                <w:rFonts w:hint="default"/>
                <w:vertAlign w:val="baseline"/>
                <w:lang w:val="en-US" w:eastAsia="zh-CN"/>
              </w:rPr>
              <w:t>Comparison between 2022 and 2023 (before and after technique transition)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. </w:t>
            </w:r>
            <w:r>
              <w:rPr>
                <w:rFonts w:hint="default"/>
                <w:vertAlign w:val="baseline"/>
                <w:lang w:val="en-US" w:eastAsia="zh-CN"/>
              </w:rPr>
              <w:t>Bold indicates statistical significance (p &lt; 0.05)</w:t>
            </w:r>
          </w:p>
        </w:tc>
      </w:tr>
    </w:tbl>
    <w:p w14:paraId="257F3C9E">
      <w:pPr>
        <w:rPr>
          <w:rFonts w:hint="default"/>
          <w:lang w:val="en-US" w:eastAsia="zh-CN"/>
        </w:rPr>
      </w:pPr>
    </w:p>
    <w:p w14:paraId="0FD7B94A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50425"/>
    <w:rsid w:val="146179CB"/>
    <w:rsid w:val="2893296A"/>
    <w:rsid w:val="3CC50425"/>
    <w:rsid w:val="4A36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1138</Characters>
  <Lines>0</Lines>
  <Paragraphs>0</Paragraphs>
  <TotalTime>20</TotalTime>
  <ScaleCrop>false</ScaleCrop>
  <LinksUpToDate>false</LinksUpToDate>
  <CharactersWithSpaces>1268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2025-05-20T03:16:00Z</dcterms:created>
  <dc:creator>Lin Ye</dc:creator>
  <cp:lastModifiedBy>Lin Ye</cp:lastModifiedBy>
  <dcterms:modified xsi:type="dcterms:W3CDTF">2025-05-20T15:32:48Z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ZOTERO_PREF_1">
    <vt:lpwstr>1</vt:lpwstr>
  </property>
  <property fmtid="{D5CDD505-2E9C-101B-9397-08002B2CF9AE}" pid="4" name="ZOTERO_PREF_2">
    <vt:lpwstr>1</vt:lpwstr>
  </property>
  <property fmtid="{D5CDD505-2E9C-101B-9397-08002B2CF9AE}" pid="5" name="ICV">
    <vt:lpwstr>8DA6DBEB5E814604A72EDB839E1D1962_11</vt:lpwstr>
  </property>
  <property fmtid="{D5CDD505-2E9C-101B-9397-08002B2CF9AE}" pid="6" name="KSOTemplateDocerSaveRecord">
    <vt:lpwstr>eyJoZGlkIjoiODYyYjEyODNhMTA3MDNhYjY3Yjg4NmRlMDVjZGVlOGEiLCJ1c2VySWQiOiIyMTU1Mzk3NjIifQ==</vt:lpwstr>
  </property>
</Properties>
</file>