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46B6" w14:textId="28EAC188" w:rsidR="00E80D1A" w:rsidRPr="00E80D1A" w:rsidRDefault="00E80D1A" w:rsidP="00E80D1A">
      <w:pPr>
        <w:spacing w:after="120"/>
        <w:ind w:left="360" w:firstLineChars="0" w:hanging="360"/>
        <w:jc w:val="center"/>
        <w:rPr>
          <w:sz w:val="28"/>
          <w:szCs w:val="28"/>
        </w:rPr>
      </w:pPr>
      <w:r w:rsidRPr="00E80D1A">
        <w:rPr>
          <w:b/>
          <w:bCs/>
          <w:sz w:val="28"/>
          <w:szCs w:val="28"/>
        </w:rPr>
        <w:t>Supplementary Data Sheet</w:t>
      </w:r>
    </w:p>
    <w:p w14:paraId="185AC2B4" w14:textId="4FF28823" w:rsidR="00C65ED3" w:rsidRPr="000C48C2" w:rsidRDefault="00C65ED3" w:rsidP="000C48C2">
      <w:pPr>
        <w:pStyle w:val="ListParagraph"/>
        <w:numPr>
          <w:ilvl w:val="0"/>
          <w:numId w:val="14"/>
        </w:numPr>
        <w:ind w:firstLineChars="0"/>
        <w:jc w:val="both"/>
        <w:rPr>
          <w:b/>
          <w:bCs/>
          <w:noProof/>
        </w:rPr>
      </w:pPr>
      <w:r w:rsidRPr="000C48C2">
        <w:rPr>
          <w:b/>
          <w:bCs/>
        </w:rPr>
        <w:t>Supplementary Materials</w:t>
      </w:r>
      <w:r w:rsidRPr="000C48C2">
        <w:rPr>
          <w:b/>
          <w:bCs/>
          <w:noProof/>
        </w:rPr>
        <w:t xml:space="preserve"> </w:t>
      </w:r>
    </w:p>
    <w:p w14:paraId="4D3DF285" w14:textId="40BC2306" w:rsidR="00020386" w:rsidRPr="00B32535" w:rsidRDefault="000C48C2" w:rsidP="000C48C2">
      <w:pPr>
        <w:pStyle w:val="ListParagraph"/>
        <w:numPr>
          <w:ilvl w:val="1"/>
          <w:numId w:val="14"/>
        </w:numPr>
        <w:autoSpaceDE/>
        <w:autoSpaceDN/>
        <w:spacing w:beforeLines="50" w:before="120"/>
        <w:ind w:left="540" w:firstLineChars="0" w:hanging="540"/>
        <w:outlineLvl w:val="5"/>
        <w:rPr>
          <w:b/>
          <w:bCs/>
        </w:rPr>
      </w:pPr>
      <w:r>
        <w:rPr>
          <w:b/>
          <w:bCs/>
        </w:rPr>
        <w:t xml:space="preserve"> </w:t>
      </w:r>
      <w:r w:rsidR="00020386" w:rsidRPr="00B32535">
        <w:rPr>
          <w:b/>
          <w:bCs/>
        </w:rPr>
        <w:t xml:space="preserve">List </w:t>
      </w:r>
      <w:r w:rsidR="00FF6232">
        <w:rPr>
          <w:b/>
          <w:bCs/>
        </w:rPr>
        <w:t xml:space="preserve">of </w:t>
      </w:r>
      <w:r w:rsidR="00020386" w:rsidRPr="00B32535">
        <w:rPr>
          <w:b/>
          <w:bCs/>
        </w:rPr>
        <w:t>materials and reagents</w:t>
      </w:r>
      <w:r w:rsidR="009652CD">
        <w:rPr>
          <w:b/>
          <w:bCs/>
        </w:rPr>
        <w:t xml:space="preserve"> used </w:t>
      </w:r>
      <w:r w:rsidR="00F434C6">
        <w:rPr>
          <w:b/>
          <w:bCs/>
        </w:rPr>
        <w:t>in the study</w:t>
      </w:r>
      <w:r w:rsidR="00020386" w:rsidRPr="00B32535">
        <w:rPr>
          <w:b/>
          <w:bCs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4225"/>
      </w:tblGrid>
      <w:tr w:rsidR="0067702D" w:rsidRPr="0067702D" w14:paraId="1AB3901D" w14:textId="77777777" w:rsidTr="00A87349">
        <w:trPr>
          <w:trHeight w:val="242"/>
          <w:tblHeader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672F" w14:textId="77777777" w:rsidR="001C28B9" w:rsidRPr="0067702D" w:rsidRDefault="001C28B9" w:rsidP="00C65ED3">
            <w:pPr>
              <w:ind w:leftChars="-46" w:left="-110" w:firstLineChars="2" w:firstLine="5"/>
              <w:jc w:val="center"/>
              <w:rPr>
                <w:b/>
                <w:bCs/>
                <w:szCs w:val="21"/>
              </w:rPr>
            </w:pPr>
            <w:r w:rsidRPr="0067702D">
              <w:rPr>
                <w:b/>
                <w:bCs/>
                <w:szCs w:val="21"/>
              </w:rPr>
              <w:t>Name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97BA4" w14:textId="66ED0B1F" w:rsidR="001C28B9" w:rsidRPr="0067702D" w:rsidRDefault="001C28B9" w:rsidP="00C65ED3">
            <w:pPr>
              <w:ind w:leftChars="-46" w:left="-110" w:firstLineChars="2" w:firstLine="5"/>
              <w:jc w:val="center"/>
              <w:rPr>
                <w:b/>
                <w:bCs/>
                <w:szCs w:val="21"/>
              </w:rPr>
            </w:pPr>
            <w:r w:rsidRPr="0067702D">
              <w:rPr>
                <w:b/>
                <w:bCs/>
                <w:szCs w:val="21"/>
              </w:rPr>
              <w:t>Manufacturer</w:t>
            </w:r>
            <w:r w:rsidR="00B57249" w:rsidRPr="0067702D">
              <w:rPr>
                <w:b/>
                <w:bCs/>
                <w:szCs w:val="21"/>
              </w:rPr>
              <w:t>, Lot #</w:t>
            </w:r>
          </w:p>
        </w:tc>
      </w:tr>
      <w:tr w:rsidR="0067702D" w:rsidRPr="0067702D" w14:paraId="38C08162" w14:textId="77777777" w:rsidTr="00A87349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6440" w14:textId="44B56A04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JS207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58235" w14:textId="45D4B23D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Pr="0067702D">
              <w:rPr>
                <w:rFonts w:eastAsiaTheme="minorEastAsia"/>
                <w:szCs w:val="21"/>
                <w:vertAlign w:val="superscript"/>
              </w:rPr>
              <w:t>1</w:t>
            </w:r>
            <w:r w:rsidR="00AF7102" w:rsidRPr="0067702D">
              <w:rPr>
                <w:rFonts w:eastAsiaTheme="minorEastAsia"/>
                <w:szCs w:val="21"/>
              </w:rPr>
              <w:t xml:space="preserve">, </w:t>
            </w:r>
            <w:r w:rsidR="00AF7102" w:rsidRPr="0067702D">
              <w:rPr>
                <w:rFonts w:eastAsiaTheme="minorEastAsia"/>
                <w:szCs w:val="21"/>
                <w:lang w:val="zh-CN"/>
              </w:rPr>
              <w:t>22111451</w:t>
            </w:r>
          </w:p>
        </w:tc>
      </w:tr>
      <w:tr w:rsidR="0067702D" w:rsidRPr="0067702D" w14:paraId="0EAF3336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55BB" w14:textId="72486612" w:rsidR="001C28B9" w:rsidRPr="00FE0925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AK112</w:t>
            </w:r>
            <w:r w:rsidR="00FE0925" w:rsidRPr="00FE0925">
              <w:rPr>
                <w:rFonts w:eastAsiaTheme="minorEastAsia"/>
                <w:szCs w:val="21"/>
                <w:vertAlign w:val="superscript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2AFA" w14:textId="500B5725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="00E85598" w:rsidRPr="0067702D">
              <w:rPr>
                <w:rFonts w:eastAsiaTheme="minorEastAsia"/>
                <w:szCs w:val="21"/>
              </w:rPr>
              <w:t xml:space="preserve">, </w:t>
            </w:r>
            <w:r w:rsidR="00E85598" w:rsidRPr="0067702D">
              <w:rPr>
                <w:rFonts w:eastAsiaTheme="minorEastAsia"/>
                <w:szCs w:val="21"/>
                <w:lang w:val="zh-CN"/>
              </w:rPr>
              <w:t>20230117</w:t>
            </w:r>
          </w:p>
        </w:tc>
      </w:tr>
      <w:tr w:rsidR="004F6439" w:rsidRPr="0067702D" w14:paraId="7085A3C6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C8FB" w14:textId="5E80C516" w:rsidR="004F6439" w:rsidRPr="004F6439" w:rsidRDefault="004F643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Ak112</w:t>
            </w:r>
            <w:r w:rsidR="00FE0925" w:rsidRPr="00FE0925">
              <w:rPr>
                <w:rFonts w:eastAsiaTheme="minorEastAsia"/>
                <w:szCs w:val="21"/>
                <w:vertAlign w:val="superscript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D19DB" w14:textId="350E784F" w:rsidR="004F6439" w:rsidRPr="0067702D" w:rsidRDefault="00FE0925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proofErr w:type="spellStart"/>
            <w:r w:rsidRPr="001067C9">
              <w:t>Akesobio</w:t>
            </w:r>
            <w:proofErr w:type="spellEnd"/>
            <w:r>
              <w:t xml:space="preserve">, </w:t>
            </w:r>
            <w:r w:rsidR="00495B0E" w:rsidRPr="00495B0E">
              <w:t>BA112P202405004</w:t>
            </w:r>
          </w:p>
        </w:tc>
      </w:tr>
      <w:tr w:rsidR="0067702D" w:rsidRPr="0067702D" w14:paraId="57AE51B3" w14:textId="77777777" w:rsidTr="00A87349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6100" w14:textId="037CCD04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Toripalimab</w:t>
            </w:r>
            <w:r w:rsidR="00DF065E" w:rsidRPr="00DF065E">
              <w:rPr>
                <w:rFonts w:eastAsiaTheme="minorEastAsia"/>
                <w:szCs w:val="21"/>
                <w:vertAlign w:val="superscript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0A08" w14:textId="5EEBE7F7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="00BD398A" w:rsidRPr="0067702D">
              <w:rPr>
                <w:rFonts w:eastAsiaTheme="minorEastAsia"/>
                <w:szCs w:val="21"/>
              </w:rPr>
              <w:t xml:space="preserve">, </w:t>
            </w:r>
            <w:r w:rsidR="00BD398A" w:rsidRPr="0067702D">
              <w:rPr>
                <w:rFonts w:eastAsiaTheme="minorEastAsia"/>
                <w:szCs w:val="21"/>
                <w:lang w:val="zh-CN"/>
              </w:rPr>
              <w:t>002-WRS-01</w:t>
            </w:r>
          </w:p>
        </w:tc>
      </w:tr>
      <w:tr w:rsidR="0067702D" w:rsidRPr="0067702D" w14:paraId="7A9DA13A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12E6" w14:textId="65D1B5D1" w:rsidR="001C28B9" w:rsidRPr="00DF065E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VEGF</w:t>
            </w:r>
            <w:r w:rsidRPr="0067702D">
              <w:rPr>
                <w:rFonts w:eastAsiaTheme="minorEastAsia"/>
                <w:szCs w:val="21"/>
                <w:lang w:val="zh-CN"/>
              </w:rPr>
              <w:t>-DotAb</w:t>
            </w:r>
            <w:r w:rsidR="00DF065E" w:rsidRPr="00DF065E">
              <w:rPr>
                <w:rFonts w:eastAsiaTheme="minorEastAsia"/>
                <w:szCs w:val="21"/>
                <w:vertAlign w:val="superscript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4A58" w14:textId="03398A26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="004371A0" w:rsidRPr="0067702D">
              <w:rPr>
                <w:rFonts w:eastAsiaTheme="minorEastAsia"/>
                <w:szCs w:val="21"/>
              </w:rPr>
              <w:t xml:space="preserve">, </w:t>
            </w:r>
            <w:r w:rsidR="004371A0" w:rsidRPr="0067702D">
              <w:rPr>
                <w:rFonts w:eastAsiaTheme="minorEastAsia"/>
                <w:szCs w:val="21"/>
                <w:lang w:val="zh-CN"/>
              </w:rPr>
              <w:t>20220804</w:t>
            </w:r>
          </w:p>
        </w:tc>
      </w:tr>
      <w:tr w:rsidR="0067702D" w:rsidRPr="0067702D" w14:paraId="61567A5B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20A4" w14:textId="6003BEC5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Human PD-1</w:t>
            </w:r>
            <w:r w:rsidR="00927019" w:rsidRPr="0067702D">
              <w:rPr>
                <w:rFonts w:eastAsiaTheme="minorEastAsia"/>
                <w:szCs w:val="21"/>
              </w:rPr>
              <w:t>-</w:t>
            </w:r>
            <w:r w:rsidRPr="0067702D">
              <w:rPr>
                <w:rFonts w:eastAsiaTheme="minorEastAsia"/>
                <w:szCs w:val="21"/>
                <w:lang w:val="zh-CN"/>
              </w:rPr>
              <w:t>mFc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279C" w14:textId="0A3C1CBC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="00B57249" w:rsidRPr="0067702D">
              <w:rPr>
                <w:rFonts w:eastAsiaTheme="minorEastAsia"/>
                <w:szCs w:val="21"/>
              </w:rPr>
              <w:t xml:space="preserve">, </w:t>
            </w:r>
            <w:r w:rsidR="00B57249" w:rsidRPr="0067702D">
              <w:rPr>
                <w:rFonts w:eastAsiaTheme="minorEastAsia"/>
                <w:szCs w:val="21"/>
                <w:lang w:val="zh-CN"/>
              </w:rPr>
              <w:t>20210421</w:t>
            </w:r>
          </w:p>
        </w:tc>
      </w:tr>
      <w:tr w:rsidR="0067702D" w:rsidRPr="0067702D" w14:paraId="06819F57" w14:textId="77777777" w:rsidTr="00A87349">
        <w:trPr>
          <w:trHeight w:val="35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A295" w14:textId="77777777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Human PD-1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39792" w14:textId="1DD1B2E4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="00A87349" w:rsidRPr="0067702D">
              <w:rPr>
                <w:rFonts w:eastAsiaTheme="minorEastAsia"/>
                <w:szCs w:val="21"/>
              </w:rPr>
              <w:t xml:space="preserve">, </w:t>
            </w:r>
            <w:r w:rsidR="00A87349" w:rsidRPr="0067702D">
              <w:rPr>
                <w:rFonts w:eastAsiaTheme="minorEastAsia"/>
                <w:szCs w:val="21"/>
                <w:lang w:val="zh-CN"/>
              </w:rPr>
              <w:t>20211103</w:t>
            </w:r>
          </w:p>
        </w:tc>
      </w:tr>
      <w:tr w:rsidR="0067702D" w:rsidRPr="0067702D" w14:paraId="2C5AB838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FCD9" w14:textId="70CCE043" w:rsidR="00F415B5" w:rsidRPr="0067702D" w:rsidRDefault="00A8734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Cynomolgus</w:t>
            </w:r>
            <w:r w:rsidR="00F415B5" w:rsidRPr="0067702D">
              <w:rPr>
                <w:rFonts w:eastAsiaTheme="minorEastAsia"/>
                <w:szCs w:val="21"/>
              </w:rPr>
              <w:t xml:space="preserve"> PD-1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8EBCB" w14:textId="2677A97A" w:rsidR="00F415B5" w:rsidRPr="0067702D" w:rsidRDefault="00CA0CE4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t xml:space="preserve">Sino Biological, </w:t>
            </w:r>
            <w:r w:rsidR="00F548B8" w:rsidRPr="0067702D">
              <w:t>LC15SE2304</w:t>
            </w:r>
          </w:p>
        </w:tc>
      </w:tr>
      <w:tr w:rsidR="0067702D" w:rsidRPr="0067702D" w14:paraId="50895028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B5C7" w14:textId="76EE9CFA" w:rsidR="000F37A7" w:rsidRPr="0067702D" w:rsidRDefault="000F37A7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Rat PD-1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152FC" w14:textId="36B7A9DF" w:rsidR="000F37A7" w:rsidRPr="0067702D" w:rsidRDefault="008F4F22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t>Sino Biological,</w:t>
            </w:r>
            <w:r w:rsidR="00166A26" w:rsidRPr="0067702D">
              <w:t xml:space="preserve"> </w:t>
            </w:r>
            <w:r w:rsidR="00166A26" w:rsidRPr="0067702D">
              <w:rPr>
                <w:rFonts w:hint="eastAsia"/>
              </w:rPr>
              <w:t>L</w:t>
            </w:r>
            <w:r w:rsidR="00166A26" w:rsidRPr="0067702D">
              <w:t>C16DE1904</w:t>
            </w:r>
          </w:p>
        </w:tc>
      </w:tr>
      <w:tr w:rsidR="0067702D" w:rsidRPr="0067702D" w14:paraId="2FE9C1AC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BF17" w14:textId="542C8AD9" w:rsidR="000F37A7" w:rsidRPr="0067702D" w:rsidRDefault="000F37A7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Mouse PD-1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AFDE" w14:textId="7F311211" w:rsidR="000F37A7" w:rsidRPr="0067702D" w:rsidRDefault="00321EC7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t xml:space="preserve">R&amp;D </w:t>
            </w:r>
            <w:r w:rsidR="009209DF" w:rsidRPr="0067702D">
              <w:t>Systems</w:t>
            </w:r>
            <w:r w:rsidRPr="0067702D">
              <w:t xml:space="preserve">, </w:t>
            </w:r>
            <w:r w:rsidR="009209DF" w:rsidRPr="0067702D">
              <w:t>DDJJ0818051</w:t>
            </w:r>
          </w:p>
        </w:tc>
      </w:tr>
      <w:tr w:rsidR="0067702D" w:rsidRPr="0067702D" w14:paraId="55898974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A101B" w14:textId="69D762F1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Human/</w:t>
            </w:r>
            <w:r w:rsidR="003C71CF" w:rsidRPr="0067702D">
              <w:t xml:space="preserve"> </w:t>
            </w:r>
            <w:r w:rsidR="003C71CF" w:rsidRPr="0067702D">
              <w:rPr>
                <w:rFonts w:eastAsiaTheme="minorEastAsia"/>
                <w:szCs w:val="21"/>
              </w:rPr>
              <w:t>Cynomolgus</w:t>
            </w:r>
            <w:r w:rsidRPr="0067702D">
              <w:rPr>
                <w:rFonts w:eastAsiaTheme="minorEastAsia"/>
                <w:szCs w:val="21"/>
              </w:rPr>
              <w:t xml:space="preserve"> VEGFA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CAF9" w14:textId="1B8683F1" w:rsidR="001C28B9" w:rsidRPr="0067702D" w:rsidRDefault="001C28B9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Sino Biological</w:t>
            </w:r>
            <w:r w:rsidR="00EA673B" w:rsidRPr="0067702D">
              <w:rPr>
                <w:rFonts w:eastAsiaTheme="minorEastAsia"/>
                <w:szCs w:val="21"/>
              </w:rPr>
              <w:t xml:space="preserve">, </w:t>
            </w:r>
            <w:r w:rsidR="00EA673B" w:rsidRPr="0067702D">
              <w:rPr>
                <w:rFonts w:eastAsiaTheme="minorEastAsia"/>
                <w:szCs w:val="21"/>
                <w:lang w:val="zh-CN"/>
              </w:rPr>
              <w:t>LC14AP0803</w:t>
            </w:r>
          </w:p>
        </w:tc>
      </w:tr>
      <w:tr w:rsidR="008757A2" w:rsidRPr="0067702D" w14:paraId="57492DAD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B045" w14:textId="5F4A96B0" w:rsidR="008757A2" w:rsidRPr="00466D31" w:rsidRDefault="008757A2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466D31">
              <w:rPr>
                <w:rFonts w:eastAsiaTheme="minorEastAsia"/>
                <w:color w:val="000000"/>
                <w:szCs w:val="21"/>
                <w:lang w:val="zh-CN"/>
              </w:rPr>
              <w:t>Human VEGFA,His tag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E25B4" w14:textId="168BC3FA" w:rsidR="008757A2" w:rsidRPr="00466D31" w:rsidRDefault="008757A2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466D31">
              <w:rPr>
                <w:rFonts w:eastAsiaTheme="minorEastAsia"/>
                <w:color w:val="000000"/>
                <w:szCs w:val="21"/>
                <w:lang w:val="zh-CN"/>
              </w:rPr>
              <w:t>Acro, 2410-2069F1-146</w:t>
            </w:r>
          </w:p>
        </w:tc>
      </w:tr>
      <w:tr w:rsidR="0067702D" w:rsidRPr="0067702D" w14:paraId="7D869B66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5151E" w14:textId="2B14F92B" w:rsidR="00631C65" w:rsidRPr="0067702D" w:rsidRDefault="00631C65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VEGFB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7F88B" w14:textId="3168A2C1" w:rsidR="00631C65" w:rsidRPr="0067702D" w:rsidRDefault="00650183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 xml:space="preserve">Acro, </w:t>
            </w:r>
            <w:r w:rsidR="00670E46" w:rsidRPr="0067702D">
              <w:rPr>
                <w:rFonts w:eastAsiaTheme="minorEastAsia"/>
                <w:szCs w:val="21"/>
              </w:rPr>
              <w:t>675-223PF1-12C </w:t>
            </w:r>
          </w:p>
        </w:tc>
      </w:tr>
      <w:tr w:rsidR="0067702D" w:rsidRPr="0067702D" w14:paraId="25FF03BA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27881" w14:textId="04B8AD3B" w:rsidR="00631C65" w:rsidRPr="0067702D" w:rsidRDefault="00631C65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VEGFC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5D311" w14:textId="5D727D01" w:rsidR="00631C65" w:rsidRPr="0067702D" w:rsidRDefault="00670E46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>Sino Biological, LC16AU0206 </w:t>
            </w:r>
          </w:p>
        </w:tc>
      </w:tr>
      <w:tr w:rsidR="0067702D" w:rsidRPr="0067702D" w14:paraId="23398950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C389" w14:textId="427514F7" w:rsidR="00631C65" w:rsidRPr="0067702D" w:rsidRDefault="00631C65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VEGFD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3936" w14:textId="70F4DF58" w:rsidR="00631C65" w:rsidRPr="0067702D" w:rsidRDefault="005468BE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>Sino Biological, LC14JA2103</w:t>
            </w:r>
          </w:p>
        </w:tc>
      </w:tr>
      <w:tr w:rsidR="0067702D" w:rsidRPr="0067702D" w14:paraId="251E3097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0502" w14:textId="57CAEF47" w:rsidR="00631C65" w:rsidRPr="0067702D" w:rsidRDefault="00631C65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VEGFE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04C2" w14:textId="2EC1C0E8" w:rsidR="00631C65" w:rsidRPr="0067702D" w:rsidRDefault="005468BE" w:rsidP="00D858C9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proofErr w:type="spellStart"/>
            <w:r w:rsidRPr="0067702D">
              <w:rPr>
                <w:rFonts w:eastAsiaTheme="minorEastAsia"/>
                <w:szCs w:val="21"/>
              </w:rPr>
              <w:t>Biorbyt</w:t>
            </w:r>
            <w:proofErr w:type="spellEnd"/>
            <w:r w:rsidRPr="0067702D">
              <w:rPr>
                <w:rFonts w:eastAsiaTheme="minorEastAsia"/>
                <w:szCs w:val="21"/>
              </w:rPr>
              <w:t xml:space="preserve">, </w:t>
            </w:r>
            <w:r w:rsidR="004C4E50" w:rsidRPr="0067702D">
              <w:rPr>
                <w:rFonts w:eastAsiaTheme="minorEastAsia"/>
                <w:szCs w:val="21"/>
              </w:rPr>
              <w:t>C9187</w:t>
            </w:r>
          </w:p>
        </w:tc>
      </w:tr>
      <w:tr w:rsidR="0067702D" w:rsidRPr="0067702D" w14:paraId="48564C51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C77C" w14:textId="1EDD9A6F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t>Human placental growth factor (PLGF)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41F" w14:textId="6573CFC2" w:rsidR="0019698B" w:rsidRPr="0067702D" w:rsidRDefault="004C4E50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>Sino Biological, LC16MA1408 </w:t>
            </w:r>
          </w:p>
        </w:tc>
      </w:tr>
      <w:tr w:rsidR="0067702D" w:rsidRPr="0067702D" w14:paraId="2A147D35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1AFD" w14:textId="3F31C3FF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Rat VEGFA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32FA" w14:textId="726C7683" w:rsidR="0019698B" w:rsidRPr="0067702D" w:rsidRDefault="00CD3990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t>Sino Biological</w:t>
            </w:r>
            <w:r w:rsidR="005C77D9" w:rsidRPr="0067702D">
              <w:t xml:space="preserve">, </w:t>
            </w:r>
            <w:r w:rsidR="00E66459" w:rsidRPr="0067702D">
              <w:t>LC12MC2311</w:t>
            </w:r>
          </w:p>
        </w:tc>
      </w:tr>
      <w:tr w:rsidR="0067702D" w:rsidRPr="0067702D" w14:paraId="3C347235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0943" w14:textId="0C4D90A3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Mouse VEGFA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653AA" w14:textId="3905780A" w:rsidR="0019698B" w:rsidRPr="0067702D" w:rsidRDefault="00FA3626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t xml:space="preserve">Sino Biological, </w:t>
            </w:r>
            <w:r w:rsidR="007545F3" w:rsidRPr="0067702D">
              <w:t>LC13OC1410</w:t>
            </w:r>
          </w:p>
        </w:tc>
      </w:tr>
      <w:tr w:rsidR="0067702D" w:rsidRPr="0067702D" w14:paraId="53852B72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0421" w14:textId="06884B53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Anti-KLH hIgG4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4005B" w14:textId="0E67E11D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="005F330C" w:rsidRPr="0067702D">
              <w:rPr>
                <w:rFonts w:eastAsiaTheme="minorEastAsia"/>
                <w:szCs w:val="21"/>
              </w:rPr>
              <w:t xml:space="preserve">, </w:t>
            </w:r>
            <w:r w:rsidR="003A37EE" w:rsidRPr="0067702D">
              <w:rPr>
                <w:rFonts w:eastAsiaTheme="minorEastAsia"/>
                <w:szCs w:val="21"/>
                <w:lang w:val="zh-CN"/>
              </w:rPr>
              <w:t>20220211</w:t>
            </w:r>
          </w:p>
        </w:tc>
      </w:tr>
      <w:tr w:rsidR="0067702D" w:rsidRPr="0067702D" w14:paraId="6AD830E4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F868" w14:textId="4A96329B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PD-L1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74CF" w14:textId="1B8FEA60" w:rsidR="0019698B" w:rsidRPr="0067702D" w:rsidRDefault="00732E73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 xml:space="preserve">Suzhou Junmeng, </w:t>
            </w:r>
            <w:r w:rsidR="00B37FC4" w:rsidRPr="0067702D">
              <w:rPr>
                <w:rFonts w:eastAsiaTheme="minorEastAsia"/>
                <w:szCs w:val="21"/>
              </w:rPr>
              <w:t>20200309 </w:t>
            </w:r>
          </w:p>
        </w:tc>
      </w:tr>
      <w:tr w:rsidR="0067702D" w:rsidRPr="0067702D" w14:paraId="2635AFE0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20A6" w14:textId="66588907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PD-L2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D7EC8" w14:textId="67ED2B58" w:rsidR="0019698B" w:rsidRPr="0067702D" w:rsidRDefault="00BA0AF0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>Sino Biological</w:t>
            </w:r>
            <w:r w:rsidR="00B37FC4" w:rsidRPr="0067702D">
              <w:rPr>
                <w:rFonts w:eastAsiaTheme="minorEastAsia"/>
                <w:szCs w:val="21"/>
              </w:rPr>
              <w:t xml:space="preserve">, </w:t>
            </w:r>
            <w:r w:rsidRPr="0067702D">
              <w:rPr>
                <w:rFonts w:eastAsiaTheme="minorEastAsia"/>
                <w:szCs w:val="21"/>
              </w:rPr>
              <w:t>LC16MA1426</w:t>
            </w:r>
          </w:p>
        </w:tc>
      </w:tr>
      <w:tr w:rsidR="0067702D" w:rsidRPr="0067702D" w14:paraId="29315B48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B2D6C" w14:textId="2273D2EA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ICOS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4261" w14:textId="16FCBB5B" w:rsidR="0019698B" w:rsidRPr="0067702D" w:rsidRDefault="00BA0AF0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 xml:space="preserve">Acro, </w:t>
            </w:r>
            <w:r w:rsidR="00650183" w:rsidRPr="0067702D">
              <w:rPr>
                <w:rFonts w:eastAsiaTheme="minorEastAsia"/>
                <w:szCs w:val="21"/>
              </w:rPr>
              <w:t>2702-87TF1-RX </w:t>
            </w:r>
          </w:p>
        </w:tc>
      </w:tr>
      <w:tr w:rsidR="0067702D" w:rsidRPr="0067702D" w14:paraId="0D302821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9D0A" w14:textId="5755DF74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BTLA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7834" w14:textId="2690A27B" w:rsidR="0019698B" w:rsidRPr="0067702D" w:rsidRDefault="009A38C9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 xml:space="preserve">Suzhou Junmeng, </w:t>
            </w:r>
            <w:r w:rsidR="00EE24D5" w:rsidRPr="0067702D">
              <w:rPr>
                <w:rFonts w:eastAsiaTheme="minorEastAsia"/>
                <w:szCs w:val="21"/>
              </w:rPr>
              <w:t>20210713</w:t>
            </w:r>
          </w:p>
        </w:tc>
      </w:tr>
      <w:tr w:rsidR="0067702D" w:rsidRPr="0067702D" w14:paraId="27FEAE25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E892" w14:textId="0D960F95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CTLA-4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FCA9" w14:textId="562DE2E5" w:rsidR="0019698B" w:rsidRPr="0067702D" w:rsidRDefault="00EE24D5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>Suzhou Junmeng, 20211228 </w:t>
            </w:r>
          </w:p>
        </w:tc>
      </w:tr>
      <w:tr w:rsidR="0067702D" w:rsidRPr="0067702D" w14:paraId="4F511105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297E" w14:textId="0CB34F9E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Human CD28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9287" w14:textId="7A486EF4" w:rsidR="0019698B" w:rsidRPr="0067702D" w:rsidRDefault="00732E73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</w:rPr>
              <w:t>Suzhou Junmeng, 20200806</w:t>
            </w:r>
          </w:p>
        </w:tc>
      </w:tr>
      <w:tr w:rsidR="0067702D" w:rsidRPr="0067702D" w14:paraId="34D4BFF4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973F" w14:textId="3C0E8FB5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</w:rPr>
              <w:t>Biotin Human PD-L1-hFc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ADDCA" w14:textId="18CDA46C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 w:rsidR="00167750" w:rsidRPr="0067702D">
              <w:rPr>
                <w:rFonts w:eastAsiaTheme="minorEastAsia"/>
                <w:szCs w:val="21"/>
              </w:rPr>
              <w:t xml:space="preserve">, </w:t>
            </w:r>
            <w:r w:rsidR="00167750" w:rsidRPr="0067702D">
              <w:rPr>
                <w:rFonts w:eastAsiaTheme="minorEastAsia"/>
                <w:szCs w:val="21"/>
                <w:lang w:val="zh-CN"/>
              </w:rPr>
              <w:t>20191011</w:t>
            </w:r>
          </w:p>
        </w:tc>
      </w:tr>
      <w:tr w:rsidR="0067702D" w:rsidRPr="0067702D" w14:paraId="66A843D1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4CF20" w14:textId="7CF433AB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  <w:lang w:val="zh-CN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Human PD-L2</w:t>
            </w:r>
            <w:r w:rsidRPr="0067702D">
              <w:rPr>
                <w:rFonts w:eastAsiaTheme="minorEastAsia"/>
                <w:szCs w:val="21"/>
              </w:rPr>
              <w:t>-</w:t>
            </w:r>
            <w:r w:rsidRPr="0067702D">
              <w:rPr>
                <w:rFonts w:eastAsiaTheme="minorEastAsia"/>
                <w:szCs w:val="21"/>
                <w:lang w:val="zh-CN"/>
              </w:rPr>
              <w:t>mFc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CB0B" w14:textId="4C349A7B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1"/>
              </w:rPr>
            </w:pPr>
            <w:r w:rsidRPr="0067702D">
              <w:rPr>
                <w:rFonts w:eastAsiaTheme="minorEastAsia"/>
                <w:szCs w:val="21"/>
                <w:lang w:val="zh-CN"/>
              </w:rPr>
              <w:t>Novoprotein</w:t>
            </w:r>
            <w:r w:rsidR="005D2167" w:rsidRPr="0067702D">
              <w:rPr>
                <w:rFonts w:eastAsiaTheme="minorEastAsia"/>
                <w:szCs w:val="21"/>
              </w:rPr>
              <w:t xml:space="preserve">, </w:t>
            </w:r>
            <w:r w:rsidR="005D2167" w:rsidRPr="0067702D">
              <w:rPr>
                <w:rFonts w:eastAsiaTheme="minorEastAsia"/>
                <w:szCs w:val="21"/>
                <w:lang w:val="zh-CN"/>
              </w:rPr>
              <w:t>0331547</w:t>
            </w:r>
          </w:p>
        </w:tc>
      </w:tr>
      <w:tr w:rsidR="0067702D" w:rsidRPr="0067702D" w14:paraId="4CE13B2A" w14:textId="77777777" w:rsidTr="00A87349">
        <w:trPr>
          <w:trHeight w:val="23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89D3" w14:textId="7EB1059F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rPr>
                <w:rStyle w:val="normaltextrun"/>
                <w:szCs w:val="24"/>
              </w:rPr>
              <w:t>EasySep Buffer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688D" w14:textId="7869C43F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rPr>
                <w:rStyle w:val="normaltextrun"/>
                <w:szCs w:val="24"/>
              </w:rPr>
              <w:t>STEMCELL, 20144</w:t>
            </w:r>
          </w:p>
        </w:tc>
      </w:tr>
      <w:tr w:rsidR="0067702D" w:rsidRPr="0067702D" w14:paraId="26B6CF24" w14:textId="77777777" w:rsidTr="00A87349">
        <w:trPr>
          <w:trHeight w:val="33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A4B8" w14:textId="0F11EA45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rPr>
                <w:rStyle w:val="normaltextrun"/>
                <w:szCs w:val="24"/>
              </w:rPr>
              <w:t>Human CD4 microbeads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EA7A5" w14:textId="30B1115E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rPr>
                <w:rStyle w:val="normaltextrun"/>
                <w:szCs w:val="24"/>
              </w:rPr>
              <w:t>Miltenyi Biotec, 130-045-101</w:t>
            </w:r>
          </w:p>
        </w:tc>
      </w:tr>
      <w:tr w:rsidR="0067702D" w:rsidRPr="0067702D" w14:paraId="0EBBAD8D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1E2F" w14:textId="560A8E3E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rPr>
                <w:rStyle w:val="normaltextrun"/>
                <w:szCs w:val="24"/>
              </w:rPr>
              <w:t>BD CBA human IL2 Flex set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502C" w14:textId="350F9A1A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rPr>
                <w:rStyle w:val="normaltextrun"/>
                <w:szCs w:val="24"/>
              </w:rPr>
              <w:t>BD, 558270</w:t>
            </w:r>
          </w:p>
        </w:tc>
      </w:tr>
      <w:tr w:rsidR="0067702D" w:rsidRPr="0067702D" w14:paraId="0379CB50" w14:textId="77777777" w:rsidTr="00A87349">
        <w:trPr>
          <w:trHeight w:val="3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C3A7" w14:textId="5ACFC203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rPr>
                <w:rStyle w:val="normaltextrun"/>
                <w:szCs w:val="24"/>
              </w:rPr>
              <w:lastRenderedPageBreak/>
              <w:t xml:space="preserve">BD CBA human </w:t>
            </w:r>
            <w:proofErr w:type="spellStart"/>
            <w:r w:rsidRPr="0067702D">
              <w:rPr>
                <w:rStyle w:val="normaltextrun"/>
                <w:szCs w:val="24"/>
              </w:rPr>
              <w:t>IFNγ</w:t>
            </w:r>
            <w:proofErr w:type="spellEnd"/>
            <w:r w:rsidRPr="0067702D">
              <w:rPr>
                <w:rStyle w:val="normaltextrun"/>
                <w:szCs w:val="24"/>
              </w:rPr>
              <w:t xml:space="preserve"> kit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34763" w14:textId="420BB10C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rPr>
                <w:rStyle w:val="normaltextrun"/>
                <w:szCs w:val="24"/>
              </w:rPr>
              <w:t>BD, 558269</w:t>
            </w:r>
          </w:p>
        </w:tc>
      </w:tr>
      <w:tr w:rsidR="0067702D" w:rsidRPr="0067702D" w14:paraId="5935741B" w14:textId="77777777" w:rsidTr="00A87349">
        <w:trPr>
          <w:trHeight w:val="36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8CA7" w14:textId="2E0ADF07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rPr>
                <w:rFonts w:eastAsiaTheme="minorEastAsia"/>
                <w:szCs w:val="24"/>
              </w:rPr>
              <w:t>VEGFR2, Human, Biotinylated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E8655" w14:textId="151DCB26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rPr>
                <w:rFonts w:eastAsiaTheme="minorEastAsia"/>
                <w:szCs w:val="24"/>
                <w:lang w:val="zh-CN"/>
              </w:rPr>
              <w:t>Sino Biological</w:t>
            </w:r>
            <w:r w:rsidR="003938E8" w:rsidRPr="0067702D">
              <w:rPr>
                <w:rFonts w:eastAsiaTheme="minorEastAsia"/>
                <w:szCs w:val="24"/>
              </w:rPr>
              <w:t xml:space="preserve">, </w:t>
            </w:r>
            <w:r w:rsidR="003938E8" w:rsidRPr="0067702D">
              <w:rPr>
                <w:rFonts w:eastAsiaTheme="minorEastAsia"/>
                <w:szCs w:val="21"/>
                <w:lang w:val="zh-CN"/>
              </w:rPr>
              <w:t>LC13MA1603</w:t>
            </w:r>
          </w:p>
        </w:tc>
      </w:tr>
      <w:tr w:rsidR="0067702D" w:rsidRPr="0067702D" w14:paraId="161FF378" w14:textId="77777777" w:rsidTr="00A87349">
        <w:trPr>
          <w:trHeight w:val="38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BEFD" w14:textId="6FA77A5D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rPr>
                <w:szCs w:val="21"/>
              </w:rPr>
              <w:t>Goat anti-human Fc fragment antibody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DFC9" w14:textId="59B8CC36" w:rsidR="0019698B" w:rsidRPr="0067702D" w:rsidRDefault="008757A2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466D31">
              <w:rPr>
                <w:color w:val="000000" w:themeColor="text1"/>
                <w:szCs w:val="21"/>
              </w:rPr>
              <w:t>Jackson ImmunoResearch</w:t>
            </w:r>
            <w:r w:rsidRPr="00466D31">
              <w:rPr>
                <w:szCs w:val="21"/>
                <w:lang w:eastAsia="zh-CN"/>
              </w:rPr>
              <w:t>,</w:t>
            </w:r>
            <w:r w:rsidR="0019698B" w:rsidRPr="00466D31">
              <w:rPr>
                <w:szCs w:val="21"/>
              </w:rPr>
              <w:t xml:space="preserve"> 109-005-098</w:t>
            </w:r>
          </w:p>
        </w:tc>
      </w:tr>
      <w:tr w:rsidR="0067702D" w:rsidRPr="0067702D" w14:paraId="5C6D1310" w14:textId="77777777" w:rsidTr="00A87349">
        <w:trPr>
          <w:trHeight w:val="39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37FB" w14:textId="143EB409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t>Goat anti-human IgG (Fc specific)-HRP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4F6F" w14:textId="4FE06121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rPr>
                <w:szCs w:val="21"/>
              </w:rPr>
              <w:t>Sigma, A0170</w:t>
            </w:r>
          </w:p>
        </w:tc>
      </w:tr>
      <w:tr w:rsidR="0067702D" w:rsidRPr="0067702D" w14:paraId="3AD58DE6" w14:textId="77777777" w:rsidTr="00A87349">
        <w:trPr>
          <w:trHeight w:val="42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0F64" w14:textId="2FD1C216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t>Mouse Anti-Human IgG4 Fc-HRP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7CE63" w14:textId="57C5B7E6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t>Southern Biotech, 9200-05</w:t>
            </w:r>
          </w:p>
        </w:tc>
      </w:tr>
      <w:tr w:rsidR="0067702D" w:rsidRPr="0067702D" w14:paraId="4E1749BA" w14:textId="77777777" w:rsidTr="00A87349">
        <w:trPr>
          <w:trHeight w:val="35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738B" w14:textId="1574BE33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t>Goat anti-mouse IgG (Fc specific)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9E86" w14:textId="7C073B7F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t>Sigma, A2554</w:t>
            </w:r>
          </w:p>
        </w:tc>
      </w:tr>
      <w:tr w:rsidR="000D04DD" w:rsidRPr="0067702D" w14:paraId="70B0997A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72C" w14:textId="0AAA598F" w:rsidR="000D04DD" w:rsidRPr="0067702D" w:rsidRDefault="000D04DD" w:rsidP="0019698B">
            <w:pPr>
              <w:spacing w:line="240" w:lineRule="auto"/>
              <w:ind w:leftChars="-46" w:left="-110" w:firstLineChars="2" w:firstLine="5"/>
              <w:jc w:val="center"/>
            </w:pPr>
            <w:r>
              <w:t>JS501 (anti-human VEGFA mAb)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1DE7A" w14:textId="0023A575" w:rsidR="000D04DD" w:rsidRPr="000D04DD" w:rsidRDefault="000D04DD" w:rsidP="0019698B">
            <w:pPr>
              <w:spacing w:line="240" w:lineRule="auto"/>
              <w:ind w:leftChars="-46" w:left="-110" w:firstLineChars="2" w:firstLine="5"/>
              <w:jc w:val="center"/>
            </w:pPr>
            <w:r w:rsidRPr="0067702D">
              <w:rPr>
                <w:rFonts w:eastAsiaTheme="minorEastAsia"/>
                <w:szCs w:val="21"/>
                <w:lang w:val="zh-CN"/>
              </w:rPr>
              <w:t>Suzhou Junmeng</w:t>
            </w:r>
            <w:r>
              <w:rPr>
                <w:rFonts w:eastAsiaTheme="minorEastAsia"/>
                <w:szCs w:val="21"/>
              </w:rPr>
              <w:t xml:space="preserve">, </w:t>
            </w:r>
            <w:r w:rsidR="00210B2C">
              <w:rPr>
                <w:rFonts w:eastAsiaTheme="minorEastAsia"/>
                <w:szCs w:val="21"/>
              </w:rPr>
              <w:t>T202228</w:t>
            </w:r>
          </w:p>
        </w:tc>
      </w:tr>
      <w:tr w:rsidR="0067702D" w:rsidRPr="0067702D" w14:paraId="6D0F6DC7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3AB0" w14:textId="438EF7FC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</w:rPr>
            </w:pPr>
            <w:r w:rsidRPr="0067702D">
              <w:t>Peroxidase Streptavidin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9331" w14:textId="53B9667D" w:rsidR="0019698B" w:rsidRPr="0067702D" w:rsidRDefault="0019698B" w:rsidP="0019698B">
            <w:pPr>
              <w:spacing w:line="240" w:lineRule="auto"/>
              <w:ind w:leftChars="-46" w:left="-110" w:firstLineChars="2" w:firstLine="5"/>
              <w:jc w:val="center"/>
              <w:rPr>
                <w:rFonts w:eastAsiaTheme="minorEastAsia"/>
                <w:szCs w:val="24"/>
                <w:lang w:val="zh-CN"/>
              </w:rPr>
            </w:pPr>
            <w:r w:rsidRPr="0067702D">
              <w:t>Jackson Immuno, 016-030-084</w:t>
            </w:r>
          </w:p>
        </w:tc>
      </w:tr>
      <w:tr w:rsidR="0067702D" w:rsidRPr="0067702D" w14:paraId="1AABA250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7F8F" w14:textId="4F7564E7" w:rsidR="00351C38" w:rsidRPr="0067702D" w:rsidRDefault="00351C38" w:rsidP="0019698B">
            <w:pPr>
              <w:spacing w:line="240" w:lineRule="auto"/>
              <w:ind w:leftChars="-46" w:left="-110" w:firstLineChars="2" w:firstLine="5"/>
              <w:jc w:val="center"/>
            </w:pPr>
            <w:r w:rsidRPr="0067702D">
              <w:t>BSA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F52E3" w14:textId="7DAB503F" w:rsidR="00351C38" w:rsidRPr="0067702D" w:rsidRDefault="00351C38" w:rsidP="0019698B">
            <w:pPr>
              <w:spacing w:line="240" w:lineRule="auto"/>
              <w:ind w:leftChars="-46" w:left="-110" w:firstLineChars="2" w:firstLine="5"/>
              <w:jc w:val="center"/>
            </w:pPr>
            <w:r w:rsidRPr="0067702D">
              <w:t xml:space="preserve">Sigma, </w:t>
            </w:r>
            <w:r w:rsidR="00EB1C83" w:rsidRPr="0067702D">
              <w:rPr>
                <w:szCs w:val="21"/>
              </w:rPr>
              <w:t>V900933-1KG</w:t>
            </w:r>
          </w:p>
        </w:tc>
      </w:tr>
      <w:tr w:rsidR="0067702D" w:rsidRPr="0067702D" w14:paraId="1F34087D" w14:textId="77777777" w:rsidTr="00A87349">
        <w:trPr>
          <w:trHeight w:val="34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472AF" w14:textId="271F8076" w:rsidR="005B46BE" w:rsidRPr="0067702D" w:rsidRDefault="005B46BE" w:rsidP="0019698B">
            <w:pPr>
              <w:spacing w:line="240" w:lineRule="auto"/>
              <w:ind w:leftChars="-46" w:left="-110" w:firstLineChars="2" w:firstLine="5"/>
              <w:jc w:val="center"/>
            </w:pPr>
            <w:r w:rsidRPr="0067702D">
              <w:t>TMB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8968" w14:textId="55E35624" w:rsidR="005B46BE" w:rsidRPr="0067702D" w:rsidRDefault="00284830" w:rsidP="0019698B">
            <w:pPr>
              <w:spacing w:line="240" w:lineRule="auto"/>
              <w:ind w:leftChars="-46" w:left="-110" w:firstLineChars="2" w:firstLine="5"/>
              <w:jc w:val="center"/>
            </w:pPr>
            <w:r w:rsidRPr="0067702D">
              <w:rPr>
                <w:szCs w:val="21"/>
              </w:rPr>
              <w:t>Sigma, T2885</w:t>
            </w:r>
          </w:p>
        </w:tc>
      </w:tr>
    </w:tbl>
    <w:p w14:paraId="72B421C6" w14:textId="08812002" w:rsidR="004B2D9A" w:rsidRDefault="00B368DE" w:rsidP="00D45F05">
      <w:pPr>
        <w:pStyle w:val="ListParagraph"/>
        <w:snapToGrid w:val="0"/>
        <w:spacing w:line="240" w:lineRule="auto"/>
        <w:ind w:left="450" w:firstLineChars="0" w:hanging="90"/>
        <w:rPr>
          <w:sz w:val="18"/>
          <w:szCs w:val="18"/>
        </w:rPr>
      </w:pPr>
      <w:bookmarkStart w:id="0" w:name="_Hlk185409653"/>
      <w:r w:rsidRPr="00B368DE">
        <w:rPr>
          <w:sz w:val="18"/>
          <w:szCs w:val="18"/>
          <w:vertAlign w:val="superscript"/>
        </w:rPr>
        <w:t>1</w:t>
      </w:r>
      <w:r w:rsidR="004B2D9A" w:rsidRPr="000D7E65">
        <w:rPr>
          <w:sz w:val="18"/>
          <w:szCs w:val="18"/>
        </w:rPr>
        <w:t>Suzhou Junmeng</w:t>
      </w:r>
      <w:r>
        <w:rPr>
          <w:sz w:val="18"/>
          <w:szCs w:val="18"/>
        </w:rPr>
        <w:t xml:space="preserve"> =</w:t>
      </w:r>
      <w:r w:rsidR="004B2D9A" w:rsidRPr="006150C4">
        <w:rPr>
          <w:sz w:val="18"/>
          <w:szCs w:val="18"/>
        </w:rPr>
        <w:t xml:space="preserve"> Suzhou Junmeng Biosciences Co.</w:t>
      </w:r>
      <w:r w:rsidR="009A4D48">
        <w:rPr>
          <w:sz w:val="18"/>
          <w:szCs w:val="18"/>
        </w:rPr>
        <w:t xml:space="preserve"> </w:t>
      </w:r>
      <w:r w:rsidR="004B2D9A" w:rsidRPr="006150C4">
        <w:rPr>
          <w:sz w:val="18"/>
          <w:szCs w:val="18"/>
        </w:rPr>
        <w:t>Ltd.</w:t>
      </w:r>
    </w:p>
    <w:p w14:paraId="7EBC44A2" w14:textId="64EB0BE6" w:rsidR="003876D8" w:rsidRDefault="003876D8" w:rsidP="00D45F05">
      <w:pPr>
        <w:pStyle w:val="ListParagraph"/>
        <w:snapToGrid w:val="0"/>
        <w:spacing w:line="240" w:lineRule="auto"/>
        <w:ind w:left="450" w:firstLineChars="0" w:hanging="90"/>
        <w:rPr>
          <w:sz w:val="18"/>
          <w:szCs w:val="18"/>
        </w:rPr>
      </w:pPr>
      <w:r w:rsidRPr="00F93F37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The</w:t>
      </w:r>
      <w:r w:rsidRPr="003876D8">
        <w:rPr>
          <w:sz w:val="18"/>
          <w:szCs w:val="18"/>
        </w:rPr>
        <w:t xml:space="preserve"> material </w:t>
      </w:r>
      <w:r w:rsidR="007F69DC">
        <w:rPr>
          <w:sz w:val="18"/>
          <w:szCs w:val="18"/>
        </w:rPr>
        <w:t>was</w:t>
      </w:r>
      <w:r w:rsidR="006F1115">
        <w:rPr>
          <w:sz w:val="18"/>
          <w:szCs w:val="18"/>
        </w:rPr>
        <w:t xml:space="preserve"> used as positive control in </w:t>
      </w:r>
      <w:r w:rsidR="006F1115" w:rsidRPr="006F1115">
        <w:rPr>
          <w:sz w:val="18"/>
          <w:szCs w:val="18"/>
        </w:rPr>
        <w:t>target antigen binding studies</w:t>
      </w:r>
      <w:r w:rsidR="00FB69D9">
        <w:rPr>
          <w:sz w:val="18"/>
          <w:szCs w:val="18"/>
        </w:rPr>
        <w:t>.</w:t>
      </w:r>
    </w:p>
    <w:p w14:paraId="36BA82B8" w14:textId="77777777" w:rsidR="00E00BA8" w:rsidRDefault="006F1115" w:rsidP="00D45F05">
      <w:pPr>
        <w:pStyle w:val="ListParagraph"/>
        <w:snapToGrid w:val="0"/>
        <w:spacing w:line="240" w:lineRule="auto"/>
        <w:ind w:left="450" w:firstLineChars="0" w:hanging="90"/>
        <w:rPr>
          <w:sz w:val="18"/>
          <w:szCs w:val="18"/>
        </w:rPr>
      </w:pPr>
      <w:r w:rsidRPr="00F93F37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 xml:space="preserve">The material was </w:t>
      </w:r>
      <w:r w:rsidR="007F69DC">
        <w:rPr>
          <w:sz w:val="18"/>
          <w:szCs w:val="18"/>
        </w:rPr>
        <w:t xml:space="preserve">used </w:t>
      </w:r>
      <w:r w:rsidR="00DD0D7B">
        <w:rPr>
          <w:sz w:val="18"/>
          <w:szCs w:val="18"/>
        </w:rPr>
        <w:t xml:space="preserve">as positive control in </w:t>
      </w:r>
      <w:r w:rsidR="00DD0D7B" w:rsidRPr="00DD0D7B">
        <w:rPr>
          <w:sz w:val="18"/>
          <w:szCs w:val="18"/>
        </w:rPr>
        <w:t>potency, PD-1 internalization, and thermal stability studies</w:t>
      </w:r>
      <w:r w:rsidR="00FB69D9">
        <w:rPr>
          <w:sz w:val="18"/>
          <w:szCs w:val="18"/>
        </w:rPr>
        <w:t>.</w:t>
      </w:r>
      <w:bookmarkEnd w:id="0"/>
    </w:p>
    <w:p w14:paraId="5B41D14E" w14:textId="2B0681FF" w:rsidR="00E00BA8" w:rsidRPr="00E00BA8" w:rsidRDefault="00E00BA8" w:rsidP="00D45F05">
      <w:pPr>
        <w:pStyle w:val="ListParagraph"/>
        <w:snapToGrid w:val="0"/>
        <w:spacing w:line="240" w:lineRule="auto"/>
        <w:ind w:left="450" w:firstLineChars="0" w:hanging="90"/>
        <w:rPr>
          <w:sz w:val="18"/>
          <w:szCs w:val="18"/>
        </w:rPr>
      </w:pPr>
      <w:r w:rsidRPr="00E00BA8">
        <w:rPr>
          <w:sz w:val="18"/>
          <w:szCs w:val="18"/>
          <w:vertAlign w:val="superscript"/>
        </w:rPr>
        <w:t>4</w:t>
      </w:r>
      <w:r w:rsidR="00E20B20" w:rsidRPr="00E00BA8">
        <w:rPr>
          <w:sz w:val="18"/>
          <w:szCs w:val="18"/>
        </w:rPr>
        <w:t>Toripalimab (</w:t>
      </w:r>
      <w:r w:rsidR="007612CA" w:rsidRPr="00E00BA8">
        <w:rPr>
          <w:sz w:val="18"/>
          <w:szCs w:val="18"/>
        </w:rPr>
        <w:t xml:space="preserve">also known </w:t>
      </w:r>
      <w:r w:rsidR="00E20B20" w:rsidRPr="00E00BA8">
        <w:rPr>
          <w:sz w:val="18"/>
          <w:szCs w:val="18"/>
        </w:rPr>
        <w:t>JS001)</w:t>
      </w:r>
      <w:r w:rsidR="00AD2D2F">
        <w:rPr>
          <w:sz w:val="18"/>
          <w:szCs w:val="18"/>
        </w:rPr>
        <w:t xml:space="preserve"> is a</w:t>
      </w:r>
      <w:r w:rsidR="00E20B20" w:rsidRPr="00E00BA8">
        <w:rPr>
          <w:sz w:val="18"/>
          <w:szCs w:val="18"/>
        </w:rPr>
        <w:t xml:space="preserve"> recombinant humanized anti-PD-1 monoclonal antibody developed by Junshi Biosciences (Shanghai, China). The Fab domain of JS207 targeting </w:t>
      </w:r>
      <w:r w:rsidR="00651CEA" w:rsidRPr="00E00BA8">
        <w:rPr>
          <w:sz w:val="18"/>
          <w:szCs w:val="18"/>
        </w:rPr>
        <w:t xml:space="preserve">human </w:t>
      </w:r>
      <w:r w:rsidR="00E20B20" w:rsidRPr="00E00BA8">
        <w:rPr>
          <w:sz w:val="18"/>
          <w:szCs w:val="18"/>
        </w:rPr>
        <w:t>PD-1 was derived from toripalimab.</w:t>
      </w:r>
    </w:p>
    <w:p w14:paraId="488DDC6A" w14:textId="469460F1" w:rsidR="00187025" w:rsidRPr="00E00BA8" w:rsidRDefault="00E00BA8" w:rsidP="00D45F05">
      <w:pPr>
        <w:pStyle w:val="ListParagraph"/>
        <w:snapToGrid w:val="0"/>
        <w:spacing w:line="240" w:lineRule="auto"/>
        <w:ind w:left="450" w:firstLineChars="0" w:hanging="90"/>
        <w:rPr>
          <w:sz w:val="18"/>
          <w:szCs w:val="18"/>
        </w:rPr>
      </w:pPr>
      <w:r w:rsidRPr="00E00BA8">
        <w:rPr>
          <w:sz w:val="18"/>
          <w:szCs w:val="18"/>
          <w:vertAlign w:val="superscript"/>
        </w:rPr>
        <w:t>5</w:t>
      </w:r>
      <w:r w:rsidR="00E20B20" w:rsidRPr="00E00BA8">
        <w:rPr>
          <w:sz w:val="18"/>
          <w:szCs w:val="18"/>
        </w:rPr>
        <w:t>VEGF-DotAb</w:t>
      </w:r>
      <w:r w:rsidR="002C4D58">
        <w:rPr>
          <w:sz w:val="18"/>
          <w:szCs w:val="18"/>
        </w:rPr>
        <w:t xml:space="preserve"> is an</w:t>
      </w:r>
      <w:r w:rsidR="00E20B20" w:rsidRPr="00E00BA8">
        <w:rPr>
          <w:sz w:val="18"/>
          <w:szCs w:val="18"/>
        </w:rPr>
        <w:t xml:space="preserve"> anti-human VEGFA heavy chain antibody screened via the </w:t>
      </w:r>
      <w:proofErr w:type="spellStart"/>
      <w:r w:rsidR="00E20B20" w:rsidRPr="00E00BA8">
        <w:rPr>
          <w:sz w:val="18"/>
          <w:szCs w:val="18"/>
        </w:rPr>
        <w:t>DotBody</w:t>
      </w:r>
      <w:proofErr w:type="spellEnd"/>
      <w:r w:rsidR="00E20B20" w:rsidRPr="00E00BA8">
        <w:rPr>
          <w:sz w:val="18"/>
          <w:szCs w:val="18"/>
        </w:rPr>
        <w:t xml:space="preserve"> platform (</w:t>
      </w:r>
      <w:proofErr w:type="spellStart"/>
      <w:r w:rsidR="00E20B20" w:rsidRPr="00E00BA8">
        <w:rPr>
          <w:sz w:val="18"/>
          <w:szCs w:val="18"/>
        </w:rPr>
        <w:t>DotBio</w:t>
      </w:r>
      <w:proofErr w:type="spellEnd"/>
      <w:r w:rsidR="00E20B20" w:rsidRPr="00E00BA8">
        <w:rPr>
          <w:sz w:val="18"/>
          <w:szCs w:val="18"/>
        </w:rPr>
        <w:t xml:space="preserve">, Singapore) and produced by </w:t>
      </w:r>
      <w:r w:rsidR="005F40A7" w:rsidRPr="00E00BA8">
        <w:rPr>
          <w:sz w:val="18"/>
          <w:szCs w:val="18"/>
        </w:rPr>
        <w:t>Suzhou Junmeng Biosciences</w:t>
      </w:r>
      <w:r w:rsidR="00E20B20" w:rsidRPr="00E00BA8">
        <w:rPr>
          <w:sz w:val="18"/>
          <w:szCs w:val="18"/>
        </w:rPr>
        <w:t>. The anti-VEGFA domain of JS207 was derived from VEGF-</w:t>
      </w:r>
      <w:proofErr w:type="spellStart"/>
      <w:r w:rsidR="00E20B20" w:rsidRPr="00E00BA8">
        <w:rPr>
          <w:sz w:val="18"/>
          <w:szCs w:val="18"/>
        </w:rPr>
        <w:t>DotAb</w:t>
      </w:r>
      <w:proofErr w:type="spellEnd"/>
      <w:r w:rsidR="00E20B20" w:rsidRPr="00E00BA8">
        <w:rPr>
          <w:sz w:val="18"/>
          <w:szCs w:val="18"/>
        </w:rPr>
        <w:t xml:space="preserve">. </w:t>
      </w:r>
    </w:p>
    <w:p w14:paraId="030AB697" w14:textId="1A85DCBD" w:rsidR="007879F8" w:rsidRPr="00B32535" w:rsidRDefault="007979B7" w:rsidP="00257598">
      <w:pPr>
        <w:pStyle w:val="ListParagraph"/>
        <w:numPr>
          <w:ilvl w:val="1"/>
          <w:numId w:val="14"/>
        </w:numPr>
        <w:spacing w:before="240"/>
        <w:ind w:left="532" w:firstLineChars="0" w:hanging="518"/>
        <w:contextualSpacing w:val="0"/>
        <w:jc w:val="both"/>
        <w:rPr>
          <w:b/>
          <w:bCs/>
          <w:noProof/>
        </w:rPr>
      </w:pPr>
      <w:r w:rsidRPr="00B32535">
        <w:rPr>
          <w:b/>
          <w:bCs/>
          <w:noProof/>
        </w:rPr>
        <w:t>Cell lines:</w:t>
      </w:r>
    </w:p>
    <w:p w14:paraId="4A26642E" w14:textId="77777777" w:rsidR="00D54915" w:rsidRDefault="004D3537" w:rsidP="00257598">
      <w:pPr>
        <w:spacing w:after="120" w:line="240" w:lineRule="auto"/>
        <w:ind w:firstLineChars="0" w:firstLine="0"/>
        <w:jc w:val="both"/>
      </w:pPr>
      <w:r>
        <w:t xml:space="preserve">For Anti-PD-1 reporter gene assay, </w:t>
      </w:r>
      <w:r w:rsidR="007879F8" w:rsidRPr="008D61C2">
        <w:t>Jurkat</w:t>
      </w:r>
      <w:r w:rsidR="00EC3F7A">
        <w:t>/</w:t>
      </w:r>
      <w:r w:rsidR="007879F8" w:rsidRPr="008D61C2">
        <w:t>PD-1</w:t>
      </w:r>
      <w:r w:rsidR="00EC3F7A">
        <w:t>/</w:t>
      </w:r>
      <w:r w:rsidR="007879F8" w:rsidRPr="008D61C2">
        <w:t>NFAT-Luc cells and PD-L1 aAPC/CHO-K1 cells were obtained from Promega (USA).</w:t>
      </w:r>
      <w:r w:rsidR="007879F8">
        <w:t xml:space="preserve"> </w:t>
      </w:r>
    </w:p>
    <w:p w14:paraId="0FC9BA31" w14:textId="77777777" w:rsidR="00D54915" w:rsidRDefault="00D54915" w:rsidP="00257598">
      <w:pPr>
        <w:spacing w:after="120" w:line="240" w:lineRule="auto"/>
        <w:ind w:firstLineChars="0" w:firstLine="0"/>
        <w:jc w:val="both"/>
      </w:pPr>
      <w:r>
        <w:t xml:space="preserve">For Anti-VEGFA reporter gene assay, </w:t>
      </w:r>
      <w:r w:rsidR="007879F8" w:rsidRPr="008D61C2">
        <w:t>H293/VEGFR2 reporter cells were sourced from the National Institutes for Food and Drug Control (NIFDC, China).</w:t>
      </w:r>
      <w:r w:rsidR="007879F8">
        <w:t xml:space="preserve"> </w:t>
      </w:r>
    </w:p>
    <w:p w14:paraId="4CCA0000" w14:textId="77777777" w:rsidR="00584919" w:rsidRDefault="007879F8" w:rsidP="00257598">
      <w:pPr>
        <w:spacing w:after="120" w:line="240" w:lineRule="auto"/>
        <w:ind w:firstLineChars="0" w:firstLine="0"/>
        <w:jc w:val="both"/>
        <w:rPr>
          <w:color w:val="000000" w:themeColor="text1"/>
        </w:rPr>
      </w:pPr>
      <w:r w:rsidRPr="008D61C2">
        <w:t xml:space="preserve">MC38 mouse colon cancer cells were acquired from </w:t>
      </w:r>
      <w:proofErr w:type="spellStart"/>
      <w:r w:rsidR="00424333" w:rsidRPr="00C8105D">
        <w:rPr>
          <w:color w:val="000000" w:themeColor="text1"/>
        </w:rPr>
        <w:t>Cobioer</w:t>
      </w:r>
      <w:proofErr w:type="spellEnd"/>
      <w:r w:rsidR="00424333" w:rsidRPr="00C8105D">
        <w:rPr>
          <w:rStyle w:val="Heading1Char"/>
          <w:color w:val="000000" w:themeColor="text1"/>
        </w:rPr>
        <w:t xml:space="preserve"> </w:t>
      </w:r>
      <w:r w:rsidR="00424333" w:rsidRPr="00C8105D">
        <w:rPr>
          <w:color w:val="000000" w:themeColor="text1"/>
        </w:rPr>
        <w:t>Biosciences Co., Ltd</w:t>
      </w:r>
      <w:r w:rsidRPr="00C8105D">
        <w:rPr>
          <w:color w:val="000000" w:themeColor="text1"/>
        </w:rPr>
        <w:t xml:space="preserve"> (</w:t>
      </w:r>
      <w:r w:rsidR="00424333" w:rsidRPr="00C8105D">
        <w:rPr>
          <w:rFonts w:hint="eastAsia"/>
          <w:color w:val="000000" w:themeColor="text1"/>
          <w:lang w:eastAsia="zh-CN"/>
        </w:rPr>
        <w:t>Nan</w:t>
      </w:r>
      <w:r w:rsidR="00424333" w:rsidRPr="00C8105D">
        <w:rPr>
          <w:color w:val="000000" w:themeColor="text1"/>
          <w:lang w:eastAsia="zh-CN"/>
        </w:rPr>
        <w:t>jing, China</w:t>
      </w:r>
      <w:r w:rsidRPr="00C8105D">
        <w:rPr>
          <w:color w:val="000000" w:themeColor="text1"/>
        </w:rPr>
        <w:t xml:space="preserve">). </w:t>
      </w:r>
    </w:p>
    <w:p w14:paraId="4431D892" w14:textId="77777777" w:rsidR="00584919" w:rsidRDefault="007879F8" w:rsidP="00257598">
      <w:pPr>
        <w:spacing w:after="120" w:line="240" w:lineRule="auto"/>
        <w:ind w:firstLineChars="0" w:firstLine="0"/>
        <w:jc w:val="both"/>
      </w:pPr>
      <w:r w:rsidRPr="008D61C2">
        <w:t>A375 human melanoma cells were purchased from the American Type Culture Collection (ATCC, USA).</w:t>
      </w:r>
      <w:r>
        <w:t xml:space="preserve"> </w:t>
      </w:r>
    </w:p>
    <w:p w14:paraId="6EAC500D" w14:textId="398EDDB8" w:rsidR="0071690D" w:rsidRDefault="007879F8" w:rsidP="00257598">
      <w:pPr>
        <w:spacing w:after="120" w:line="240" w:lineRule="auto"/>
        <w:ind w:firstLineChars="0" w:firstLine="0"/>
        <w:jc w:val="both"/>
      </w:pPr>
      <w:r w:rsidRPr="008D61C2">
        <w:t xml:space="preserve">Human peripheral blood mononuclear cells (PBMCs) were provided by Shanghai </w:t>
      </w:r>
      <w:proofErr w:type="spellStart"/>
      <w:r w:rsidRPr="008D61C2">
        <w:t>Aoneng</w:t>
      </w:r>
      <w:proofErr w:type="spellEnd"/>
      <w:r w:rsidRPr="008D61C2">
        <w:t xml:space="preserve"> Biosciences (Shanghai, China).</w:t>
      </w:r>
      <w:r>
        <w:t xml:space="preserve"> </w:t>
      </w:r>
    </w:p>
    <w:p w14:paraId="730A99AC" w14:textId="064757C5" w:rsidR="0071690D" w:rsidRPr="00B32535" w:rsidRDefault="0071690D" w:rsidP="00257598">
      <w:pPr>
        <w:pStyle w:val="ListParagraph"/>
        <w:numPr>
          <w:ilvl w:val="1"/>
          <w:numId w:val="14"/>
        </w:numPr>
        <w:spacing w:before="240" w:after="120" w:line="240" w:lineRule="auto"/>
        <w:ind w:left="547" w:firstLineChars="0" w:hanging="547"/>
        <w:jc w:val="both"/>
        <w:rPr>
          <w:b/>
          <w:bCs/>
        </w:rPr>
      </w:pPr>
      <w:r w:rsidRPr="00B32535">
        <w:rPr>
          <w:b/>
          <w:bCs/>
        </w:rPr>
        <w:t xml:space="preserve">Animals: </w:t>
      </w:r>
    </w:p>
    <w:p w14:paraId="4A7FF3B9" w14:textId="427E572A" w:rsidR="00AC6A0F" w:rsidRDefault="007879F8" w:rsidP="00584919">
      <w:pPr>
        <w:spacing w:line="240" w:lineRule="auto"/>
        <w:ind w:firstLineChars="0" w:firstLine="0"/>
        <w:jc w:val="both"/>
      </w:pPr>
      <w:r w:rsidRPr="00446EA2">
        <w:rPr>
          <w:rFonts w:cs="Arial"/>
          <w:szCs w:val="21"/>
        </w:rPr>
        <w:t>NDG mice</w:t>
      </w:r>
      <w:r>
        <w:rPr>
          <w:rFonts w:cs="Arial"/>
          <w:szCs w:val="21"/>
        </w:rPr>
        <w:t xml:space="preserve"> and </w:t>
      </w:r>
      <w:r w:rsidR="00424333">
        <w:rPr>
          <w:rFonts w:cs="Arial" w:hint="eastAsia"/>
          <w:szCs w:val="21"/>
          <w:lang w:eastAsia="zh-CN"/>
        </w:rPr>
        <w:t>C57BL/6-Pdcd1</w:t>
      </w:r>
      <w:r w:rsidR="00424333" w:rsidRPr="007F5DBF">
        <w:rPr>
          <w:rFonts w:cs="Arial"/>
          <w:szCs w:val="21"/>
          <w:vertAlign w:val="superscript"/>
          <w:lang w:eastAsia="zh-CN"/>
        </w:rPr>
        <w:t>tm1(PDCD</w:t>
      </w:r>
      <w:proofErr w:type="gramStart"/>
      <w:r w:rsidR="00424333" w:rsidRPr="007F5DBF">
        <w:rPr>
          <w:rFonts w:cs="Arial"/>
          <w:szCs w:val="21"/>
          <w:vertAlign w:val="superscript"/>
          <w:lang w:eastAsia="zh-CN"/>
        </w:rPr>
        <w:t>1)Bcgen</w:t>
      </w:r>
      <w:proofErr w:type="gramEnd"/>
      <w:r w:rsidR="00424333">
        <w:rPr>
          <w:rFonts w:cs="Arial" w:hint="eastAsia"/>
          <w:szCs w:val="21"/>
          <w:lang w:eastAsia="zh-CN"/>
        </w:rPr>
        <w:t>/Bcgen (</w:t>
      </w:r>
      <w:bookmarkStart w:id="1" w:name="OLE_LINK1"/>
      <w:r w:rsidR="00424333" w:rsidRPr="00424333">
        <w:rPr>
          <w:rFonts w:cs="Arial"/>
          <w:szCs w:val="21"/>
          <w:lang w:eastAsia="zh-CN"/>
        </w:rPr>
        <w:t>abbreviate</w:t>
      </w:r>
      <w:r w:rsidR="00424333">
        <w:rPr>
          <w:rFonts w:cs="Arial" w:hint="eastAsia"/>
          <w:szCs w:val="21"/>
          <w:lang w:eastAsia="zh-CN"/>
        </w:rPr>
        <w:t xml:space="preserve">d as </w:t>
      </w:r>
      <w:r w:rsidRPr="00010A2F">
        <w:rPr>
          <w:rFonts w:cs="Arial"/>
          <w:szCs w:val="21"/>
        </w:rPr>
        <w:t>B-hPD-1 mice</w:t>
      </w:r>
      <w:bookmarkEnd w:id="1"/>
      <w:r w:rsidR="00424333">
        <w:rPr>
          <w:rFonts w:cs="Arial" w:hint="eastAsia"/>
          <w:szCs w:val="21"/>
          <w:lang w:eastAsia="zh-CN"/>
        </w:rPr>
        <w:t>)</w:t>
      </w:r>
      <w:r>
        <w:rPr>
          <w:rFonts w:cs="Arial"/>
          <w:szCs w:val="21"/>
        </w:rPr>
        <w:t xml:space="preserve"> were obtained from </w:t>
      </w:r>
      <w:proofErr w:type="spellStart"/>
      <w:r w:rsidR="00424333" w:rsidRPr="00424333">
        <w:rPr>
          <w:rFonts w:cs="Arial"/>
          <w:szCs w:val="21"/>
        </w:rPr>
        <w:t>Biocytogen</w:t>
      </w:r>
      <w:proofErr w:type="spellEnd"/>
      <w:r w:rsidR="00424333">
        <w:rPr>
          <w:rFonts w:cs="Arial" w:hint="eastAsia"/>
          <w:szCs w:val="21"/>
          <w:lang w:eastAsia="zh-CN"/>
        </w:rPr>
        <w:t xml:space="preserve"> Inc., (Nantong, China) with animal license No. of SCXK(Su)2016-0004</w:t>
      </w:r>
      <w:r>
        <w:rPr>
          <w:rFonts w:cs="Arial"/>
          <w:szCs w:val="21"/>
        </w:rPr>
        <w:t>.</w:t>
      </w:r>
    </w:p>
    <w:p w14:paraId="7D52A16F" w14:textId="265D8008" w:rsidR="00031FEF" w:rsidRDefault="00EC20C9" w:rsidP="00BD5C7C">
      <w:pPr>
        <w:pStyle w:val="ListParagraph"/>
        <w:numPr>
          <w:ilvl w:val="0"/>
          <w:numId w:val="14"/>
        </w:numPr>
        <w:adjustRightInd w:val="0"/>
        <w:spacing w:before="240" w:after="120" w:line="240" w:lineRule="auto"/>
        <w:ind w:firstLineChars="0"/>
        <w:contextualSpacing w:val="0"/>
        <w:jc w:val="both"/>
        <w:rPr>
          <w:b/>
          <w:bCs/>
        </w:rPr>
      </w:pPr>
      <w:r w:rsidRPr="00031FEF">
        <w:rPr>
          <w:b/>
          <w:bCs/>
        </w:rPr>
        <w:t>Supplementary Methods</w:t>
      </w:r>
      <w:r w:rsidRPr="00031FEF">
        <w:rPr>
          <w:b/>
          <w:bCs/>
          <w:noProof/>
        </w:rPr>
        <w:t xml:space="preserve"> </w:t>
      </w:r>
    </w:p>
    <w:p w14:paraId="795C2777" w14:textId="26CF6496" w:rsidR="00C62CE1" w:rsidRPr="00031FEF" w:rsidRDefault="00BF746B" w:rsidP="00415DE0">
      <w:pPr>
        <w:pStyle w:val="ListParagraph"/>
        <w:numPr>
          <w:ilvl w:val="1"/>
          <w:numId w:val="14"/>
        </w:numPr>
        <w:adjustRightInd w:val="0"/>
        <w:spacing w:after="120" w:line="240" w:lineRule="auto"/>
        <w:ind w:left="540" w:firstLineChars="0" w:hanging="540"/>
        <w:jc w:val="both"/>
        <w:rPr>
          <w:b/>
          <w:bCs/>
        </w:rPr>
      </w:pPr>
      <w:r w:rsidRPr="00031FEF">
        <w:rPr>
          <w:b/>
          <w:bCs/>
        </w:rPr>
        <w:t>Enzyme-Linked Immunosorbent Assay (ELISA):</w:t>
      </w:r>
    </w:p>
    <w:p w14:paraId="7F0BF773" w14:textId="190F870C" w:rsidR="00C62CE1" w:rsidRDefault="00C62CE1" w:rsidP="0053307D">
      <w:pPr>
        <w:spacing w:after="120" w:line="240" w:lineRule="auto"/>
        <w:ind w:left="14" w:firstLineChars="0" w:firstLine="0"/>
        <w:jc w:val="both"/>
      </w:pPr>
      <w:r w:rsidRPr="0053307D">
        <w:rPr>
          <w:b/>
          <w:bCs/>
        </w:rPr>
        <w:t>Binding to PD-1:</w:t>
      </w:r>
      <w:r w:rsidRPr="00D96129">
        <w:t xml:space="preserve"> </w:t>
      </w:r>
      <w:r w:rsidR="00E3155D" w:rsidRPr="00E3155D">
        <w:t>To assess the binding activity of JS207 to PD-1 and related proteins, 0.3 μg/mL of each target protein (PD-1, BTLA, PD-L1, PD-L2 and ICOS, all from human) was coated onto 96</w:t>
      </w:r>
      <w:r w:rsidR="00E3155D" w:rsidRPr="00E3155D">
        <w:rPr>
          <w:rFonts w:hint="eastAsia"/>
        </w:rPr>
        <w:t>‐</w:t>
      </w:r>
      <w:r w:rsidR="00E3155D" w:rsidRPr="00E3155D">
        <w:t>well plates</w:t>
      </w:r>
      <w:r w:rsidRPr="00C001DE">
        <w:t xml:space="preserve">. After coating, the wells were blocked with 2% bovine serum albumin (BSA). </w:t>
      </w:r>
      <w:r w:rsidRPr="00C001DE">
        <w:lastRenderedPageBreak/>
        <w:t>Test samples, a positive control (toripalimab), and a negative control (anti-KLH hIgG4) were then added. Bound antibody was detected using a goat anti</w:t>
      </w:r>
      <w:r w:rsidRPr="00C001DE">
        <w:rPr>
          <w:rFonts w:hint="eastAsia"/>
        </w:rPr>
        <w:t>‐</w:t>
      </w:r>
      <w:r w:rsidRPr="00C001DE">
        <w:t>human IgG (Fc</w:t>
      </w:r>
      <w:r w:rsidRPr="00C001DE">
        <w:rPr>
          <w:rFonts w:hint="eastAsia"/>
        </w:rPr>
        <w:t>‐</w:t>
      </w:r>
      <w:r w:rsidRPr="00C001DE">
        <w:t>specific) peroxidase-conjugated antibody diluted 1:5000. Color development was performed with 0.1 mg/mL tetramethylbenzidine (TMB), and the reaction was terminated with 2 M HCl. Absorbance was measured at 450 nm with a reference wavelength of 620 nm, and the EC</w:t>
      </w:r>
      <w:r w:rsidRPr="0053307D">
        <w:rPr>
          <w:vertAlign w:val="subscript"/>
        </w:rPr>
        <w:t>50</w:t>
      </w:r>
      <w:r w:rsidRPr="00C001DE">
        <w:t xml:space="preserve"> value was determined by fitting the data to a four-parameter logistic (4PL) model.</w:t>
      </w:r>
      <w:r w:rsidR="006F7C0E">
        <w:t xml:space="preserve"> </w:t>
      </w:r>
      <w:r w:rsidR="006F7C0E" w:rsidRPr="006F7C0E">
        <w:t xml:space="preserve">To assess the species cross-reactivity of JS207, PD-1 proteins from different species, rat, mouse, </w:t>
      </w:r>
      <w:r w:rsidR="0092092A">
        <w:t xml:space="preserve">and </w:t>
      </w:r>
      <w:r w:rsidR="006F7C0E" w:rsidRPr="006F7C0E">
        <w:t>Cynomolgus monkey w</w:t>
      </w:r>
      <w:r w:rsidR="0092092A">
        <w:t>ere</w:t>
      </w:r>
      <w:r w:rsidR="006F7C0E" w:rsidRPr="006F7C0E">
        <w:t xml:space="preserve"> used</w:t>
      </w:r>
      <w:r w:rsidR="0092092A">
        <w:t>.</w:t>
      </w:r>
    </w:p>
    <w:p w14:paraId="0920F602" w14:textId="7364F34C" w:rsidR="00C62CE1" w:rsidRPr="00615ECD" w:rsidRDefault="00C62CE1" w:rsidP="00EF5DC2">
      <w:pPr>
        <w:spacing w:before="120" w:after="120" w:line="240" w:lineRule="auto"/>
        <w:ind w:left="14" w:firstLineChars="0" w:firstLine="0"/>
        <w:jc w:val="both"/>
      </w:pPr>
      <w:r w:rsidRPr="0053307D">
        <w:rPr>
          <w:b/>
          <w:bCs/>
        </w:rPr>
        <w:t xml:space="preserve">Binding to VEGFA: </w:t>
      </w:r>
      <w:r w:rsidRPr="00D80912">
        <w:t>To evaluate the binding of JS207 to VEGFA, 0.3 μg/mL of VEGFA protein (from human, monkey, rat, or mouse) was coated onto 96</w:t>
      </w:r>
      <w:r w:rsidRPr="00D80912">
        <w:rPr>
          <w:rFonts w:hint="eastAsia"/>
        </w:rPr>
        <w:t>‐</w:t>
      </w:r>
      <w:r w:rsidRPr="00D80912">
        <w:t>well plates and blocked with 2% BSA. Serial dilutions of the test samples and the negative control (anti-KLH hIgG4) were then added. Detection was carried out using the same goat anti</w:t>
      </w:r>
      <w:r w:rsidRPr="00D80912">
        <w:rPr>
          <w:rFonts w:hint="eastAsia"/>
        </w:rPr>
        <w:t>‐</w:t>
      </w:r>
      <w:r w:rsidRPr="00D80912">
        <w:t>human IgG (Fc</w:t>
      </w:r>
      <w:r w:rsidRPr="00D80912">
        <w:rPr>
          <w:rFonts w:hint="eastAsia"/>
        </w:rPr>
        <w:t>‐</w:t>
      </w:r>
      <w:r w:rsidRPr="00D80912">
        <w:t>specific) peroxidase antibody (diluted 1:5000), followed by color development with 0.1 mg/mL TMB and termination of the reaction with 2 M HCl. Absorbance was read at 450 nm/620 nm</w:t>
      </w:r>
      <w:r w:rsidR="000D5EA0">
        <w:t xml:space="preserve">. </w:t>
      </w:r>
      <w:r w:rsidRPr="00D80912">
        <w:t>EC</w:t>
      </w:r>
      <w:r w:rsidRPr="0053307D">
        <w:rPr>
          <w:vertAlign w:val="subscript"/>
        </w:rPr>
        <w:t>50</w:t>
      </w:r>
      <w:r w:rsidRPr="00D80912">
        <w:t xml:space="preserve"> values were derived using the 4PL model</w:t>
      </w:r>
      <w:r w:rsidR="00EA1B97">
        <w:t xml:space="preserve"> using </w:t>
      </w:r>
      <w:r w:rsidR="00052565">
        <w:t>GraphPad Prism 10</w:t>
      </w:r>
      <w:r w:rsidRPr="00D80912">
        <w:t>.</w:t>
      </w:r>
      <w:r w:rsidR="00052565">
        <w:t xml:space="preserve"> The signal to noise </w:t>
      </w:r>
      <w:r w:rsidR="00FA711E">
        <w:t xml:space="preserve">(S/N) </w:t>
      </w:r>
      <w:r w:rsidR="00552925">
        <w:t xml:space="preserve">ratio was generated by dividing the </w:t>
      </w:r>
      <w:r w:rsidR="00FA711E">
        <w:t>Top response by Bottom response.</w:t>
      </w:r>
    </w:p>
    <w:p w14:paraId="508A6EB0" w14:textId="13E7BCAE" w:rsidR="00C62CE1" w:rsidRDefault="00C62CE1" w:rsidP="00EF5DC2">
      <w:pPr>
        <w:spacing w:before="120" w:after="120" w:line="240" w:lineRule="auto"/>
        <w:ind w:firstLineChars="0" w:firstLine="0"/>
        <w:jc w:val="both"/>
      </w:pPr>
      <w:r w:rsidRPr="0053307D">
        <w:rPr>
          <w:b/>
          <w:bCs/>
        </w:rPr>
        <w:t xml:space="preserve">Blocking the interaction between human PD-1 with PD-L1/PD-L2: </w:t>
      </w:r>
      <w:r w:rsidR="00111454" w:rsidRPr="00111454">
        <w:t>Competitive inhibition of the interaction between human PD-1 and its ligands (PD-L1 and PD-L2) was assessed using blocking ELISAs. Human PD-1 protein (1.5 μg/mL) was coated on the plate and blocked with 2% BSA. Serial dilutions (starting at 100 μg/mL, with a 3</w:t>
      </w:r>
      <w:r w:rsidR="00111454" w:rsidRPr="00111454">
        <w:rPr>
          <w:rFonts w:hint="eastAsia"/>
        </w:rPr>
        <w:t>‐</w:t>
      </w:r>
      <w:r w:rsidR="00111454" w:rsidRPr="00111454">
        <w:t>fold dilution series) of JS207, toripalimab, AK112, and anti-KLH hIgG4 were prepared in assay buffer containing biotin</w:t>
      </w:r>
      <w:r w:rsidR="00111454" w:rsidRPr="00111454">
        <w:rPr>
          <w:rFonts w:hint="eastAsia"/>
        </w:rPr>
        <w:t>‐</w:t>
      </w:r>
      <w:r w:rsidR="00111454" w:rsidRPr="00111454">
        <w:t>PD-L1 hFc (4.0 μg/mL) and added to the wells to allow competitive binding. Detection was performed using peroxidase</w:t>
      </w:r>
      <w:r w:rsidR="00111454" w:rsidRPr="00111454">
        <w:rPr>
          <w:rFonts w:hint="eastAsia"/>
        </w:rPr>
        <w:t>‐</w:t>
      </w:r>
      <w:r w:rsidR="00111454" w:rsidRPr="00111454">
        <w:t>conjugated streptavidin diluted 1:5000. Following color development with 0.1 mg/mL TMB and reaction termination with 2 M HCl, the absorbance was measured at 450 nm/620 nm.</w:t>
      </w:r>
      <w:r w:rsidRPr="00252750">
        <w:t xml:space="preserve"> </w:t>
      </w:r>
    </w:p>
    <w:p w14:paraId="214635C4" w14:textId="32D5C675" w:rsidR="00447987" w:rsidRPr="00F55262" w:rsidRDefault="00C62CE1" w:rsidP="00F55262">
      <w:pPr>
        <w:spacing w:before="120" w:after="120" w:line="240" w:lineRule="auto"/>
        <w:ind w:left="14" w:firstLineChars="0" w:firstLine="0"/>
        <w:jc w:val="both"/>
      </w:pPr>
      <w:r w:rsidRPr="0053307D">
        <w:rPr>
          <w:b/>
          <w:bCs/>
        </w:rPr>
        <w:t xml:space="preserve">Blocking the interaction between human VEGFA and VEGFR2: </w:t>
      </w:r>
      <w:r w:rsidRPr="009A6122">
        <w:t>For the assessment of JS207’s competitive inhibition of the VEGFA–VEGFR2 interaction, 0.5 μg/mL of human VEGFA was coated on 96</w:t>
      </w:r>
      <w:r w:rsidRPr="009A6122">
        <w:rPr>
          <w:rFonts w:hint="eastAsia"/>
        </w:rPr>
        <w:t>‐</w:t>
      </w:r>
      <w:r w:rsidRPr="009A6122">
        <w:t>well plates and blocked with 2% BSA. Serial dilutions (starting at 400 μg/mL, 3</w:t>
      </w:r>
      <w:r w:rsidRPr="009A6122">
        <w:rPr>
          <w:rFonts w:hint="eastAsia"/>
        </w:rPr>
        <w:t>‐</w:t>
      </w:r>
      <w:r w:rsidRPr="009A6122">
        <w:t>fold dilution series) of JS207, VEGF-</w:t>
      </w:r>
      <w:proofErr w:type="spellStart"/>
      <w:r w:rsidRPr="009A6122">
        <w:t>DotAb</w:t>
      </w:r>
      <w:proofErr w:type="spellEnd"/>
      <w:r w:rsidRPr="009A6122">
        <w:t>, AK112, and anti-KLH hIgG4 were added in assay buffer containing biotin</w:t>
      </w:r>
      <w:r w:rsidRPr="009A6122">
        <w:rPr>
          <w:rFonts w:hint="eastAsia"/>
        </w:rPr>
        <w:t>‐</w:t>
      </w:r>
      <w:r w:rsidRPr="009A6122">
        <w:t>VEGFR2 (0.3 μg/mL). After incubation, peroxidase</w:t>
      </w:r>
      <w:r w:rsidRPr="009A6122">
        <w:rPr>
          <w:rFonts w:hint="eastAsia"/>
        </w:rPr>
        <w:t>‐</w:t>
      </w:r>
      <w:r w:rsidRPr="009A6122">
        <w:t>conjugated streptavidin (diluted 1:5000) was used for detection. Color development was conducted with 0.1 mg/mL TMB, the reaction halted with 2 M HCl, and absorbance was measured at 450 nm/620 nm.</w:t>
      </w:r>
    </w:p>
    <w:p w14:paraId="26126C76" w14:textId="318434F0" w:rsidR="00DC7E04" w:rsidRPr="00AE5240" w:rsidRDefault="00CB50E0" w:rsidP="00343C8D">
      <w:pPr>
        <w:pStyle w:val="ListParagraph"/>
        <w:numPr>
          <w:ilvl w:val="1"/>
          <w:numId w:val="15"/>
        </w:numPr>
        <w:spacing w:before="120" w:after="120" w:line="240" w:lineRule="auto"/>
        <w:ind w:firstLineChars="0"/>
        <w:jc w:val="both"/>
        <w:rPr>
          <w:noProof/>
        </w:rPr>
      </w:pPr>
      <w:r w:rsidRPr="007B1AE5">
        <w:rPr>
          <w:b/>
          <w:bCs/>
        </w:rPr>
        <w:t>Surface Plasma Resonance (SPR) Binding Assays</w:t>
      </w:r>
    </w:p>
    <w:p w14:paraId="578A31CE" w14:textId="040E0788" w:rsidR="004A69BD" w:rsidRDefault="002D26C6" w:rsidP="0053307D">
      <w:pPr>
        <w:spacing w:line="240" w:lineRule="auto"/>
        <w:ind w:firstLineChars="0" w:firstLine="0"/>
        <w:jc w:val="both"/>
      </w:pPr>
      <w:r w:rsidRPr="0053307D">
        <w:rPr>
          <w:b/>
          <w:bCs/>
        </w:rPr>
        <w:t>Binding to human PD-1:</w:t>
      </w:r>
      <w:r>
        <w:t xml:space="preserve"> </w:t>
      </w:r>
      <w:r w:rsidRPr="007543D8">
        <w:t xml:space="preserve">The binding </w:t>
      </w:r>
      <w:r>
        <w:t xml:space="preserve">affinity </w:t>
      </w:r>
      <w:r w:rsidRPr="007543D8">
        <w:t xml:space="preserve">of JS207 to human PD-1 protein was </w:t>
      </w:r>
      <w:r>
        <w:t>measure</w:t>
      </w:r>
      <w:r w:rsidRPr="007543D8">
        <w:t xml:space="preserve">d by Biacore T200. 40 µg/mL of anti-human Fc fragment antibody was </w:t>
      </w:r>
      <w:r>
        <w:t>coated</w:t>
      </w:r>
      <w:r w:rsidRPr="007543D8">
        <w:t xml:space="preserve"> to CM5 chip, and then 2 μg/mL </w:t>
      </w:r>
      <w:r>
        <w:t xml:space="preserve">of </w:t>
      </w:r>
      <w:r w:rsidRPr="007543D8">
        <w:t xml:space="preserve">JS207, AK112 and </w:t>
      </w:r>
      <w:r>
        <w:t>toripalimab</w:t>
      </w:r>
      <w:r w:rsidRPr="007543D8">
        <w:t xml:space="preserve"> were captured, respectively. </w:t>
      </w:r>
      <w:r>
        <w:t>S</w:t>
      </w:r>
      <w:r w:rsidRPr="007543D8">
        <w:t xml:space="preserve">erially diluted human PD-1 </w:t>
      </w:r>
      <w:r w:rsidR="00A129B3">
        <w:t xml:space="preserve">at </w:t>
      </w:r>
      <w:r w:rsidR="00B94243" w:rsidRPr="00B94243">
        <w:t>140 nM, 70 nM, 35 nM, 17.5 nM, 8.75 nM and 4.375 nM</w:t>
      </w:r>
      <w:r w:rsidR="00A129B3">
        <w:t xml:space="preserve"> </w:t>
      </w:r>
      <w:r>
        <w:t>was</w:t>
      </w:r>
      <w:r w:rsidRPr="007543D8">
        <w:t xml:space="preserve"> </w:t>
      </w:r>
      <w:r>
        <w:t>then applied. T</w:t>
      </w:r>
      <w:r w:rsidRPr="007543D8">
        <w:t xml:space="preserve">he kinetic model was analyzed using the Biacore analysis software (Biacore T200 Evaluation Software 3.0), and the </w:t>
      </w:r>
      <w:r>
        <w:t>binding affinity (</w:t>
      </w:r>
      <w:r w:rsidRPr="007543D8">
        <w:t>K</w:t>
      </w:r>
      <w:r w:rsidRPr="0053307D">
        <w:rPr>
          <w:vertAlign w:val="subscript"/>
        </w:rPr>
        <w:t>D</w:t>
      </w:r>
      <w:r w:rsidRPr="007543D8">
        <w:t xml:space="preserve"> value</w:t>
      </w:r>
      <w:r>
        <w:t>)</w:t>
      </w:r>
      <w:r w:rsidRPr="007543D8">
        <w:t xml:space="preserve"> was calculated</w:t>
      </w:r>
      <w:r>
        <w:t>.</w:t>
      </w:r>
    </w:p>
    <w:p w14:paraId="34A3B85A" w14:textId="316E385E" w:rsidR="002D26C6" w:rsidRDefault="002D26C6" w:rsidP="007A43C9">
      <w:pPr>
        <w:spacing w:before="120" w:after="120" w:line="240" w:lineRule="auto"/>
        <w:ind w:firstLineChars="0" w:firstLine="0"/>
        <w:jc w:val="both"/>
      </w:pPr>
      <w:r w:rsidRPr="00EF5DC2">
        <w:rPr>
          <w:b/>
          <w:bCs/>
        </w:rPr>
        <w:t xml:space="preserve">Binding to human VEGFA: </w:t>
      </w:r>
      <w:r w:rsidRPr="001245E7">
        <w:t xml:space="preserve">The binding </w:t>
      </w:r>
      <w:r>
        <w:t xml:space="preserve">affinity </w:t>
      </w:r>
      <w:r w:rsidRPr="001245E7">
        <w:t xml:space="preserve">of JS207 to human VEGFA protein was determined by the Biacore T200. 40 µg/mL of anti-human Fc fragment antibody was </w:t>
      </w:r>
      <w:r>
        <w:t>coated</w:t>
      </w:r>
      <w:r w:rsidRPr="001245E7">
        <w:t xml:space="preserve"> to CM5 chip, and then 2 µg/mL of JS207, AK112 and 0.4 µg/mL of </w:t>
      </w:r>
      <w:r>
        <w:t>VEGF</w:t>
      </w:r>
      <w:r w:rsidRPr="001245E7">
        <w:t>-</w:t>
      </w:r>
      <w:proofErr w:type="spellStart"/>
      <w:r w:rsidRPr="001245E7">
        <w:t>DotAb</w:t>
      </w:r>
      <w:proofErr w:type="spellEnd"/>
      <w:r>
        <w:t xml:space="preserve"> (anti-human VEGFA </w:t>
      </w:r>
      <w:proofErr w:type="spellStart"/>
      <w:r>
        <w:t>DotAb</w:t>
      </w:r>
      <w:proofErr w:type="spellEnd"/>
      <w:r>
        <w:t>) were added</w:t>
      </w:r>
      <w:r w:rsidRPr="001245E7">
        <w:t xml:space="preserve">. When testing JS207 and </w:t>
      </w:r>
      <w:r>
        <w:t>VEGF</w:t>
      </w:r>
      <w:r w:rsidRPr="001245E7">
        <w:t>-</w:t>
      </w:r>
      <w:proofErr w:type="spellStart"/>
      <w:r w:rsidRPr="001245E7">
        <w:t>DotAb</w:t>
      </w:r>
      <w:proofErr w:type="spellEnd"/>
      <w:r w:rsidRPr="001245E7">
        <w:t xml:space="preserve">, human VEGFA protein was </w:t>
      </w:r>
      <w:r w:rsidRPr="001245E7">
        <w:lastRenderedPageBreak/>
        <w:t xml:space="preserve">diluted </w:t>
      </w:r>
      <w:r>
        <w:t>to</w:t>
      </w:r>
      <w:r w:rsidRPr="001245E7">
        <w:t xml:space="preserve"> 6 nM, 3 nM, 1.5 nM, 0.75 nM, 0.375 nM and 0.188 nM; when testing AK112, human VEGFA protein was diluted </w:t>
      </w:r>
      <w:r>
        <w:t>to</w:t>
      </w:r>
      <w:r w:rsidRPr="001245E7">
        <w:t xml:space="preserve"> 12 nM, 6 nM, 3 nM, 1.5 nM, 0.75 nM and 0.375 </w:t>
      </w:r>
      <w:proofErr w:type="spellStart"/>
      <w:r w:rsidRPr="001245E7">
        <w:t>nM.</w:t>
      </w:r>
      <w:proofErr w:type="spellEnd"/>
      <w:r w:rsidRPr="001245E7">
        <w:t xml:space="preserve"> The kinetic model was analyzed using Biacore analysis software Biacore T200 Evaluation Software 3.0, and the </w:t>
      </w:r>
      <w:r>
        <w:t xml:space="preserve">binding </w:t>
      </w:r>
      <w:r w:rsidRPr="001245E7">
        <w:t xml:space="preserve">affinity </w:t>
      </w:r>
      <w:r>
        <w:t>(</w:t>
      </w:r>
      <w:r w:rsidRPr="001245E7">
        <w:t>K</w:t>
      </w:r>
      <w:r w:rsidRPr="00EF5DC2">
        <w:rPr>
          <w:vertAlign w:val="subscript"/>
        </w:rPr>
        <w:t>D</w:t>
      </w:r>
      <w:r w:rsidRPr="001245E7">
        <w:t xml:space="preserve"> value</w:t>
      </w:r>
      <w:r>
        <w:t>)</w:t>
      </w:r>
      <w:r w:rsidRPr="001245E7">
        <w:t xml:space="preserve"> was calculated. </w:t>
      </w:r>
    </w:p>
    <w:p w14:paraId="07E435E2" w14:textId="3F4EA486" w:rsidR="002D26C6" w:rsidRDefault="002D26C6" w:rsidP="00EF5DC2">
      <w:pPr>
        <w:spacing w:line="240" w:lineRule="auto"/>
        <w:ind w:firstLineChars="0" w:firstLine="0"/>
        <w:jc w:val="both"/>
      </w:pPr>
      <w:r>
        <w:rPr>
          <w:b/>
          <w:bCs/>
        </w:rPr>
        <w:t xml:space="preserve">Binding of </w:t>
      </w:r>
      <w:r w:rsidRPr="00D815F8">
        <w:rPr>
          <w:b/>
          <w:bCs/>
        </w:rPr>
        <w:t xml:space="preserve">JS207/VEGFA </w:t>
      </w:r>
      <w:r>
        <w:rPr>
          <w:b/>
          <w:bCs/>
        </w:rPr>
        <w:t>c</w:t>
      </w:r>
      <w:r w:rsidRPr="00D815F8">
        <w:rPr>
          <w:b/>
          <w:bCs/>
        </w:rPr>
        <w:t xml:space="preserve">omplex to </w:t>
      </w:r>
      <w:r>
        <w:rPr>
          <w:b/>
          <w:bCs/>
        </w:rPr>
        <w:t>h</w:t>
      </w:r>
      <w:r w:rsidRPr="00D815F8">
        <w:rPr>
          <w:b/>
          <w:bCs/>
        </w:rPr>
        <w:t>uman PD-1</w:t>
      </w:r>
      <w:r>
        <w:rPr>
          <w:b/>
          <w:bCs/>
        </w:rPr>
        <w:t xml:space="preserve">: </w:t>
      </w:r>
      <w:r w:rsidRPr="00653170">
        <w:t>The binding of the pre</w:t>
      </w:r>
      <w:r w:rsidR="00DD14BB">
        <w:t>-</w:t>
      </w:r>
      <w:r w:rsidRPr="00653170">
        <w:t>formed JS207/VEGFA complex to human PD-1 was assessed using an Octet RED96e system (Sartorius Fortebio). In this assay, 20 µg/mL of human PD-1-mFc was immobilized on an AMC biosensor. The sensor was then incubated with JS207, AK112, the JS207/VEGFA complex, or the AK112/VEGFA complex. Complexes were generated by pre-incubating JS207 or AK112 with VEGFA at a 1:2 molar ratio at room temperature for 30 minutes prior to analysis. Kinetic parameters were analyzed using Data Analysis 11.1 software (Fortebio), and the K</w:t>
      </w:r>
      <w:r w:rsidRPr="00B03492">
        <w:rPr>
          <w:vertAlign w:val="subscript"/>
        </w:rPr>
        <w:t>D</w:t>
      </w:r>
      <w:r w:rsidRPr="00653170">
        <w:t xml:space="preserve"> values were derived accordingly.</w:t>
      </w:r>
    </w:p>
    <w:p w14:paraId="7E4745A8" w14:textId="77777777" w:rsidR="007C2217" w:rsidRDefault="007C2217" w:rsidP="007C2217">
      <w:pPr>
        <w:spacing w:before="120" w:after="120" w:line="240" w:lineRule="auto"/>
        <w:ind w:firstLineChars="0" w:firstLine="0"/>
        <w:jc w:val="both"/>
      </w:pPr>
      <w:r w:rsidRPr="00D4783F">
        <w:rPr>
          <w:b/>
          <w:bCs/>
        </w:rPr>
        <w:t xml:space="preserve">Simultaneous </w:t>
      </w:r>
      <w:r>
        <w:rPr>
          <w:b/>
          <w:bCs/>
        </w:rPr>
        <w:t>b</w:t>
      </w:r>
      <w:r w:rsidRPr="00D4783F">
        <w:rPr>
          <w:b/>
          <w:bCs/>
        </w:rPr>
        <w:t xml:space="preserve">inding </w:t>
      </w:r>
      <w:r>
        <w:rPr>
          <w:b/>
          <w:bCs/>
        </w:rPr>
        <w:t xml:space="preserve">of JS207 </w:t>
      </w:r>
      <w:r w:rsidRPr="00D4783F">
        <w:rPr>
          <w:b/>
          <w:bCs/>
        </w:rPr>
        <w:t xml:space="preserve">to </w:t>
      </w:r>
      <w:r>
        <w:rPr>
          <w:b/>
          <w:bCs/>
        </w:rPr>
        <w:t>h</w:t>
      </w:r>
      <w:r w:rsidRPr="00D4783F">
        <w:rPr>
          <w:b/>
          <w:bCs/>
        </w:rPr>
        <w:t>uman PD-1 and VEGFA</w:t>
      </w:r>
      <w:r>
        <w:rPr>
          <w:b/>
          <w:bCs/>
        </w:rPr>
        <w:t xml:space="preserve">: </w:t>
      </w:r>
      <w:r w:rsidRPr="003341FC">
        <w:t xml:space="preserve">The </w:t>
      </w:r>
      <w:r>
        <w:t xml:space="preserve">ability of JS207 to </w:t>
      </w:r>
      <w:r w:rsidRPr="003341FC">
        <w:t>simultaneous</w:t>
      </w:r>
      <w:r>
        <w:t>ly</w:t>
      </w:r>
      <w:r w:rsidRPr="003341FC">
        <w:t xml:space="preserve"> bind to human PD-1 and human VEGFA was </w:t>
      </w:r>
      <w:r>
        <w:t>measured</w:t>
      </w:r>
      <w:r w:rsidRPr="003341FC">
        <w:t xml:space="preserve"> </w:t>
      </w:r>
      <w:r>
        <w:t>using</w:t>
      </w:r>
      <w:r w:rsidRPr="003341FC">
        <w:t xml:space="preserve"> the Biacore T200. </w:t>
      </w:r>
      <w:r w:rsidRPr="004D2984">
        <w:t xml:space="preserve">Two different </w:t>
      </w:r>
      <w:r>
        <w:t>experimental formats</w:t>
      </w:r>
      <w:r w:rsidRPr="004D2984">
        <w:t xml:space="preserve"> were used</w:t>
      </w:r>
      <w:r>
        <w:t>: (1)</w:t>
      </w:r>
      <w:r w:rsidRPr="0071466B">
        <w:tab/>
        <w:t>PD-1 First, then VEGFA:</w:t>
      </w:r>
      <w:r w:rsidRPr="004D2984">
        <w:t xml:space="preserve"> 20 µg/mL anti-mouse Fc antibody was coupled to the CM5 chip, and 2 μg/m</w:t>
      </w:r>
      <w:r>
        <w:t>L</w:t>
      </w:r>
      <w:r w:rsidRPr="004D2984">
        <w:t xml:space="preserve"> human PD-1 with a mouse Fc was captured. 100 nM of JS207, AK112, </w:t>
      </w:r>
      <w:r>
        <w:t>toripalimab</w:t>
      </w:r>
      <w:r w:rsidRPr="004D2984">
        <w:t xml:space="preserve"> and buffer were injected, respectively. Followed by 80 nM of unlabeled VEGFA or buffer. </w:t>
      </w:r>
      <w:r>
        <w:t xml:space="preserve">(2) </w:t>
      </w:r>
      <w:r w:rsidRPr="00493AD1">
        <w:t>VEGFA First, then PD-1</w:t>
      </w:r>
      <w:r>
        <w:t>:</w:t>
      </w:r>
      <w:r w:rsidRPr="004D2984">
        <w:t xml:space="preserve"> 20 µg/mL anti-</w:t>
      </w:r>
      <w:r>
        <w:t>h</w:t>
      </w:r>
      <w:r w:rsidRPr="004D2984">
        <w:t xml:space="preserve">is tag antibody was coupled to the CM5 chip, and 0.1 µg/mL human VEGFA with His tag was captured. 500 nM of JS207, AK112, </w:t>
      </w:r>
      <w:r>
        <w:t>VEGF</w:t>
      </w:r>
      <w:r w:rsidRPr="004D2984">
        <w:t>-</w:t>
      </w:r>
      <w:proofErr w:type="spellStart"/>
      <w:r w:rsidRPr="004D2984">
        <w:t>DotAb</w:t>
      </w:r>
      <w:proofErr w:type="spellEnd"/>
      <w:r w:rsidRPr="004D2984">
        <w:t xml:space="preserve"> and buffer were injected, respectively. Followed by 300 nM of human PD-1 with mouse Fc or buffer</w:t>
      </w:r>
      <w:r w:rsidRPr="003341FC">
        <w:t>.</w:t>
      </w:r>
    </w:p>
    <w:p w14:paraId="0F4830D3" w14:textId="1A185EF8" w:rsidR="007C2217" w:rsidRPr="009021C0" w:rsidRDefault="007C2217" w:rsidP="00D46525">
      <w:pPr>
        <w:pStyle w:val="ListParagraph"/>
        <w:numPr>
          <w:ilvl w:val="1"/>
          <w:numId w:val="15"/>
        </w:numPr>
        <w:spacing w:before="240" w:after="120" w:line="240" w:lineRule="auto"/>
        <w:ind w:left="417" w:firstLineChars="0" w:hanging="403"/>
        <w:jc w:val="both"/>
        <w:rPr>
          <w:noProof/>
        </w:rPr>
      </w:pPr>
      <w:r w:rsidRPr="009021C0">
        <w:rPr>
          <w:b/>
          <w:bCs/>
        </w:rPr>
        <w:t>Luciferase Reporter Gene Assays</w:t>
      </w:r>
    </w:p>
    <w:p w14:paraId="5F85CC9E" w14:textId="00C0B594" w:rsidR="007C2217" w:rsidRPr="00CD1E23" w:rsidRDefault="007C2217" w:rsidP="00186890">
      <w:pPr>
        <w:spacing w:before="120" w:after="120" w:line="240" w:lineRule="auto"/>
        <w:ind w:firstLineChars="0" w:firstLine="0"/>
        <w:jc w:val="both"/>
      </w:pPr>
      <w:r w:rsidRPr="00BF0FA2">
        <w:rPr>
          <w:b/>
          <w:bCs/>
        </w:rPr>
        <w:t>PD-1 reporter gene assay:</w:t>
      </w:r>
      <w:r>
        <w:rPr>
          <w:b/>
          <w:bCs/>
        </w:rPr>
        <w:t xml:space="preserve"> </w:t>
      </w:r>
      <w:r>
        <w:t>T</w:t>
      </w:r>
      <w:r w:rsidRPr="00A35914">
        <w:t xml:space="preserve">wo </w:t>
      </w:r>
      <w:r>
        <w:t xml:space="preserve">engineered </w:t>
      </w:r>
      <w:r w:rsidRPr="00A35914">
        <w:t>cell lines</w:t>
      </w:r>
      <w:r>
        <w:t xml:space="preserve"> were used in t</w:t>
      </w:r>
      <w:r w:rsidRPr="00A35914">
        <w:t>his assay: Jurkat</w:t>
      </w:r>
      <w:r>
        <w:t>/P</w:t>
      </w:r>
      <w:r w:rsidRPr="00A35914">
        <w:t>D-1</w:t>
      </w:r>
      <w:r>
        <w:t>-NAFT-Luc</w:t>
      </w:r>
      <w:r w:rsidRPr="00A35914">
        <w:t xml:space="preserve"> effector cell in which human PD-1 and luciferase reporter gene coupled with NFAT </w:t>
      </w:r>
      <w:r>
        <w:t>were</w:t>
      </w:r>
      <w:r w:rsidRPr="00A35914">
        <w:t xml:space="preserve"> stably expressed, and </w:t>
      </w:r>
      <w:r w:rsidR="002A6242" w:rsidRPr="002A6242">
        <w:t xml:space="preserve">PD-L1 aAPC/CHO-K1 </w:t>
      </w:r>
      <w:r w:rsidRPr="00A35914">
        <w:t xml:space="preserve">target cell in which human PD-L1 </w:t>
      </w:r>
      <w:r>
        <w:t>was</w:t>
      </w:r>
      <w:r w:rsidRPr="00A35914">
        <w:t xml:space="preserve"> stably expressed. </w:t>
      </w:r>
      <w:r>
        <w:t xml:space="preserve">JS207 can inhibit the binding of PD-1 in Jurkat/PD-1 cells to PD-L1 in CHO/PD-L1 cells. </w:t>
      </w:r>
      <w:r w:rsidRPr="00A35914">
        <w:t xml:space="preserve">The biological activity (potency) of the anti-PD-1 arm of JS207 </w:t>
      </w:r>
      <w:r>
        <w:t>was</w:t>
      </w:r>
      <w:r w:rsidRPr="00A35914">
        <w:t xml:space="preserve"> measured by detecting the NFAT/luciferase reporter gene activation via bioluminescent measurement. </w:t>
      </w:r>
      <w:r w:rsidR="00591A00" w:rsidRPr="00454CA7">
        <w:t xml:space="preserve">EC50 values were derived using the 4PL model </w:t>
      </w:r>
      <w:r w:rsidR="00A3560E">
        <w:t>with</w:t>
      </w:r>
      <w:r w:rsidR="00591A00" w:rsidRPr="00454CA7">
        <w:t xml:space="preserve"> GraphPad Prism 10. The signal to noise (S/N) ratio was generated by dividing the Top response by Bottom response.</w:t>
      </w:r>
    </w:p>
    <w:p w14:paraId="2B07AB8E" w14:textId="5D63FDA9" w:rsidR="007C2217" w:rsidRPr="00905C61" w:rsidRDefault="007C2217" w:rsidP="00186890">
      <w:pPr>
        <w:spacing w:before="120" w:after="120" w:line="240" w:lineRule="auto"/>
        <w:ind w:firstLineChars="0" w:firstLine="0"/>
        <w:jc w:val="both"/>
      </w:pPr>
      <w:r w:rsidRPr="00BF0FA2">
        <w:rPr>
          <w:b/>
          <w:bCs/>
        </w:rPr>
        <w:t>VEGF reporter gene assay:</w:t>
      </w:r>
      <w:r>
        <w:t xml:space="preserve"> H</w:t>
      </w:r>
      <w:r w:rsidRPr="00676089">
        <w:t>293</w:t>
      </w:r>
      <w:r>
        <w:t>/</w:t>
      </w:r>
      <w:r w:rsidRPr="00676089">
        <w:t>VEGFR2 cell</w:t>
      </w:r>
      <w:r>
        <w:t xml:space="preserve"> that was engineered to express </w:t>
      </w:r>
      <w:r w:rsidRPr="00676089">
        <w:t>VEGFR2</w:t>
      </w:r>
      <w:r>
        <w:t xml:space="preserve">/NFAT-luciferase was used in this assay. </w:t>
      </w:r>
      <w:r w:rsidRPr="00676089">
        <w:t xml:space="preserve">When VEGFA </w:t>
      </w:r>
      <w:r>
        <w:t>binds to</w:t>
      </w:r>
      <w:r w:rsidRPr="00676089">
        <w:t xml:space="preserve"> VEGFR2 </w:t>
      </w:r>
      <w:r>
        <w:t>to</w:t>
      </w:r>
      <w:r w:rsidRPr="00676089">
        <w:t xml:space="preserve"> initiate the signaling pathway, the transcription factor NFAT is activated to express the luciferase reporter gene</w:t>
      </w:r>
      <w:r>
        <w:t>,</w:t>
      </w:r>
      <w:r w:rsidRPr="00676089">
        <w:t xml:space="preserve"> and chemiluminescence is generated after the </w:t>
      </w:r>
      <w:r>
        <w:t xml:space="preserve">addition of </w:t>
      </w:r>
      <w:r w:rsidRPr="00676089">
        <w:t xml:space="preserve">substrate. </w:t>
      </w:r>
      <w:r>
        <w:t xml:space="preserve">JS207 inhibits the </w:t>
      </w:r>
      <w:r w:rsidRPr="00676089">
        <w:t xml:space="preserve">VEGFA </w:t>
      </w:r>
      <w:r>
        <w:t>binding to</w:t>
      </w:r>
      <w:r w:rsidRPr="00676089">
        <w:t xml:space="preserve"> VEGFR2</w:t>
      </w:r>
      <w:r>
        <w:t xml:space="preserve"> reducing the</w:t>
      </w:r>
      <w:r w:rsidRPr="00676089">
        <w:t xml:space="preserve"> luciferase reporter </w:t>
      </w:r>
      <w:r>
        <w:t xml:space="preserve">expression. </w:t>
      </w:r>
      <w:r w:rsidRPr="00676089">
        <w:t xml:space="preserve"> </w:t>
      </w:r>
      <w:r>
        <w:t>Thus, t</w:t>
      </w:r>
      <w:r w:rsidRPr="00676089">
        <w:t xml:space="preserve">he biological activity </w:t>
      </w:r>
      <w:r>
        <w:t xml:space="preserve">(potency) </w:t>
      </w:r>
      <w:r w:rsidRPr="00676089">
        <w:t>of the anti-VEGF</w:t>
      </w:r>
      <w:r>
        <w:t>A</w:t>
      </w:r>
      <w:r w:rsidRPr="00676089">
        <w:t xml:space="preserve"> </w:t>
      </w:r>
      <w:r>
        <w:t>domain</w:t>
      </w:r>
      <w:r w:rsidRPr="00676089">
        <w:t xml:space="preserve"> of JS207 can be measured by detecting the bioluminescent signal.</w:t>
      </w:r>
      <w:r w:rsidR="00F55262">
        <w:t xml:space="preserve"> I</w:t>
      </w:r>
      <w:r w:rsidR="00F55262" w:rsidRPr="00454CA7">
        <w:t xml:space="preserve">C50 values were derived using the 4PL model </w:t>
      </w:r>
      <w:r w:rsidR="00F55262">
        <w:t>with</w:t>
      </w:r>
      <w:r w:rsidR="00F55262" w:rsidRPr="00454CA7">
        <w:t xml:space="preserve"> GraphPad Prism 10. The signal to noise (S/N) ratio was generated by dividing the Top response by Bottom response.</w:t>
      </w:r>
    </w:p>
    <w:p w14:paraId="604D3E7A" w14:textId="10DF51AB" w:rsidR="007C2217" w:rsidRPr="007D619F" w:rsidRDefault="007C2217" w:rsidP="007D619F">
      <w:pPr>
        <w:pStyle w:val="ListParagraph"/>
        <w:numPr>
          <w:ilvl w:val="1"/>
          <w:numId w:val="15"/>
        </w:numPr>
        <w:spacing w:before="120" w:after="120" w:line="240" w:lineRule="auto"/>
        <w:ind w:firstLineChars="0"/>
        <w:jc w:val="both"/>
        <w:rPr>
          <w:b/>
          <w:bCs/>
        </w:rPr>
      </w:pPr>
      <w:r w:rsidRPr="007D619F">
        <w:rPr>
          <w:b/>
          <w:bCs/>
        </w:rPr>
        <w:t xml:space="preserve">HUVEC </w:t>
      </w:r>
      <w:r w:rsidR="00DC2591" w:rsidRPr="007D619F">
        <w:rPr>
          <w:b/>
          <w:bCs/>
        </w:rPr>
        <w:t>p</w:t>
      </w:r>
      <w:r w:rsidRPr="007D619F">
        <w:rPr>
          <w:b/>
          <w:bCs/>
        </w:rPr>
        <w:t xml:space="preserve">roliferation </w:t>
      </w:r>
      <w:r w:rsidR="00DC2591" w:rsidRPr="007D619F">
        <w:rPr>
          <w:b/>
          <w:bCs/>
        </w:rPr>
        <w:t>i</w:t>
      </w:r>
      <w:r w:rsidRPr="007D619F">
        <w:rPr>
          <w:b/>
          <w:bCs/>
        </w:rPr>
        <w:t xml:space="preserve">nhibition </w:t>
      </w:r>
      <w:r w:rsidR="00DC2591" w:rsidRPr="007D619F">
        <w:rPr>
          <w:b/>
          <w:bCs/>
        </w:rPr>
        <w:t>a</w:t>
      </w:r>
      <w:r w:rsidRPr="007D619F">
        <w:rPr>
          <w:b/>
          <w:bCs/>
        </w:rPr>
        <w:t xml:space="preserve">ssay </w:t>
      </w:r>
    </w:p>
    <w:p w14:paraId="546E768F" w14:textId="36534F1E" w:rsidR="0058515D" w:rsidRPr="002B52F5" w:rsidRDefault="007C2217" w:rsidP="00186890">
      <w:pPr>
        <w:spacing w:line="240" w:lineRule="auto"/>
        <w:ind w:firstLineChars="0" w:firstLine="0"/>
        <w:jc w:val="both"/>
      </w:pPr>
      <w:r w:rsidRPr="00A9680F">
        <w:t>Human umbilical vein endothelial cells</w:t>
      </w:r>
      <w:r>
        <w:t xml:space="preserve"> (</w:t>
      </w:r>
      <w:r w:rsidRPr="00BD75A9">
        <w:t>HUVECs</w:t>
      </w:r>
      <w:r>
        <w:t>)</w:t>
      </w:r>
      <w:r w:rsidRPr="00BD75A9">
        <w:t xml:space="preserve"> and recombinant human VEGFA protein were used to evaluate the effect of JS207 on VEGF-mediated HUVEC proliferation. </w:t>
      </w:r>
      <w:r w:rsidRPr="00EE23CB">
        <w:t>VEGF</w:t>
      </w:r>
      <w:r>
        <w:t>A</w:t>
      </w:r>
      <w:r w:rsidRPr="00EE23CB">
        <w:t xml:space="preserve"> </w:t>
      </w:r>
      <w:r>
        <w:t xml:space="preserve">at </w:t>
      </w:r>
      <w:r w:rsidRPr="00EE23CB">
        <w:t xml:space="preserve">10 ng/mL was added to a 96-well plate, and the </w:t>
      </w:r>
      <w:r>
        <w:t xml:space="preserve">test </w:t>
      </w:r>
      <w:r w:rsidRPr="00EE23CB">
        <w:t>antibod</w:t>
      </w:r>
      <w:r>
        <w:t>y solutions (JS207, AK112, VEGF-</w:t>
      </w:r>
      <w:proofErr w:type="spellStart"/>
      <w:r>
        <w:t>DotAb</w:t>
      </w:r>
      <w:proofErr w:type="spellEnd"/>
      <w:r>
        <w:t xml:space="preserve"> and anti-KHL-IgG4)</w:t>
      </w:r>
      <w:r w:rsidRPr="00EE23CB">
        <w:t xml:space="preserve"> at 0.004 nM-10 nM w</w:t>
      </w:r>
      <w:r>
        <w:t>ere</w:t>
      </w:r>
      <w:r w:rsidRPr="00EE23CB">
        <w:t xml:space="preserve"> added to the plate</w:t>
      </w:r>
      <w:r>
        <w:t xml:space="preserve"> and </w:t>
      </w:r>
      <w:r w:rsidRPr="00EE23CB">
        <w:t xml:space="preserve">incubated </w:t>
      </w:r>
      <w:r>
        <w:t>at</w:t>
      </w:r>
      <w:r w:rsidRPr="00EE23CB">
        <w:t xml:space="preserve"> 37 °C</w:t>
      </w:r>
      <w:r>
        <w:t xml:space="preserve"> f</w:t>
      </w:r>
      <w:r w:rsidRPr="00EE23CB">
        <w:t xml:space="preserve">or </w:t>
      </w:r>
      <w:r>
        <w:t xml:space="preserve">30 </w:t>
      </w:r>
      <w:r>
        <w:lastRenderedPageBreak/>
        <w:t>minutes</w:t>
      </w:r>
      <w:r w:rsidRPr="00EE23CB">
        <w:t xml:space="preserve">. Then, HUVECs </w:t>
      </w:r>
      <w:r w:rsidRPr="002B52F5">
        <w:rPr>
          <w:rFonts w:hint="eastAsia"/>
        </w:rPr>
        <w:t>at 3</w:t>
      </w:r>
      <w:r w:rsidRPr="002B52F5">
        <w:rPr>
          <w:rFonts w:hint="eastAsia"/>
        </w:rPr>
        <w:t>×</w:t>
      </w:r>
      <w:r w:rsidRPr="002B52F5">
        <w:rPr>
          <w:rFonts w:hint="eastAsia"/>
        </w:rPr>
        <w:t>10</w:t>
      </w:r>
      <w:r w:rsidRPr="000F6505">
        <w:rPr>
          <w:rFonts w:hint="eastAsia"/>
          <w:vertAlign w:val="superscript"/>
        </w:rPr>
        <w:t>4</w:t>
      </w:r>
      <w:r w:rsidRPr="002B52F5">
        <w:rPr>
          <w:rFonts w:hint="eastAsia"/>
        </w:rPr>
        <w:t xml:space="preserve"> cells/m</w:t>
      </w:r>
      <w:r>
        <w:t>L</w:t>
      </w:r>
      <w:r w:rsidRPr="002B52F5">
        <w:rPr>
          <w:rFonts w:hint="eastAsia"/>
        </w:rPr>
        <w:t>, 100 µ</w:t>
      </w:r>
      <w:r>
        <w:t>L</w:t>
      </w:r>
      <w:r w:rsidRPr="002B52F5">
        <w:rPr>
          <w:rFonts w:hint="eastAsia"/>
        </w:rPr>
        <w:t xml:space="preserve">/well </w:t>
      </w:r>
      <w:r w:rsidRPr="00EE23CB">
        <w:t xml:space="preserve">were seeded into the </w:t>
      </w:r>
      <w:r>
        <w:t xml:space="preserve">assay </w:t>
      </w:r>
      <w:r w:rsidRPr="00EE23CB">
        <w:t xml:space="preserve">plate and incubated </w:t>
      </w:r>
      <w:r>
        <w:t>at</w:t>
      </w:r>
      <w:r w:rsidRPr="00EE23CB">
        <w:t xml:space="preserve"> 37 °C</w:t>
      </w:r>
      <w:r>
        <w:t xml:space="preserve"> </w:t>
      </w:r>
      <w:r w:rsidRPr="00EE23CB">
        <w:t>for 96 hours</w:t>
      </w:r>
      <w:r>
        <w:t>. After incubation, c</w:t>
      </w:r>
      <w:r w:rsidRPr="00EE23CB">
        <w:t xml:space="preserve">ell counting-Lite luciferase assay reagent was added and chemiluminescence signals were </w:t>
      </w:r>
      <w:r>
        <w:t>measured</w:t>
      </w:r>
      <w:r w:rsidRPr="00EE23CB">
        <w:t xml:space="preserve"> using a multifunctional microplate reader. </w:t>
      </w:r>
      <w:r w:rsidR="008B0ECF" w:rsidRPr="008B0ECF">
        <w:t>IC50 values were derived using the 4PL model with GraphPad Prism 10. The signal to noise (S/N) ratio was generated by dividing the Top response by Bottom response.</w:t>
      </w:r>
    </w:p>
    <w:p w14:paraId="7A38DA4C" w14:textId="0919D0F4" w:rsidR="007C2217" w:rsidRPr="009021C0" w:rsidRDefault="007C2217" w:rsidP="007D619F">
      <w:pPr>
        <w:pStyle w:val="ListParagraph"/>
        <w:numPr>
          <w:ilvl w:val="1"/>
          <w:numId w:val="15"/>
        </w:numPr>
        <w:spacing w:before="240" w:after="120" w:line="240" w:lineRule="auto"/>
        <w:ind w:left="417" w:firstLineChars="0" w:hanging="403"/>
        <w:jc w:val="both"/>
        <w:rPr>
          <w:noProof/>
        </w:rPr>
      </w:pPr>
      <w:r w:rsidRPr="009021C0">
        <w:rPr>
          <w:b/>
          <w:bCs/>
        </w:rPr>
        <w:t>Flow Cytometry Experiments</w:t>
      </w:r>
    </w:p>
    <w:p w14:paraId="721B8074" w14:textId="1682079E" w:rsidR="007C2217" w:rsidRDefault="007C2217" w:rsidP="00EF6087">
      <w:pPr>
        <w:spacing w:before="120" w:after="120" w:line="240" w:lineRule="auto"/>
        <w:ind w:firstLineChars="0" w:firstLine="0"/>
      </w:pPr>
      <w:r w:rsidRPr="00865B39">
        <w:rPr>
          <w:b/>
          <w:bCs/>
        </w:rPr>
        <w:t xml:space="preserve">Internalization </w:t>
      </w:r>
      <w:r>
        <w:rPr>
          <w:b/>
          <w:bCs/>
        </w:rPr>
        <w:t>a</w:t>
      </w:r>
      <w:r w:rsidRPr="00865B39">
        <w:rPr>
          <w:b/>
          <w:bCs/>
        </w:rPr>
        <w:t xml:space="preserve">ssay </w:t>
      </w:r>
      <w:r>
        <w:rPr>
          <w:b/>
          <w:bCs/>
        </w:rPr>
        <w:t>u</w:t>
      </w:r>
      <w:r w:rsidRPr="00865B39">
        <w:rPr>
          <w:b/>
          <w:bCs/>
        </w:rPr>
        <w:t xml:space="preserve">sing </w:t>
      </w:r>
      <w:r>
        <w:rPr>
          <w:b/>
          <w:bCs/>
        </w:rPr>
        <w:t>c</w:t>
      </w:r>
      <w:r w:rsidRPr="00865B39">
        <w:rPr>
          <w:b/>
          <w:bCs/>
        </w:rPr>
        <w:t xml:space="preserve">ell </w:t>
      </w:r>
      <w:r>
        <w:rPr>
          <w:b/>
          <w:bCs/>
        </w:rPr>
        <w:t>s</w:t>
      </w:r>
      <w:r w:rsidRPr="00865B39">
        <w:rPr>
          <w:b/>
          <w:bCs/>
        </w:rPr>
        <w:t xml:space="preserve">urface </w:t>
      </w:r>
      <w:r>
        <w:rPr>
          <w:b/>
          <w:bCs/>
        </w:rPr>
        <w:t>r</w:t>
      </w:r>
      <w:r w:rsidRPr="00865B39">
        <w:rPr>
          <w:b/>
          <w:bCs/>
        </w:rPr>
        <w:t xml:space="preserve">esidual PD-1 </w:t>
      </w:r>
      <w:r>
        <w:rPr>
          <w:b/>
          <w:bCs/>
        </w:rPr>
        <w:t>q</w:t>
      </w:r>
      <w:r w:rsidRPr="00865B39">
        <w:rPr>
          <w:b/>
          <w:bCs/>
        </w:rPr>
        <w:t>uantification</w:t>
      </w:r>
      <w:r>
        <w:rPr>
          <w:b/>
          <w:bCs/>
        </w:rPr>
        <w:t xml:space="preserve"> method</w:t>
      </w:r>
      <w:r w:rsidRPr="00555C7F">
        <w:rPr>
          <w:b/>
          <w:bCs/>
        </w:rPr>
        <w:t>:</w:t>
      </w:r>
      <w:r>
        <w:rPr>
          <w:b/>
          <w:bCs/>
        </w:rPr>
        <w:t xml:space="preserve"> </w:t>
      </w:r>
      <w:r w:rsidRPr="00E05383">
        <w:t>H293/PD-1 cells were prepared at a concentration of 2×10⁶ cells/mL, and 50 µL per well was seeded in a 96-well plate. JS207, AK112, and toripalimab were serially diluted (starting at 80 nM with 3-fold dilutions) and added to the wells in the absence or presence of VEGFA (2X; starting at 160 nM with 3-fold dilutions). After a 30-minute incubation at 4 °C, the cells were divided into two aliquots and incubated at 37 °C and 4 °C for 0.5, 1, 2, and 4 hours, respectively. Subsequently, all cells were stained with an anti-human IgG-PE antibody for 30 minutes at 4 °C. The samples were then analyzed by flow cytometry. The mean fluorescence intensity (MFI) of the PE channel was determined, and the internalization index was calculated using the following formula</w:t>
      </w:r>
      <w:r w:rsidRPr="00E05383">
        <w:rPr>
          <w:b/>
          <w:bCs/>
        </w:rPr>
        <w:t>:</w:t>
      </w:r>
      <w:r>
        <w:t xml:space="preserve"> </w:t>
      </w:r>
    </w:p>
    <w:p w14:paraId="241BE33E" w14:textId="77777777" w:rsidR="007C2217" w:rsidRDefault="007C2217" w:rsidP="00EF6087">
      <w:pPr>
        <w:spacing w:before="120" w:after="120" w:line="240" w:lineRule="auto"/>
        <w:ind w:firstLine="480"/>
        <w:rPr>
          <w:b/>
          <w:bCs/>
        </w:rPr>
      </w:pPr>
      <w:r w:rsidRPr="00F65801">
        <w:t xml:space="preserve">Internalization Index = </w:t>
      </w:r>
      <w:r>
        <w:t>[</w:t>
      </w:r>
      <w:r w:rsidRPr="00F65801">
        <w:t>1 - (MFI</w:t>
      </w:r>
      <w:r>
        <w:t xml:space="preserve"> at</w:t>
      </w:r>
      <w:r w:rsidRPr="00F65801">
        <w:t xml:space="preserve"> 37°C) / (MFI</w:t>
      </w:r>
      <w:r>
        <w:t xml:space="preserve"> at</w:t>
      </w:r>
      <w:r w:rsidRPr="00F65801">
        <w:t xml:space="preserve"> 4°C)</w:t>
      </w:r>
      <w:r>
        <w:t>] x 100.</w:t>
      </w:r>
    </w:p>
    <w:p w14:paraId="06916BEA" w14:textId="77777777" w:rsidR="00C32693" w:rsidRDefault="00C32693" w:rsidP="00C32693">
      <w:pPr>
        <w:spacing w:line="240" w:lineRule="auto"/>
        <w:ind w:firstLineChars="0" w:firstLine="0"/>
        <w:jc w:val="both"/>
        <w:rPr>
          <w:b/>
          <w:bCs/>
        </w:rPr>
      </w:pPr>
    </w:p>
    <w:p w14:paraId="6A1710BA" w14:textId="630B3DE2" w:rsidR="00C32693" w:rsidRPr="00CE61AE" w:rsidRDefault="007C2217" w:rsidP="00CE61AE">
      <w:pPr>
        <w:spacing w:line="240" w:lineRule="auto"/>
        <w:ind w:firstLineChars="0" w:firstLine="0"/>
        <w:jc w:val="both"/>
      </w:pPr>
      <w:r>
        <w:rPr>
          <w:b/>
          <w:bCs/>
        </w:rPr>
        <w:t>I</w:t>
      </w:r>
      <w:r w:rsidRPr="00B736B8">
        <w:rPr>
          <w:b/>
          <w:bCs/>
        </w:rPr>
        <w:t>nternalization</w:t>
      </w:r>
      <w:r>
        <w:rPr>
          <w:b/>
          <w:bCs/>
        </w:rPr>
        <w:t xml:space="preserve"> assay</w:t>
      </w:r>
      <w:r w:rsidRPr="00B736B8">
        <w:rPr>
          <w:b/>
          <w:bCs/>
        </w:rPr>
        <w:t xml:space="preserve"> </w:t>
      </w:r>
      <w:r>
        <w:rPr>
          <w:b/>
          <w:bCs/>
        </w:rPr>
        <w:t>using i</w:t>
      </w:r>
      <w:r w:rsidRPr="00555C7F">
        <w:rPr>
          <w:b/>
          <w:bCs/>
        </w:rPr>
        <w:t>ntracellular fluorescence method:</w:t>
      </w:r>
      <w:r>
        <w:rPr>
          <w:b/>
          <w:bCs/>
        </w:rPr>
        <w:t xml:space="preserve"> </w:t>
      </w:r>
      <w:r w:rsidRPr="004C3ECC">
        <w:t>JS207</w:t>
      </w:r>
      <w:r>
        <w:t xml:space="preserve">, </w:t>
      </w:r>
      <w:r w:rsidRPr="004C3ECC">
        <w:t xml:space="preserve">AK112, JS501 and </w:t>
      </w:r>
      <w:r>
        <w:t>toripalimab</w:t>
      </w:r>
      <w:r w:rsidRPr="004C3ECC">
        <w:t xml:space="preserve"> </w:t>
      </w:r>
      <w:r>
        <w:t>were conjugated</w:t>
      </w:r>
      <w:r w:rsidRPr="004C3ECC">
        <w:t xml:space="preserve"> </w:t>
      </w:r>
      <w:r>
        <w:t xml:space="preserve">with </w:t>
      </w:r>
      <w:r w:rsidRPr="004C3ECC">
        <w:t>CypHer5E</w:t>
      </w:r>
      <w:r>
        <w:t xml:space="preserve"> using t</w:t>
      </w:r>
      <w:r w:rsidRPr="004C3ECC">
        <w:t xml:space="preserve">he CypHer5E Mono NHS Ester kit </w:t>
      </w:r>
      <w:r>
        <w:t xml:space="preserve">follow manufacture’s instruction </w:t>
      </w:r>
      <w:r w:rsidRPr="004C3ECC">
        <w:t>(GE Healthecare PA15401).</w:t>
      </w:r>
      <w:r>
        <w:t xml:space="preserve"> </w:t>
      </w:r>
      <w:r w:rsidRPr="009851AA">
        <w:t>The conjugated antibodies were serially diluted in RPMI 1640 supplemented with 10% FBS to yield final concentrations ranging from 0 to 70 nM (5-fold dilution series), in the absence or presence of VEGFA (2X; final concentration 140 nM). The diluted conjugates were then incubated with PD-1–expressing Jurkat cells (seeded at 1×10⁵ cells per well) for 4 hours at either 4 °C or 37 °C.</w:t>
      </w:r>
      <w:r>
        <w:t xml:space="preserve"> </w:t>
      </w:r>
      <w:r w:rsidRPr="0080098D">
        <w:t>After incubation, cells were washed with cold medium to minimize further cellular activity and subsequently stained with a commercially available PE-labeled noncompetitive anti-PD-1 antibody (MIH4 PD-1 PE, BD Biosciences</w:t>
      </w:r>
      <w:r>
        <w:t xml:space="preserve"> </w:t>
      </w:r>
      <w:r w:rsidRPr="008D4569">
        <w:t>557946</w:t>
      </w:r>
      <w:r w:rsidRPr="0080098D">
        <w:t>).</w:t>
      </w:r>
      <w:r w:rsidRPr="0093428C">
        <w:t xml:space="preserve"> Samples were then analyzed on a BD FACSCanto II flow cytometer (BD Bioscience). Data analysis was performed by FlowJo 10.10.0 (</w:t>
      </w:r>
      <w:proofErr w:type="spellStart"/>
      <w:r w:rsidRPr="0093428C">
        <w:t>TreeStar</w:t>
      </w:r>
      <w:proofErr w:type="spellEnd"/>
      <w:r w:rsidRPr="0093428C">
        <w:t>) and GraphPad Prism 10.</w:t>
      </w:r>
    </w:p>
    <w:p w14:paraId="777DBA64" w14:textId="73F3C6BB" w:rsidR="00924495" w:rsidRPr="00D46525" w:rsidRDefault="007C2217" w:rsidP="00D46525">
      <w:pPr>
        <w:spacing w:before="240" w:after="120" w:line="240" w:lineRule="auto"/>
        <w:ind w:left="14" w:firstLineChars="0" w:firstLine="0"/>
        <w:jc w:val="both"/>
        <w:rPr>
          <w:b/>
          <w:bCs/>
        </w:rPr>
      </w:pPr>
      <w:r w:rsidRPr="002E57CD">
        <w:rPr>
          <w:b/>
          <w:bCs/>
        </w:rPr>
        <w:t xml:space="preserve">Cell-based PD-1 binding: </w:t>
      </w:r>
      <w:r w:rsidRPr="00BD06CD">
        <w:t>To assess the effect of VEGFA on cell-based PD-1 binding by JS207, PD-1</w:t>
      </w:r>
      <w:r>
        <w:t>-</w:t>
      </w:r>
      <w:r w:rsidRPr="00BD06CD">
        <w:t>expressing Jurkat cells were seeded at 1×10⁵ cells per well in a 96-well plate. Serial dilutions of JS207, AK112, toripalimab, and the negative control anti-KLH hIgG4 (starting at 222.3 nM with two-fold dilutions) were added in the absence or presence of serially diluted VEGFA (starting at 444.6 nM with two-fold dilutions). The cells were incubated at 4 °C for 30 minutes. Following a washing step, the cells were stained with 0.5% (v/v) mouse anti-human Fc-PE antibody for 30 minutes at 4 °C and then analyzed by flow cytometry. Data analysis was performed using FlowJo and GraphPad Prism</w:t>
      </w:r>
      <w:r w:rsidRPr="003317BF">
        <w:t>.</w:t>
      </w:r>
      <w:r>
        <w:t xml:space="preserve">  </w:t>
      </w:r>
    </w:p>
    <w:p w14:paraId="17EF93A5" w14:textId="68E5D605" w:rsidR="007C2217" w:rsidRPr="00D46525" w:rsidRDefault="007C2217" w:rsidP="007D619F">
      <w:pPr>
        <w:pStyle w:val="ListParagraph"/>
        <w:numPr>
          <w:ilvl w:val="1"/>
          <w:numId w:val="15"/>
        </w:numPr>
        <w:spacing w:before="240" w:after="120" w:line="240" w:lineRule="auto"/>
        <w:ind w:left="417" w:firstLineChars="0" w:hanging="403"/>
        <w:jc w:val="both"/>
        <w:rPr>
          <w:noProof/>
        </w:rPr>
      </w:pPr>
      <w:r w:rsidRPr="00D46525">
        <w:rPr>
          <w:b/>
          <w:bCs/>
          <w:color w:val="000000" w:themeColor="text1"/>
        </w:rPr>
        <w:t>Mixed Lymphocyte Reaction (MLR) Assay</w:t>
      </w:r>
    </w:p>
    <w:p w14:paraId="6BDF4F25" w14:textId="59B992E3" w:rsidR="005620E5" w:rsidRPr="00622EBD" w:rsidRDefault="007C2217" w:rsidP="007D458B">
      <w:pPr>
        <w:spacing w:line="240" w:lineRule="auto"/>
        <w:ind w:firstLineChars="0" w:firstLine="0"/>
        <w:jc w:val="both"/>
        <w:rPr>
          <w:color w:val="000000" w:themeColor="text1"/>
        </w:rPr>
      </w:pPr>
      <w:r w:rsidRPr="00CE3205">
        <w:rPr>
          <w:color w:val="000000" w:themeColor="text1"/>
        </w:rPr>
        <w:t>The effect of JS207 on T cell activation</w:t>
      </w:r>
      <w:r>
        <w:rPr>
          <w:color w:val="000000" w:themeColor="text1"/>
        </w:rPr>
        <w:t xml:space="preserve"> </w:t>
      </w:r>
      <w:r w:rsidRPr="00CE3205">
        <w:rPr>
          <w:color w:val="000000" w:themeColor="text1"/>
        </w:rPr>
        <w:t>measured by the release of IL-2 and IFN-γ</w:t>
      </w:r>
      <w:r>
        <w:rPr>
          <w:color w:val="000000" w:themeColor="text1"/>
        </w:rPr>
        <w:t xml:space="preserve"> </w:t>
      </w:r>
      <w:r w:rsidRPr="00CE3205">
        <w:rPr>
          <w:color w:val="000000" w:themeColor="text1"/>
        </w:rPr>
        <w:t xml:space="preserve">was evaluated using a mixed lymphocyte reaction (MLR) system. Cryopreserved peripheral blood mononuclear cells (PBMCs) from different donors were thawed and resuspended in EasySep buffer. CD4⁺ T cells were isolated using the human CD4 microbeads kit (Miltenyi Biotec). Mature dendritic cells (mDCs) and purified CD4⁺ T cells were then seeded into 96-well plates at densities of 10,000 </w:t>
      </w:r>
      <w:r w:rsidRPr="00CE3205">
        <w:rPr>
          <w:color w:val="000000" w:themeColor="text1"/>
        </w:rPr>
        <w:lastRenderedPageBreak/>
        <w:t>mDCs/well and 100,000 CD4⁺ T cells/well, respectively.</w:t>
      </w:r>
      <w:r>
        <w:rPr>
          <w:color w:val="000000" w:themeColor="text1"/>
        </w:rPr>
        <w:t xml:space="preserve"> </w:t>
      </w:r>
      <w:r w:rsidRPr="000018E9">
        <w:rPr>
          <w:color w:val="000000" w:themeColor="text1"/>
        </w:rPr>
        <w:t>Test agents</w:t>
      </w:r>
      <w:r>
        <w:rPr>
          <w:color w:val="000000" w:themeColor="text1"/>
        </w:rPr>
        <w:t xml:space="preserve"> </w:t>
      </w:r>
      <w:r w:rsidRPr="000018E9">
        <w:rPr>
          <w:color w:val="000000" w:themeColor="text1"/>
        </w:rPr>
        <w:t>including JS207, AK112, toripalimab, VEGF-</w:t>
      </w:r>
      <w:proofErr w:type="spellStart"/>
      <w:r w:rsidRPr="000018E9">
        <w:rPr>
          <w:color w:val="000000" w:themeColor="text1"/>
        </w:rPr>
        <w:t>DotAb</w:t>
      </w:r>
      <w:proofErr w:type="spellEnd"/>
      <w:r w:rsidRPr="000018E9">
        <w:rPr>
          <w:color w:val="000000" w:themeColor="text1"/>
        </w:rPr>
        <w:t>, a combination of toripalimab + VEGF-</w:t>
      </w:r>
      <w:proofErr w:type="spellStart"/>
      <w:r w:rsidRPr="000018E9">
        <w:rPr>
          <w:color w:val="000000" w:themeColor="text1"/>
        </w:rPr>
        <w:t>DotAb</w:t>
      </w:r>
      <w:proofErr w:type="spellEnd"/>
      <w:r w:rsidRPr="000018E9">
        <w:rPr>
          <w:color w:val="000000" w:themeColor="text1"/>
        </w:rPr>
        <w:t>, and anti-KLH hIgG4 (negative control)</w:t>
      </w:r>
      <w:r>
        <w:rPr>
          <w:color w:val="000000" w:themeColor="text1"/>
        </w:rPr>
        <w:t xml:space="preserve"> </w:t>
      </w:r>
      <w:r w:rsidRPr="000018E9">
        <w:rPr>
          <w:color w:val="000000" w:themeColor="text1"/>
        </w:rPr>
        <w:t>were added to the wells. Each reagent was applied as a serial dilution series with final concentrations ranging from 150 nM to 15 pM. The cells were incubated at 37 °C for 5 days. Supernatants were collected on days 3 and 5, and levels of IL-2 and IFN-γ were quantified using the BD CBA Human IL-2 and IFN-γ kits, respectively.</w:t>
      </w:r>
    </w:p>
    <w:p w14:paraId="30F041B4" w14:textId="6B207BA0" w:rsidR="00186890" w:rsidRPr="007D458B" w:rsidRDefault="00186890" w:rsidP="007D458B">
      <w:pPr>
        <w:pStyle w:val="ListParagraph"/>
        <w:numPr>
          <w:ilvl w:val="1"/>
          <w:numId w:val="15"/>
        </w:numPr>
        <w:spacing w:before="240" w:after="120" w:line="240" w:lineRule="auto"/>
        <w:ind w:left="417" w:firstLineChars="0" w:hanging="403"/>
        <w:jc w:val="both"/>
        <w:rPr>
          <w:noProof/>
        </w:rPr>
      </w:pPr>
      <w:r w:rsidRPr="007D458B">
        <w:rPr>
          <w:b/>
          <w:bCs/>
        </w:rPr>
        <w:t>In Vivo Anti-tumor Activity Studies</w:t>
      </w:r>
    </w:p>
    <w:p w14:paraId="0C155DF3" w14:textId="77777777" w:rsidR="00186890" w:rsidRDefault="00186890" w:rsidP="005620E5">
      <w:pPr>
        <w:spacing w:line="240" w:lineRule="auto"/>
        <w:ind w:firstLineChars="0" w:firstLine="0"/>
        <w:jc w:val="both"/>
        <w:rPr>
          <w:rFonts w:cs="Arial"/>
          <w:color w:val="000000" w:themeColor="text1"/>
          <w:szCs w:val="21"/>
        </w:rPr>
      </w:pPr>
      <w:r>
        <w:rPr>
          <w:b/>
          <w:bCs/>
        </w:rPr>
        <w:t>M</w:t>
      </w:r>
      <w:r w:rsidRPr="00B736B8">
        <w:rPr>
          <w:b/>
          <w:bCs/>
        </w:rPr>
        <w:t xml:space="preserve">ouse </w:t>
      </w:r>
      <w:r>
        <w:rPr>
          <w:b/>
          <w:bCs/>
        </w:rPr>
        <w:t>c</w:t>
      </w:r>
      <w:r w:rsidRPr="00B736B8">
        <w:rPr>
          <w:b/>
          <w:bCs/>
        </w:rPr>
        <w:t xml:space="preserve">olon </w:t>
      </w:r>
      <w:r>
        <w:rPr>
          <w:b/>
          <w:bCs/>
        </w:rPr>
        <w:t>c</w:t>
      </w:r>
      <w:r w:rsidRPr="00B736B8">
        <w:rPr>
          <w:b/>
          <w:bCs/>
        </w:rPr>
        <w:t xml:space="preserve">ancer MC38 </w:t>
      </w:r>
      <w:r>
        <w:rPr>
          <w:b/>
          <w:bCs/>
        </w:rPr>
        <w:t>m</w:t>
      </w:r>
      <w:r w:rsidRPr="00B736B8">
        <w:rPr>
          <w:b/>
          <w:bCs/>
        </w:rPr>
        <w:t xml:space="preserve">odel </w:t>
      </w:r>
      <w:r>
        <w:rPr>
          <w:b/>
          <w:bCs/>
        </w:rPr>
        <w:t xml:space="preserve">in </w:t>
      </w:r>
      <w:r w:rsidRPr="00B96322">
        <w:rPr>
          <w:b/>
          <w:bCs/>
        </w:rPr>
        <w:t xml:space="preserve">B-hPD-1 </w:t>
      </w:r>
      <w:r>
        <w:rPr>
          <w:b/>
          <w:bCs/>
        </w:rPr>
        <w:t>h</w:t>
      </w:r>
      <w:r w:rsidRPr="00B96322">
        <w:rPr>
          <w:b/>
          <w:bCs/>
        </w:rPr>
        <w:t xml:space="preserve">umanized </w:t>
      </w:r>
      <w:r>
        <w:rPr>
          <w:b/>
          <w:bCs/>
        </w:rPr>
        <w:t>m</w:t>
      </w:r>
      <w:r w:rsidRPr="00B96322">
        <w:rPr>
          <w:b/>
          <w:bCs/>
        </w:rPr>
        <w:t>ice</w:t>
      </w:r>
      <w:r>
        <w:rPr>
          <w:b/>
          <w:bCs/>
        </w:rPr>
        <w:t xml:space="preserve">: </w:t>
      </w:r>
      <w:r>
        <w:t>M</w:t>
      </w:r>
      <w:r w:rsidRPr="00A64EED">
        <w:t>ouse colon cancer MC38 cells</w:t>
      </w:r>
      <w:r>
        <w:t xml:space="preserve"> were</w:t>
      </w:r>
      <w:r w:rsidRPr="00A64EED">
        <w:t xml:space="preserve"> </w:t>
      </w:r>
      <w:r w:rsidRPr="003D312E">
        <w:t xml:space="preserve">resuspended in DMEM basal medium </w:t>
      </w:r>
      <w:r>
        <w:t>and</w:t>
      </w:r>
      <w:r w:rsidRPr="00A64EED">
        <w:t xml:space="preserve"> implanted subcutaneously </w:t>
      </w:r>
      <w:r w:rsidRPr="003D312E">
        <w:t xml:space="preserve">in the right flank </w:t>
      </w:r>
      <w:r>
        <w:t>of</w:t>
      </w:r>
      <w:r w:rsidRPr="00A64EED">
        <w:t xml:space="preserve"> B-hPD-1 humanized mice.</w:t>
      </w:r>
      <w:r w:rsidRPr="003D312E">
        <w:t xml:space="preserve"> </w:t>
      </w:r>
      <w:r w:rsidRPr="00B901F9">
        <w:t>Each mouse received 1×10⁶ cells in a 0.1 mL volume. When the mean tumor volume reached approximately 115 mm³, mice were randomly assigned into seven groups (n = 8 per group):</w:t>
      </w:r>
      <w:r>
        <w:t xml:space="preserve"> (1) saline, (2) toripalimab 0.6 mg/kg, (3) VEGF-</w:t>
      </w:r>
      <w:proofErr w:type="spellStart"/>
      <w:r>
        <w:t>DotAb</w:t>
      </w:r>
      <w:proofErr w:type="spellEnd"/>
      <w:r>
        <w:t xml:space="preserve"> 0.33 mg/kg, (4) toripalimab 0.6 mg/kg + VEGF-</w:t>
      </w:r>
      <w:proofErr w:type="spellStart"/>
      <w:r>
        <w:t>DotAb</w:t>
      </w:r>
      <w:proofErr w:type="spellEnd"/>
      <w:r>
        <w:t xml:space="preserve"> + 0.33 mg/kg, (5) JS207 0.75 mg/kg, (6) JS207 1.5 mg/kg, and (7) JS207 4.5 mg/kg</w:t>
      </w:r>
      <w:r w:rsidRPr="003D312E">
        <w:rPr>
          <w:rFonts w:hint="eastAsia"/>
        </w:rPr>
        <w:t xml:space="preserve">. </w:t>
      </w:r>
      <w:r w:rsidRPr="00931C51">
        <w:t>Treatments were administered intraperitoneally twice weekly for a total of 6 doses. Tumor volumes and animal body weights were recorded twice weekly throughout the dosing period and prior to euthanasia</w:t>
      </w:r>
      <w:r w:rsidRPr="00764526">
        <w:rPr>
          <w:rFonts w:cs="Arial"/>
          <w:color w:val="000000" w:themeColor="text1"/>
          <w:szCs w:val="21"/>
        </w:rPr>
        <w:t>.</w:t>
      </w:r>
    </w:p>
    <w:p w14:paraId="22D59CC5" w14:textId="77777777" w:rsidR="005620E5" w:rsidRPr="00B736B8" w:rsidRDefault="005620E5" w:rsidP="005620E5">
      <w:pPr>
        <w:spacing w:line="240" w:lineRule="auto"/>
        <w:ind w:firstLineChars="0" w:firstLine="0"/>
        <w:jc w:val="both"/>
        <w:rPr>
          <w:b/>
          <w:bCs/>
        </w:rPr>
      </w:pPr>
    </w:p>
    <w:p w14:paraId="2AC1F8AA" w14:textId="77777777" w:rsidR="00186890" w:rsidRDefault="00186890" w:rsidP="005620E5">
      <w:pPr>
        <w:spacing w:line="240" w:lineRule="auto"/>
        <w:ind w:firstLineChars="0" w:firstLine="0"/>
        <w:jc w:val="both"/>
      </w:pPr>
      <w:r>
        <w:rPr>
          <w:b/>
          <w:bCs/>
        </w:rPr>
        <w:t>M</w:t>
      </w:r>
      <w:r w:rsidRPr="00B736B8">
        <w:rPr>
          <w:b/>
          <w:bCs/>
        </w:rPr>
        <w:t xml:space="preserve">alignant </w:t>
      </w:r>
      <w:r>
        <w:rPr>
          <w:b/>
          <w:bCs/>
        </w:rPr>
        <w:t>m</w:t>
      </w:r>
      <w:r w:rsidRPr="00B736B8">
        <w:rPr>
          <w:b/>
          <w:bCs/>
        </w:rPr>
        <w:t xml:space="preserve">elanoma A375 </w:t>
      </w:r>
      <w:r>
        <w:rPr>
          <w:b/>
          <w:bCs/>
        </w:rPr>
        <w:t>m</w:t>
      </w:r>
      <w:r w:rsidRPr="00B736B8">
        <w:rPr>
          <w:b/>
          <w:bCs/>
        </w:rPr>
        <w:t xml:space="preserve">odel in NDG </w:t>
      </w:r>
      <w:r>
        <w:rPr>
          <w:b/>
          <w:bCs/>
        </w:rPr>
        <w:t>m</w:t>
      </w:r>
      <w:r w:rsidRPr="00B736B8">
        <w:rPr>
          <w:b/>
          <w:bCs/>
        </w:rPr>
        <w:t>ice</w:t>
      </w:r>
      <w:r>
        <w:rPr>
          <w:b/>
          <w:bCs/>
        </w:rPr>
        <w:t xml:space="preserve">: </w:t>
      </w:r>
      <w:r w:rsidRPr="000A1958">
        <w:t>Human malignant melanoma A375 cells were suspended in DMEM and mixed with Matrigel at a 1:1 ratio. A total of 5×10⁶ cells in 0.2 mL were implanted subcutaneously into the right flank of NDG mice. When the average tumor volume reached approximately 137 mm³, 10×10⁶ PBMCs in 0.2 mL were injected intravenously. Two days after PBMC administration, the tumor-bearing mice were randomly assigned to five groups (n = 8 per group):</w:t>
      </w:r>
      <w:r w:rsidRPr="00A22514">
        <w:t xml:space="preserve"> </w:t>
      </w:r>
      <w:r>
        <w:t>(1) s</w:t>
      </w:r>
      <w:r w:rsidRPr="00A22514">
        <w:t xml:space="preserve">aline control group, </w:t>
      </w:r>
      <w:r>
        <w:t xml:space="preserve">(2) </w:t>
      </w:r>
      <w:r w:rsidRPr="00A22514">
        <w:t xml:space="preserve">AK112 11.1 mg/kg, </w:t>
      </w:r>
      <w:r>
        <w:t xml:space="preserve">(3) </w:t>
      </w:r>
      <w:r w:rsidRPr="00A22514">
        <w:t>JS207 1</w:t>
      </w:r>
      <w:r>
        <w:t>.0</w:t>
      </w:r>
      <w:r w:rsidRPr="00A22514">
        <w:t xml:space="preserve"> mg/kg), </w:t>
      </w:r>
      <w:r>
        <w:t xml:space="preserve">(4) </w:t>
      </w:r>
      <w:r w:rsidRPr="00A22514">
        <w:t>JS207 3</w:t>
      </w:r>
      <w:r>
        <w:t>.0</w:t>
      </w:r>
      <w:r w:rsidRPr="00A22514">
        <w:t xml:space="preserve"> mg/kg</w:t>
      </w:r>
      <w:r>
        <w:t>,</w:t>
      </w:r>
      <w:r w:rsidRPr="00A22514">
        <w:t xml:space="preserve"> and </w:t>
      </w:r>
      <w:r>
        <w:t xml:space="preserve">(5) </w:t>
      </w:r>
      <w:r w:rsidRPr="00A22514">
        <w:t>JS207 10</w:t>
      </w:r>
      <w:r>
        <w:t>.0</w:t>
      </w:r>
      <w:r w:rsidRPr="00A22514">
        <w:t xml:space="preserve"> mg/kg. All the treatments were administered intraperitoneally twice a week for a total of 6 doses.</w:t>
      </w:r>
      <w:r>
        <w:t xml:space="preserve"> </w:t>
      </w:r>
      <w:r w:rsidRPr="00AC23D1">
        <w:t>Tumor volumes were measured three times per week, and animal body weights were recorded prior to the first dose, twice weekly during treatment, and immediately prior to euthanasia.</w:t>
      </w:r>
      <w:r w:rsidRPr="009A5CD9">
        <w:t xml:space="preserve"> </w:t>
      </w:r>
      <w:r w:rsidRPr="009A11EE">
        <w:t xml:space="preserve">Tumor </w:t>
      </w:r>
      <w:r>
        <w:t>g</w:t>
      </w:r>
      <w:r w:rsidRPr="009A11EE">
        <w:t>rowth inhibition rate (TGI</w:t>
      </w:r>
      <w:r w:rsidRPr="00873810">
        <w:rPr>
          <w:vertAlign w:val="subscript"/>
        </w:rPr>
        <w:t>TV</w:t>
      </w:r>
      <w:r w:rsidRPr="009A11EE">
        <w:t>)</w:t>
      </w:r>
      <w:r>
        <w:t xml:space="preserve"> was calculated as: </w:t>
      </w:r>
    </w:p>
    <w:p w14:paraId="6E6D4CE0" w14:textId="77777777" w:rsidR="00186890" w:rsidRDefault="00186890" w:rsidP="00B70D6A">
      <w:pPr>
        <w:spacing w:before="120" w:after="120" w:line="240" w:lineRule="auto"/>
        <w:ind w:firstLine="480"/>
        <w:jc w:val="both"/>
      </w:pPr>
      <w:r w:rsidRPr="001A5772">
        <w:t>TGI</w:t>
      </w:r>
      <w:r w:rsidRPr="001A5772">
        <w:rPr>
          <w:vertAlign w:val="subscript"/>
        </w:rPr>
        <w:t>TV</w:t>
      </w:r>
      <w:r w:rsidRPr="001A5772">
        <w:t xml:space="preserve"> (%) = [1-(Ti-T0)/(Vi-V0</w:t>
      </w:r>
      <w:proofErr w:type="gramStart"/>
      <w:r w:rsidRPr="001A5772">
        <w:t>)]×</w:t>
      </w:r>
      <w:proofErr w:type="gramEnd"/>
      <w:r w:rsidRPr="001A5772">
        <w:t>100%</w:t>
      </w:r>
      <w:r>
        <w:t xml:space="preserve">, </w:t>
      </w:r>
    </w:p>
    <w:p w14:paraId="1B06FD56" w14:textId="77777777" w:rsidR="00657FC5" w:rsidRDefault="00186890" w:rsidP="00186890">
      <w:pPr>
        <w:spacing w:line="240" w:lineRule="auto"/>
        <w:ind w:firstLine="480"/>
        <w:jc w:val="both"/>
      </w:pPr>
      <w:r>
        <w:t>Where:</w:t>
      </w:r>
    </w:p>
    <w:p w14:paraId="65003BE0" w14:textId="77777777" w:rsidR="00657FC5" w:rsidRDefault="00186890" w:rsidP="00186890">
      <w:pPr>
        <w:spacing w:line="240" w:lineRule="auto"/>
        <w:ind w:firstLine="480"/>
        <w:jc w:val="both"/>
      </w:pPr>
      <w:r w:rsidRPr="000B1CDE">
        <w:t>Ti</w:t>
      </w:r>
      <w:r>
        <w:t xml:space="preserve"> =</w:t>
      </w:r>
      <w:r w:rsidRPr="000B1CDE">
        <w:t xml:space="preserve"> mean tumor size of the treatment group on the i-th day of administration, </w:t>
      </w:r>
    </w:p>
    <w:p w14:paraId="5E68AC71" w14:textId="09EC3A95" w:rsidR="00657FC5" w:rsidRDefault="00186890" w:rsidP="00186890">
      <w:pPr>
        <w:spacing w:line="240" w:lineRule="auto"/>
        <w:ind w:firstLine="480"/>
        <w:jc w:val="both"/>
      </w:pPr>
      <w:r w:rsidRPr="000B1CDE">
        <w:t>T0</w:t>
      </w:r>
      <w:r>
        <w:t xml:space="preserve"> =</w:t>
      </w:r>
      <w:r w:rsidRPr="000B1CDE">
        <w:t xml:space="preserve"> mean tumor size of the treatment group on day 0 of administration</w:t>
      </w:r>
      <w:r w:rsidR="00657FC5">
        <w:t>,</w:t>
      </w:r>
      <w:r w:rsidRPr="000B1CDE">
        <w:t xml:space="preserve"> </w:t>
      </w:r>
    </w:p>
    <w:p w14:paraId="1DFDD7EE" w14:textId="77777777" w:rsidR="00657FC5" w:rsidRDefault="00186890" w:rsidP="00186890">
      <w:pPr>
        <w:spacing w:line="240" w:lineRule="auto"/>
        <w:ind w:firstLine="480"/>
        <w:jc w:val="both"/>
      </w:pPr>
      <w:r w:rsidRPr="000B1CDE">
        <w:t>Vi</w:t>
      </w:r>
      <w:r>
        <w:t xml:space="preserve"> = </w:t>
      </w:r>
      <w:r w:rsidRPr="000B1CDE">
        <w:t xml:space="preserve">mean tumor size of the negative control group on the i-th day of administration, </w:t>
      </w:r>
    </w:p>
    <w:p w14:paraId="722B1346" w14:textId="70AC5320" w:rsidR="00186890" w:rsidRPr="00B740E0" w:rsidRDefault="00186890" w:rsidP="00186890">
      <w:pPr>
        <w:spacing w:line="240" w:lineRule="auto"/>
        <w:ind w:firstLine="480"/>
        <w:jc w:val="both"/>
      </w:pPr>
      <w:r w:rsidRPr="000B1CDE">
        <w:t>V0</w:t>
      </w:r>
      <w:r>
        <w:t xml:space="preserve"> =</w:t>
      </w:r>
      <w:r w:rsidRPr="000B1CDE">
        <w:t xml:space="preserve"> mean tumor size of the negative control group on day 0 of administration</w:t>
      </w:r>
      <w:r>
        <w:t>.</w:t>
      </w:r>
    </w:p>
    <w:p w14:paraId="6E9AD640" w14:textId="77777777" w:rsidR="00186890" w:rsidRPr="00622EBD" w:rsidRDefault="00186890" w:rsidP="00186890">
      <w:pPr>
        <w:spacing w:line="240" w:lineRule="auto"/>
        <w:ind w:firstLineChars="0" w:firstLine="0"/>
        <w:jc w:val="both"/>
        <w:rPr>
          <w:color w:val="000000" w:themeColor="text1"/>
        </w:rPr>
      </w:pPr>
    </w:p>
    <w:p w14:paraId="6C057A29" w14:textId="0CA29603" w:rsidR="00E80D1A" w:rsidRPr="000C48C2" w:rsidRDefault="00E80D1A" w:rsidP="00E80D1A">
      <w:pPr>
        <w:pStyle w:val="ListParagraph"/>
        <w:numPr>
          <w:ilvl w:val="0"/>
          <w:numId w:val="14"/>
        </w:numPr>
        <w:ind w:firstLineChars="0"/>
        <w:jc w:val="both"/>
        <w:rPr>
          <w:b/>
          <w:bCs/>
          <w:noProof/>
        </w:rPr>
      </w:pPr>
      <w:r w:rsidRPr="000C48C2">
        <w:rPr>
          <w:b/>
          <w:bCs/>
        </w:rPr>
        <w:t xml:space="preserve">Supplementary </w:t>
      </w:r>
      <w:r>
        <w:rPr>
          <w:b/>
          <w:bCs/>
        </w:rPr>
        <w:t>Figure</w:t>
      </w:r>
      <w:r w:rsidR="00DC41C3">
        <w:rPr>
          <w:b/>
          <w:bCs/>
        </w:rPr>
        <w:t>s</w:t>
      </w:r>
      <w:r w:rsidRPr="000C48C2">
        <w:rPr>
          <w:b/>
          <w:bCs/>
          <w:noProof/>
        </w:rPr>
        <w:t xml:space="preserve"> </w:t>
      </w:r>
    </w:p>
    <w:p w14:paraId="42E57B82" w14:textId="77777777" w:rsidR="00465A30" w:rsidRDefault="00465A30" w:rsidP="00FE6FE3">
      <w:pPr>
        <w:spacing w:before="120" w:after="120" w:line="240" w:lineRule="auto"/>
        <w:ind w:firstLineChars="0" w:firstLine="360"/>
      </w:pPr>
    </w:p>
    <w:p w14:paraId="77CAE478" w14:textId="77777777" w:rsidR="00465A30" w:rsidRDefault="00465A30" w:rsidP="00FE6FE3">
      <w:pPr>
        <w:spacing w:before="120" w:after="120" w:line="240" w:lineRule="auto"/>
        <w:ind w:firstLineChars="0" w:firstLine="360"/>
      </w:pPr>
    </w:p>
    <w:p w14:paraId="00363A8E" w14:textId="77777777" w:rsidR="00465A30" w:rsidRDefault="00465A30" w:rsidP="00FE6FE3">
      <w:pPr>
        <w:spacing w:before="120" w:after="120" w:line="240" w:lineRule="auto"/>
        <w:ind w:firstLineChars="0" w:firstLine="360"/>
      </w:pPr>
    </w:p>
    <w:p w14:paraId="7A039C83" w14:textId="77777777" w:rsidR="00465A30" w:rsidRDefault="00465A30" w:rsidP="00FE6FE3">
      <w:pPr>
        <w:spacing w:before="120" w:after="120" w:line="240" w:lineRule="auto"/>
        <w:ind w:firstLineChars="0" w:firstLine="360"/>
      </w:pPr>
    </w:p>
    <w:p w14:paraId="2535C13A" w14:textId="77777777" w:rsidR="00465A30" w:rsidRDefault="00465A30" w:rsidP="00FE6FE3">
      <w:pPr>
        <w:spacing w:before="120" w:after="120" w:line="240" w:lineRule="auto"/>
        <w:ind w:firstLineChars="0" w:firstLine="360"/>
      </w:pPr>
    </w:p>
    <w:p w14:paraId="07958553" w14:textId="77777777" w:rsidR="00465A30" w:rsidRDefault="00465A30" w:rsidP="00FE6FE3">
      <w:pPr>
        <w:spacing w:before="120" w:after="120" w:line="240" w:lineRule="auto"/>
        <w:ind w:firstLineChars="0" w:firstLine="360"/>
      </w:pPr>
    </w:p>
    <w:p w14:paraId="408ADC1C" w14:textId="77777777" w:rsidR="00465A30" w:rsidRDefault="00465A30" w:rsidP="00FE6FE3">
      <w:pPr>
        <w:spacing w:before="120" w:after="120" w:line="240" w:lineRule="auto"/>
        <w:ind w:firstLineChars="0" w:firstLine="360"/>
      </w:pPr>
    </w:p>
    <w:p w14:paraId="5A040106" w14:textId="1FEBBD77" w:rsidR="00B56167" w:rsidRPr="00B56167" w:rsidRDefault="009C4EF0" w:rsidP="00B56167">
      <w:pPr>
        <w:pStyle w:val="ListParagraph"/>
        <w:numPr>
          <w:ilvl w:val="1"/>
          <w:numId w:val="14"/>
        </w:numPr>
        <w:adjustRightInd w:val="0"/>
        <w:spacing w:before="120" w:after="240" w:line="240" w:lineRule="auto"/>
        <w:ind w:firstLineChars="0"/>
        <w:contextualSpacing w:val="0"/>
        <w:rPr>
          <w:b/>
          <w:bCs/>
        </w:rPr>
      </w:pPr>
      <w:r w:rsidRPr="00DC0911">
        <w:rPr>
          <w:b/>
          <w:bCs/>
        </w:rPr>
        <w:t>The impact of VEGFA on c</w:t>
      </w:r>
      <w:r w:rsidR="007A2E64" w:rsidRPr="00DC0911">
        <w:rPr>
          <w:b/>
          <w:bCs/>
        </w:rPr>
        <w:t>ell-based PD-1 binding</w:t>
      </w:r>
      <w:r w:rsidRPr="00DC0911">
        <w:rPr>
          <w:b/>
          <w:bCs/>
        </w:rPr>
        <w:t>:</w:t>
      </w:r>
      <w:r w:rsidR="000E5C0D" w:rsidRPr="00DC0911">
        <w:rPr>
          <w:b/>
          <w:bCs/>
        </w:rPr>
        <w:t xml:space="preserve"> </w:t>
      </w:r>
    </w:p>
    <w:p w14:paraId="07204F60" w14:textId="567B9E49" w:rsidR="00CB50E0" w:rsidRDefault="00B56167" w:rsidP="00FE6FE3">
      <w:pPr>
        <w:pStyle w:val="ListParagraph"/>
        <w:ind w:left="360" w:firstLineChars="0" w:firstLine="0"/>
        <w:jc w:val="center"/>
        <w:rPr>
          <w:noProof/>
        </w:rPr>
      </w:pPr>
      <w:r w:rsidRPr="00B56167">
        <w:rPr>
          <w:noProof/>
        </w:rPr>
        <w:drawing>
          <wp:inline distT="0" distB="0" distL="0" distR="0" wp14:anchorId="39FAB033" wp14:editId="5F30482A">
            <wp:extent cx="3406617" cy="2067636"/>
            <wp:effectExtent l="0" t="0" r="0" b="0"/>
            <wp:docPr id="745121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87" cy="207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9A9EB" w14:textId="4FEFC685" w:rsidR="00FE6FE3" w:rsidRPr="009F588D" w:rsidRDefault="009F588D" w:rsidP="009F588D">
      <w:pPr>
        <w:pStyle w:val="ListParagraph"/>
        <w:spacing w:line="240" w:lineRule="auto"/>
        <w:ind w:left="360" w:firstLineChars="0" w:firstLine="0"/>
        <w:rPr>
          <w:noProof/>
          <w:sz w:val="21"/>
          <w:szCs w:val="21"/>
        </w:rPr>
      </w:pPr>
      <w:r w:rsidRPr="00D310FB">
        <w:rPr>
          <w:b/>
          <w:bCs/>
          <w:noProof/>
          <w:sz w:val="21"/>
          <w:szCs w:val="21"/>
        </w:rPr>
        <w:t>Figure S1.</w:t>
      </w:r>
      <w:r w:rsidRPr="009F588D">
        <w:rPr>
          <w:noProof/>
          <w:sz w:val="21"/>
          <w:szCs w:val="21"/>
        </w:rPr>
        <w:t xml:space="preserve"> </w:t>
      </w:r>
      <w:r w:rsidR="0029648F" w:rsidRPr="0029648F">
        <w:rPr>
          <w:noProof/>
          <w:sz w:val="21"/>
          <w:szCs w:val="21"/>
        </w:rPr>
        <w:t>VEGFA enhances JS207 PD-1 binding in Jurkat/PD-1 cells</w:t>
      </w:r>
      <w:r w:rsidR="00EF2C41">
        <w:rPr>
          <w:noProof/>
          <w:sz w:val="21"/>
          <w:szCs w:val="21"/>
        </w:rPr>
        <w:t xml:space="preserve">. </w:t>
      </w:r>
      <w:r w:rsidRPr="009F588D">
        <w:rPr>
          <w:noProof/>
          <w:sz w:val="21"/>
          <w:szCs w:val="21"/>
        </w:rPr>
        <w:t>Jurkat/PD-1 cells were seeded at 1×10⁵ cells/well in a 96-well plate. Test samples</w:t>
      </w:r>
      <w:r w:rsidR="000676A1">
        <w:rPr>
          <w:noProof/>
          <w:sz w:val="21"/>
          <w:szCs w:val="21"/>
        </w:rPr>
        <w:t xml:space="preserve"> (</w:t>
      </w:r>
      <w:r w:rsidR="00C910AD">
        <w:rPr>
          <w:noProof/>
          <w:sz w:val="21"/>
          <w:szCs w:val="21"/>
        </w:rPr>
        <w:t xml:space="preserve">JS207, AK112, toripalimab, JS207 + </w:t>
      </w:r>
      <w:r w:rsidR="000676A1">
        <w:rPr>
          <w:noProof/>
          <w:sz w:val="21"/>
          <w:szCs w:val="21"/>
        </w:rPr>
        <w:t>VEGFA, AK112 + VEGFA, toripalimab + VEGFA)</w:t>
      </w:r>
      <w:r w:rsidRPr="009F588D">
        <w:rPr>
          <w:noProof/>
          <w:sz w:val="21"/>
          <w:szCs w:val="21"/>
        </w:rPr>
        <w:t xml:space="preserve"> were added </w:t>
      </w:r>
      <w:r w:rsidR="006B22E4">
        <w:rPr>
          <w:noProof/>
          <w:sz w:val="21"/>
          <w:szCs w:val="21"/>
        </w:rPr>
        <w:t>and t</w:t>
      </w:r>
      <w:r w:rsidRPr="009F588D">
        <w:rPr>
          <w:noProof/>
          <w:sz w:val="21"/>
          <w:szCs w:val="21"/>
        </w:rPr>
        <w:t xml:space="preserve">he cells were incubated at 4 °C for 30 minutes, stained with mouse anti-human Fc-PE antibody for 30 minutes at 4 °C and  then analyzed by flow cytometry. </w:t>
      </w:r>
      <w:r w:rsidR="00C93900">
        <w:rPr>
          <w:noProof/>
          <w:sz w:val="21"/>
          <w:szCs w:val="21"/>
        </w:rPr>
        <w:t xml:space="preserve">VEGFA enhanced </w:t>
      </w:r>
      <w:r w:rsidR="00CA6122">
        <w:rPr>
          <w:noProof/>
          <w:sz w:val="21"/>
          <w:szCs w:val="21"/>
        </w:rPr>
        <w:t xml:space="preserve">both JS207 and AK112’s </w:t>
      </w:r>
      <w:r w:rsidR="00C93900">
        <w:rPr>
          <w:noProof/>
          <w:sz w:val="21"/>
          <w:szCs w:val="21"/>
        </w:rPr>
        <w:t xml:space="preserve">PD-1 binding </w:t>
      </w:r>
      <w:r w:rsidR="007622FF">
        <w:rPr>
          <w:noProof/>
          <w:sz w:val="21"/>
          <w:szCs w:val="21"/>
        </w:rPr>
        <w:t>on Jurkat/PD-1 cells.</w:t>
      </w:r>
    </w:p>
    <w:p w14:paraId="60FA6E76" w14:textId="77777777" w:rsidR="009F588D" w:rsidRDefault="009F588D" w:rsidP="009F588D">
      <w:pPr>
        <w:pStyle w:val="ListParagraph"/>
        <w:spacing w:line="240" w:lineRule="auto"/>
        <w:ind w:left="360" w:firstLineChars="0" w:firstLine="0"/>
        <w:rPr>
          <w:noProof/>
        </w:rPr>
      </w:pPr>
    </w:p>
    <w:p w14:paraId="7A52950D" w14:textId="77777777" w:rsidR="00D310FB" w:rsidRDefault="00D310FB" w:rsidP="00FE6FE3">
      <w:pPr>
        <w:pStyle w:val="ListParagraph"/>
        <w:ind w:left="360" w:firstLineChars="0" w:firstLine="0"/>
        <w:rPr>
          <w:noProof/>
        </w:rPr>
      </w:pPr>
    </w:p>
    <w:p w14:paraId="52D0A4FA" w14:textId="3A6742AE" w:rsidR="00FE6FE3" w:rsidRPr="0084242E" w:rsidRDefault="00554216" w:rsidP="00B56167">
      <w:pPr>
        <w:pStyle w:val="ListParagraph"/>
        <w:numPr>
          <w:ilvl w:val="1"/>
          <w:numId w:val="29"/>
        </w:numPr>
        <w:spacing w:after="120"/>
        <w:ind w:firstLineChars="0"/>
        <w:contextualSpacing w:val="0"/>
        <w:rPr>
          <w:b/>
          <w:bCs/>
          <w:noProof/>
        </w:rPr>
      </w:pPr>
      <w:r w:rsidRPr="0084242E">
        <w:rPr>
          <w:b/>
          <w:bCs/>
          <w:noProof/>
        </w:rPr>
        <w:t xml:space="preserve">Thermal stability </w:t>
      </w:r>
      <w:r w:rsidR="00D01750" w:rsidRPr="0084242E">
        <w:rPr>
          <w:b/>
          <w:bCs/>
          <w:noProof/>
        </w:rPr>
        <w:t>assessment</w:t>
      </w:r>
      <w:r w:rsidRPr="0084242E">
        <w:rPr>
          <w:b/>
          <w:bCs/>
          <w:noProof/>
        </w:rPr>
        <w:t xml:space="preserve"> </w:t>
      </w:r>
      <w:r w:rsidR="00D20794" w:rsidRPr="0084242E">
        <w:rPr>
          <w:b/>
          <w:bCs/>
          <w:noProof/>
        </w:rPr>
        <w:t>for JS207</w:t>
      </w:r>
      <w:r w:rsidR="0084242E">
        <w:rPr>
          <w:b/>
          <w:bCs/>
          <w:noProof/>
        </w:rPr>
        <w:t>:</w:t>
      </w:r>
    </w:p>
    <w:p w14:paraId="1D8BE646" w14:textId="49F6244D" w:rsidR="00407E36" w:rsidRDefault="00A03E13" w:rsidP="00F82F31">
      <w:pPr>
        <w:pStyle w:val="ListParagraph"/>
        <w:ind w:left="360" w:firstLineChars="0"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15EE50E2" wp14:editId="19030228">
            <wp:extent cx="6210039" cy="3104866"/>
            <wp:effectExtent l="0" t="0" r="635" b="635"/>
            <wp:docPr id="17068187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96" cy="3124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1625DB" w14:textId="31E2A63A" w:rsidR="005B0B04" w:rsidRPr="00BA792F" w:rsidRDefault="00A24189" w:rsidP="00BA792F">
      <w:pPr>
        <w:pStyle w:val="ListParagraph"/>
        <w:spacing w:line="240" w:lineRule="auto"/>
        <w:ind w:left="360" w:firstLineChars="0" w:firstLine="0"/>
        <w:rPr>
          <w:noProof/>
          <w:sz w:val="21"/>
          <w:szCs w:val="21"/>
        </w:rPr>
      </w:pPr>
      <w:r w:rsidRPr="0070727D">
        <w:rPr>
          <w:b/>
          <w:bCs/>
          <w:noProof/>
          <w:sz w:val="21"/>
          <w:szCs w:val="21"/>
        </w:rPr>
        <w:t>Figure S2.</w:t>
      </w:r>
      <w:r w:rsidRPr="005023D8">
        <w:rPr>
          <w:noProof/>
          <w:sz w:val="21"/>
          <w:szCs w:val="21"/>
        </w:rPr>
        <w:t xml:space="preserve"> </w:t>
      </w:r>
      <w:r w:rsidR="00EF2C41" w:rsidRPr="005023D8">
        <w:rPr>
          <w:noProof/>
          <w:sz w:val="21"/>
          <w:szCs w:val="21"/>
        </w:rPr>
        <w:t xml:space="preserve">Thermal stability of JS207. </w:t>
      </w:r>
      <w:r w:rsidR="0070727D" w:rsidRPr="0070727D">
        <w:rPr>
          <w:noProof/>
          <w:sz w:val="21"/>
          <w:szCs w:val="21"/>
        </w:rPr>
        <w:t xml:space="preserve">Test samples were first diluted to 2 mg/mL in cell culture medium and then subjected to heat stress at </w:t>
      </w:r>
      <w:r w:rsidR="005572C4">
        <w:rPr>
          <w:noProof/>
          <w:sz w:val="21"/>
          <w:szCs w:val="21"/>
        </w:rPr>
        <w:t>6</w:t>
      </w:r>
      <w:r w:rsidR="0070727D" w:rsidRPr="0070727D">
        <w:rPr>
          <w:noProof/>
          <w:sz w:val="21"/>
          <w:szCs w:val="21"/>
        </w:rPr>
        <w:t xml:space="preserve">5 °C for 0 – 4hr. </w:t>
      </w:r>
      <w:r w:rsidR="002B300E">
        <w:rPr>
          <w:noProof/>
          <w:sz w:val="21"/>
          <w:szCs w:val="21"/>
        </w:rPr>
        <w:t xml:space="preserve">(A) </w:t>
      </w:r>
      <w:r w:rsidR="00B711A5">
        <w:rPr>
          <w:noProof/>
          <w:sz w:val="21"/>
          <w:szCs w:val="21"/>
        </w:rPr>
        <w:t xml:space="preserve">JS207 </w:t>
      </w:r>
      <w:r w:rsidR="00C3594E">
        <w:rPr>
          <w:noProof/>
          <w:sz w:val="21"/>
          <w:szCs w:val="21"/>
        </w:rPr>
        <w:t>showed</w:t>
      </w:r>
      <w:r w:rsidR="00B711A5">
        <w:rPr>
          <w:noProof/>
          <w:sz w:val="21"/>
          <w:szCs w:val="21"/>
        </w:rPr>
        <w:t xml:space="preserve"> </w:t>
      </w:r>
      <w:r w:rsidR="00B07EB4">
        <w:rPr>
          <w:noProof/>
          <w:sz w:val="21"/>
          <w:szCs w:val="21"/>
        </w:rPr>
        <w:t>decreased but measurable potency (</w:t>
      </w:r>
      <w:r w:rsidR="00B711A5">
        <w:rPr>
          <w:noProof/>
          <w:sz w:val="21"/>
          <w:szCs w:val="21"/>
        </w:rPr>
        <w:t xml:space="preserve">15.5% </w:t>
      </w:r>
      <w:r w:rsidR="00AD1877">
        <w:rPr>
          <w:noProof/>
          <w:sz w:val="21"/>
          <w:szCs w:val="21"/>
        </w:rPr>
        <w:t>potency</w:t>
      </w:r>
      <w:r w:rsidR="002B300E">
        <w:rPr>
          <w:noProof/>
          <w:sz w:val="21"/>
          <w:szCs w:val="21"/>
        </w:rPr>
        <w:t>)</w:t>
      </w:r>
      <w:r w:rsidR="00AD1877">
        <w:rPr>
          <w:noProof/>
          <w:sz w:val="21"/>
          <w:szCs w:val="21"/>
        </w:rPr>
        <w:t xml:space="preserve"> compared to time 0</w:t>
      </w:r>
      <w:r w:rsidR="002B300E">
        <w:rPr>
          <w:noProof/>
          <w:sz w:val="21"/>
          <w:szCs w:val="21"/>
        </w:rPr>
        <w:t>. (B)</w:t>
      </w:r>
      <w:r w:rsidR="005947D4">
        <w:rPr>
          <w:noProof/>
          <w:sz w:val="21"/>
          <w:szCs w:val="21"/>
        </w:rPr>
        <w:t xml:space="preserve"> There was</w:t>
      </w:r>
      <w:r w:rsidR="00AD1877">
        <w:rPr>
          <w:noProof/>
          <w:sz w:val="21"/>
          <w:szCs w:val="21"/>
        </w:rPr>
        <w:t xml:space="preserve"> no potency </w:t>
      </w:r>
      <w:r w:rsidR="002B300E">
        <w:rPr>
          <w:noProof/>
          <w:sz w:val="21"/>
          <w:szCs w:val="21"/>
        </w:rPr>
        <w:t>detected</w:t>
      </w:r>
      <w:r w:rsidR="00AD1877">
        <w:rPr>
          <w:noProof/>
          <w:sz w:val="21"/>
          <w:szCs w:val="21"/>
        </w:rPr>
        <w:t xml:space="preserve"> for AK112</w:t>
      </w:r>
      <w:r w:rsidR="002B300E">
        <w:rPr>
          <w:noProof/>
          <w:sz w:val="21"/>
          <w:szCs w:val="21"/>
        </w:rPr>
        <w:t xml:space="preserve"> after 4 hr heat stress.</w:t>
      </w:r>
    </w:p>
    <w:sectPr w:rsidR="005B0B04" w:rsidRPr="00BA792F" w:rsidSect="00174A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C026" w14:textId="77777777" w:rsidR="00B40E3C" w:rsidRDefault="00B40E3C" w:rsidP="00424333">
      <w:pPr>
        <w:spacing w:line="240" w:lineRule="auto"/>
        <w:ind w:firstLine="480"/>
      </w:pPr>
      <w:r>
        <w:separator/>
      </w:r>
    </w:p>
  </w:endnote>
  <w:endnote w:type="continuationSeparator" w:id="0">
    <w:p w14:paraId="3653C8C0" w14:textId="77777777" w:rsidR="00B40E3C" w:rsidRDefault="00B40E3C" w:rsidP="0042433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4CDF" w14:textId="77777777" w:rsidR="00424333" w:rsidRDefault="0042433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B065D" w14:textId="77777777" w:rsidR="00424333" w:rsidRDefault="0042433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B08B" w14:textId="77777777" w:rsidR="00424333" w:rsidRDefault="0042433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AC53F" w14:textId="77777777" w:rsidR="00B40E3C" w:rsidRDefault="00B40E3C" w:rsidP="00424333">
      <w:pPr>
        <w:spacing w:line="240" w:lineRule="auto"/>
        <w:ind w:firstLine="480"/>
      </w:pPr>
      <w:r>
        <w:separator/>
      </w:r>
    </w:p>
  </w:footnote>
  <w:footnote w:type="continuationSeparator" w:id="0">
    <w:p w14:paraId="6E1CCE35" w14:textId="77777777" w:rsidR="00B40E3C" w:rsidRDefault="00B40E3C" w:rsidP="0042433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465D9" w14:textId="77777777" w:rsidR="00424333" w:rsidRDefault="00424333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EA07A" w14:textId="77777777" w:rsidR="00424333" w:rsidRDefault="00424333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7324" w14:textId="77777777" w:rsidR="00424333" w:rsidRDefault="00424333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B23AA"/>
    <w:multiLevelType w:val="hybridMultilevel"/>
    <w:tmpl w:val="9524270A"/>
    <w:lvl w:ilvl="0" w:tplc="2E304090">
      <w:start w:val="1"/>
      <w:numFmt w:val="lowerRoman"/>
      <w:lvlText w:val="%1."/>
      <w:lvlJc w:val="right"/>
      <w:pPr>
        <w:ind w:left="900" w:hanging="42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6641F"/>
    <w:multiLevelType w:val="hybridMultilevel"/>
    <w:tmpl w:val="613476AE"/>
    <w:lvl w:ilvl="0" w:tplc="1FF8F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7B43"/>
    <w:multiLevelType w:val="multilevel"/>
    <w:tmpl w:val="D81A1C66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3" w15:restartNumberingAfterBreak="0">
    <w:nsid w:val="1695103B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8DD7FBF"/>
    <w:multiLevelType w:val="multilevel"/>
    <w:tmpl w:val="184ED8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lang w:val="en-US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C730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0C3916"/>
    <w:multiLevelType w:val="multilevel"/>
    <w:tmpl w:val="E6060732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7" w15:restartNumberingAfterBreak="0">
    <w:nsid w:val="206F7D46"/>
    <w:multiLevelType w:val="multilevel"/>
    <w:tmpl w:val="8C64767C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8" w15:restartNumberingAfterBreak="0">
    <w:nsid w:val="219642EE"/>
    <w:multiLevelType w:val="multilevel"/>
    <w:tmpl w:val="6D6C58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64D2338"/>
    <w:multiLevelType w:val="multilevel"/>
    <w:tmpl w:val="3D487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90C5A2B"/>
    <w:multiLevelType w:val="hybridMultilevel"/>
    <w:tmpl w:val="3E941CA2"/>
    <w:lvl w:ilvl="0" w:tplc="50EE4D84">
      <w:start w:val="1"/>
      <w:numFmt w:val="lowerRoman"/>
      <w:lvlText w:val="%1."/>
      <w:lvlJc w:val="right"/>
      <w:pPr>
        <w:ind w:left="1020" w:hanging="42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1" w15:restartNumberingAfterBreak="0">
    <w:nsid w:val="2CF147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E724F7"/>
    <w:multiLevelType w:val="multilevel"/>
    <w:tmpl w:val="CCCC5F0C"/>
    <w:lvl w:ilvl="0">
      <w:start w:val="5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hint="eastAsia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eastAsia="SimSun" w:hint="default"/>
      </w:rPr>
    </w:lvl>
  </w:abstractNum>
  <w:abstractNum w:abstractNumId="13" w15:restartNumberingAfterBreak="0">
    <w:nsid w:val="3215121A"/>
    <w:multiLevelType w:val="hybridMultilevel"/>
    <w:tmpl w:val="600E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28A3"/>
    <w:multiLevelType w:val="multilevel"/>
    <w:tmpl w:val="DD34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3CCA4567"/>
    <w:multiLevelType w:val="multilevel"/>
    <w:tmpl w:val="2C38C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CA7FE2"/>
    <w:multiLevelType w:val="multilevel"/>
    <w:tmpl w:val="C8645F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483A1468"/>
    <w:multiLevelType w:val="multilevel"/>
    <w:tmpl w:val="4F0CDA62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18" w15:restartNumberingAfterBreak="0">
    <w:nsid w:val="533D20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411A39"/>
    <w:multiLevelType w:val="multilevel"/>
    <w:tmpl w:val="F740038C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20" w15:restartNumberingAfterBreak="0">
    <w:nsid w:val="68EF53E0"/>
    <w:multiLevelType w:val="hybridMultilevel"/>
    <w:tmpl w:val="DE68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83EE9"/>
    <w:multiLevelType w:val="multilevel"/>
    <w:tmpl w:val="34E0D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101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A17950"/>
    <w:multiLevelType w:val="multilevel"/>
    <w:tmpl w:val="15CC79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613E43"/>
    <w:multiLevelType w:val="multilevel"/>
    <w:tmpl w:val="4F0CDA62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25" w15:restartNumberingAfterBreak="0">
    <w:nsid w:val="7847181F"/>
    <w:multiLevelType w:val="hybridMultilevel"/>
    <w:tmpl w:val="14D8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64C48"/>
    <w:multiLevelType w:val="multilevel"/>
    <w:tmpl w:val="F822E618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27" w15:restartNumberingAfterBreak="0">
    <w:nsid w:val="7D0B674C"/>
    <w:multiLevelType w:val="multilevel"/>
    <w:tmpl w:val="E6060732"/>
    <w:lvl w:ilvl="0">
      <w:start w:val="2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19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9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  <w:b/>
      </w:rPr>
    </w:lvl>
  </w:abstractNum>
  <w:abstractNum w:abstractNumId="28" w15:restartNumberingAfterBreak="0">
    <w:nsid w:val="7F971423"/>
    <w:multiLevelType w:val="multilevel"/>
    <w:tmpl w:val="7ED2B6D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9934106">
    <w:abstractNumId w:val="10"/>
  </w:num>
  <w:num w:numId="2" w16cid:durableId="1819227088">
    <w:abstractNumId w:val="0"/>
  </w:num>
  <w:num w:numId="3" w16cid:durableId="368845981">
    <w:abstractNumId w:val="4"/>
  </w:num>
  <w:num w:numId="4" w16cid:durableId="1881286253">
    <w:abstractNumId w:val="16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"/>
        <w:lvlJc w:val="left"/>
        <w:pPr>
          <w:ind w:left="786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72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998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84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1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9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42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48" w:hanging="1440"/>
        </w:pPr>
        <w:rPr>
          <w:rFonts w:hint="default"/>
        </w:rPr>
      </w:lvl>
    </w:lvlOverride>
  </w:num>
  <w:num w:numId="5" w16cid:durableId="921524457">
    <w:abstractNumId w:val="12"/>
  </w:num>
  <w:num w:numId="6" w16cid:durableId="1677421017">
    <w:abstractNumId w:val="9"/>
  </w:num>
  <w:num w:numId="7" w16cid:durableId="1469317586">
    <w:abstractNumId w:val="28"/>
  </w:num>
  <w:num w:numId="8" w16cid:durableId="410009496">
    <w:abstractNumId w:val="11"/>
  </w:num>
  <w:num w:numId="9" w16cid:durableId="246768425">
    <w:abstractNumId w:val="22"/>
  </w:num>
  <w:num w:numId="10" w16cid:durableId="1587299448">
    <w:abstractNumId w:val="3"/>
  </w:num>
  <w:num w:numId="11" w16cid:durableId="363286751">
    <w:abstractNumId w:val="14"/>
  </w:num>
  <w:num w:numId="12" w16cid:durableId="1076511812">
    <w:abstractNumId w:val="15"/>
  </w:num>
  <w:num w:numId="13" w16cid:durableId="1690402111">
    <w:abstractNumId w:val="8"/>
  </w:num>
  <w:num w:numId="14" w16cid:durableId="1479806410">
    <w:abstractNumId w:val="5"/>
  </w:num>
  <w:num w:numId="15" w16cid:durableId="482160355">
    <w:abstractNumId w:val="26"/>
  </w:num>
  <w:num w:numId="16" w16cid:durableId="796220233">
    <w:abstractNumId w:val="21"/>
  </w:num>
  <w:num w:numId="17" w16cid:durableId="139426525">
    <w:abstractNumId w:val="18"/>
  </w:num>
  <w:num w:numId="18" w16cid:durableId="1085421389">
    <w:abstractNumId w:val="2"/>
  </w:num>
  <w:num w:numId="19" w16cid:durableId="849485420">
    <w:abstractNumId w:val="19"/>
  </w:num>
  <w:num w:numId="20" w16cid:durableId="635792865">
    <w:abstractNumId w:val="17"/>
  </w:num>
  <w:num w:numId="21" w16cid:durableId="2137093511">
    <w:abstractNumId w:val="1"/>
  </w:num>
  <w:num w:numId="22" w16cid:durableId="1050423900">
    <w:abstractNumId w:val="24"/>
  </w:num>
  <w:num w:numId="23" w16cid:durableId="230509203">
    <w:abstractNumId w:val="27"/>
  </w:num>
  <w:num w:numId="24" w16cid:durableId="244994157">
    <w:abstractNumId w:val="6"/>
  </w:num>
  <w:num w:numId="25" w16cid:durableId="1340036122">
    <w:abstractNumId w:val="7"/>
  </w:num>
  <w:num w:numId="26" w16cid:durableId="1482043761">
    <w:abstractNumId w:val="13"/>
  </w:num>
  <w:num w:numId="27" w16cid:durableId="306935904">
    <w:abstractNumId w:val="20"/>
  </w:num>
  <w:num w:numId="28" w16cid:durableId="1259411010">
    <w:abstractNumId w:val="25"/>
  </w:num>
  <w:num w:numId="29" w16cid:durableId="5641508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69"/>
    <w:rsid w:val="0001108F"/>
    <w:rsid w:val="0001576E"/>
    <w:rsid w:val="00020386"/>
    <w:rsid w:val="00031FEF"/>
    <w:rsid w:val="00035352"/>
    <w:rsid w:val="00043F94"/>
    <w:rsid w:val="00047AF4"/>
    <w:rsid w:val="00052565"/>
    <w:rsid w:val="0006213C"/>
    <w:rsid w:val="00066D26"/>
    <w:rsid w:val="000676A1"/>
    <w:rsid w:val="00085F83"/>
    <w:rsid w:val="000A175C"/>
    <w:rsid w:val="000A3468"/>
    <w:rsid w:val="000B408D"/>
    <w:rsid w:val="000B7CAD"/>
    <w:rsid w:val="000C48C2"/>
    <w:rsid w:val="000D04DD"/>
    <w:rsid w:val="000D5142"/>
    <w:rsid w:val="000D5EA0"/>
    <w:rsid w:val="000E5C0D"/>
    <w:rsid w:val="000E7A7D"/>
    <w:rsid w:val="000F37A7"/>
    <w:rsid w:val="000F4415"/>
    <w:rsid w:val="000F6156"/>
    <w:rsid w:val="0010371E"/>
    <w:rsid w:val="00111454"/>
    <w:rsid w:val="00112A3C"/>
    <w:rsid w:val="00116AE9"/>
    <w:rsid w:val="001228F8"/>
    <w:rsid w:val="001265CE"/>
    <w:rsid w:val="00131C56"/>
    <w:rsid w:val="00166A26"/>
    <w:rsid w:val="00167750"/>
    <w:rsid w:val="00167F8A"/>
    <w:rsid w:val="00174A00"/>
    <w:rsid w:val="001753C0"/>
    <w:rsid w:val="0018416B"/>
    <w:rsid w:val="00186890"/>
    <w:rsid w:val="00187025"/>
    <w:rsid w:val="001953FC"/>
    <w:rsid w:val="0019698B"/>
    <w:rsid w:val="001C28B9"/>
    <w:rsid w:val="001F2A91"/>
    <w:rsid w:val="0020217D"/>
    <w:rsid w:val="00204138"/>
    <w:rsid w:val="00210B2C"/>
    <w:rsid w:val="00232E94"/>
    <w:rsid w:val="00233CA2"/>
    <w:rsid w:val="00234B23"/>
    <w:rsid w:val="00256A55"/>
    <w:rsid w:val="00257598"/>
    <w:rsid w:val="002611EB"/>
    <w:rsid w:val="0026170D"/>
    <w:rsid w:val="002815B5"/>
    <w:rsid w:val="00284830"/>
    <w:rsid w:val="0029186D"/>
    <w:rsid w:val="00293869"/>
    <w:rsid w:val="0029648F"/>
    <w:rsid w:val="002A4AAD"/>
    <w:rsid w:val="002A6242"/>
    <w:rsid w:val="002B300E"/>
    <w:rsid w:val="002C4D58"/>
    <w:rsid w:val="002D26C6"/>
    <w:rsid w:val="002D4062"/>
    <w:rsid w:val="002E57CD"/>
    <w:rsid w:val="002F18BE"/>
    <w:rsid w:val="002F73DE"/>
    <w:rsid w:val="00302BA0"/>
    <w:rsid w:val="0031047B"/>
    <w:rsid w:val="0031661E"/>
    <w:rsid w:val="00321EC7"/>
    <w:rsid w:val="003316F3"/>
    <w:rsid w:val="00334E34"/>
    <w:rsid w:val="00343C8D"/>
    <w:rsid w:val="00351531"/>
    <w:rsid w:val="00351C38"/>
    <w:rsid w:val="00351CAD"/>
    <w:rsid w:val="003545B1"/>
    <w:rsid w:val="0036307C"/>
    <w:rsid w:val="00372C36"/>
    <w:rsid w:val="00373C2A"/>
    <w:rsid w:val="00376653"/>
    <w:rsid w:val="00382C11"/>
    <w:rsid w:val="0038588F"/>
    <w:rsid w:val="003876D8"/>
    <w:rsid w:val="003938E8"/>
    <w:rsid w:val="00395506"/>
    <w:rsid w:val="003958E0"/>
    <w:rsid w:val="00397883"/>
    <w:rsid w:val="003A1029"/>
    <w:rsid w:val="003A37EE"/>
    <w:rsid w:val="003B17CE"/>
    <w:rsid w:val="003C3B87"/>
    <w:rsid w:val="003C502E"/>
    <w:rsid w:val="003C71CF"/>
    <w:rsid w:val="003F0207"/>
    <w:rsid w:val="003F1960"/>
    <w:rsid w:val="003F5B55"/>
    <w:rsid w:val="00402B2D"/>
    <w:rsid w:val="0040602E"/>
    <w:rsid w:val="00407E36"/>
    <w:rsid w:val="00415DE0"/>
    <w:rsid w:val="00424333"/>
    <w:rsid w:val="00431611"/>
    <w:rsid w:val="004371A0"/>
    <w:rsid w:val="00447987"/>
    <w:rsid w:val="00454CA7"/>
    <w:rsid w:val="00457676"/>
    <w:rsid w:val="00465A30"/>
    <w:rsid w:val="00466D31"/>
    <w:rsid w:val="00495B0E"/>
    <w:rsid w:val="004A69BD"/>
    <w:rsid w:val="004B2D9A"/>
    <w:rsid w:val="004C31F2"/>
    <w:rsid w:val="004C4E50"/>
    <w:rsid w:val="004C565E"/>
    <w:rsid w:val="004C6F76"/>
    <w:rsid w:val="004C71D2"/>
    <w:rsid w:val="004C7CF4"/>
    <w:rsid w:val="004D3537"/>
    <w:rsid w:val="004E0B7E"/>
    <w:rsid w:val="004E42CF"/>
    <w:rsid w:val="004F0BFE"/>
    <w:rsid w:val="004F2221"/>
    <w:rsid w:val="004F34EA"/>
    <w:rsid w:val="004F375A"/>
    <w:rsid w:val="004F6439"/>
    <w:rsid w:val="005023D8"/>
    <w:rsid w:val="005202FD"/>
    <w:rsid w:val="0053223A"/>
    <w:rsid w:val="0053307D"/>
    <w:rsid w:val="005468BE"/>
    <w:rsid w:val="00552925"/>
    <w:rsid w:val="00554216"/>
    <w:rsid w:val="005572C4"/>
    <w:rsid w:val="005613DE"/>
    <w:rsid w:val="005620E5"/>
    <w:rsid w:val="00563AF9"/>
    <w:rsid w:val="00584919"/>
    <w:rsid w:val="0058515D"/>
    <w:rsid w:val="00591A00"/>
    <w:rsid w:val="005947D4"/>
    <w:rsid w:val="00594B5C"/>
    <w:rsid w:val="005A3FF4"/>
    <w:rsid w:val="005B0B04"/>
    <w:rsid w:val="005B46BE"/>
    <w:rsid w:val="005C1A79"/>
    <w:rsid w:val="005C49FF"/>
    <w:rsid w:val="005C5FC2"/>
    <w:rsid w:val="005C77D9"/>
    <w:rsid w:val="005D2167"/>
    <w:rsid w:val="005F2C2E"/>
    <w:rsid w:val="005F330C"/>
    <w:rsid w:val="005F40A7"/>
    <w:rsid w:val="00603B0F"/>
    <w:rsid w:val="00614E9D"/>
    <w:rsid w:val="00620672"/>
    <w:rsid w:val="006252AF"/>
    <w:rsid w:val="00631C65"/>
    <w:rsid w:val="0065017B"/>
    <w:rsid w:val="00650183"/>
    <w:rsid w:val="00651B87"/>
    <w:rsid w:val="00651CEA"/>
    <w:rsid w:val="00655589"/>
    <w:rsid w:val="00657FC5"/>
    <w:rsid w:val="006631A5"/>
    <w:rsid w:val="00664186"/>
    <w:rsid w:val="00670E46"/>
    <w:rsid w:val="0067702D"/>
    <w:rsid w:val="006804AE"/>
    <w:rsid w:val="006A048F"/>
    <w:rsid w:val="006B032E"/>
    <w:rsid w:val="006B22E4"/>
    <w:rsid w:val="006B3FC4"/>
    <w:rsid w:val="006C5BF6"/>
    <w:rsid w:val="006E1EEF"/>
    <w:rsid w:val="006F1115"/>
    <w:rsid w:val="006F15BC"/>
    <w:rsid w:val="006F41D0"/>
    <w:rsid w:val="006F7C0E"/>
    <w:rsid w:val="0070727D"/>
    <w:rsid w:val="0071690D"/>
    <w:rsid w:val="00721626"/>
    <w:rsid w:val="00725975"/>
    <w:rsid w:val="00732E73"/>
    <w:rsid w:val="007360F9"/>
    <w:rsid w:val="00744755"/>
    <w:rsid w:val="007545F3"/>
    <w:rsid w:val="00757513"/>
    <w:rsid w:val="007612CA"/>
    <w:rsid w:val="007622FF"/>
    <w:rsid w:val="00781700"/>
    <w:rsid w:val="007879F8"/>
    <w:rsid w:val="007979B7"/>
    <w:rsid w:val="007A2E64"/>
    <w:rsid w:val="007A2F3D"/>
    <w:rsid w:val="007A43C9"/>
    <w:rsid w:val="007B1AE5"/>
    <w:rsid w:val="007B6EF7"/>
    <w:rsid w:val="007C2217"/>
    <w:rsid w:val="007C352E"/>
    <w:rsid w:val="007D458B"/>
    <w:rsid w:val="007D619F"/>
    <w:rsid w:val="007F5DBF"/>
    <w:rsid w:val="007F69DC"/>
    <w:rsid w:val="0084242E"/>
    <w:rsid w:val="00842AA6"/>
    <w:rsid w:val="00862960"/>
    <w:rsid w:val="008652E0"/>
    <w:rsid w:val="00871BA1"/>
    <w:rsid w:val="008757A2"/>
    <w:rsid w:val="008A44A1"/>
    <w:rsid w:val="008A5CE2"/>
    <w:rsid w:val="008B0ECF"/>
    <w:rsid w:val="008B419C"/>
    <w:rsid w:val="008C0AE8"/>
    <w:rsid w:val="008C6A64"/>
    <w:rsid w:val="008E18C3"/>
    <w:rsid w:val="008E1FA7"/>
    <w:rsid w:val="008F4F22"/>
    <w:rsid w:val="009021C0"/>
    <w:rsid w:val="0092092A"/>
    <w:rsid w:val="009209DF"/>
    <w:rsid w:val="00924495"/>
    <w:rsid w:val="00927019"/>
    <w:rsid w:val="009529E4"/>
    <w:rsid w:val="009652CD"/>
    <w:rsid w:val="00973F8A"/>
    <w:rsid w:val="00977530"/>
    <w:rsid w:val="009A38C9"/>
    <w:rsid w:val="009A4D48"/>
    <w:rsid w:val="009A5958"/>
    <w:rsid w:val="009C4EF0"/>
    <w:rsid w:val="009D0A54"/>
    <w:rsid w:val="009E6509"/>
    <w:rsid w:val="009F0E6E"/>
    <w:rsid w:val="009F290B"/>
    <w:rsid w:val="009F5012"/>
    <w:rsid w:val="009F588D"/>
    <w:rsid w:val="00A03E13"/>
    <w:rsid w:val="00A129B3"/>
    <w:rsid w:val="00A20569"/>
    <w:rsid w:val="00A24189"/>
    <w:rsid w:val="00A3560E"/>
    <w:rsid w:val="00A45ADD"/>
    <w:rsid w:val="00A472A2"/>
    <w:rsid w:val="00A506B6"/>
    <w:rsid w:val="00A54B00"/>
    <w:rsid w:val="00A5599D"/>
    <w:rsid w:val="00A7485B"/>
    <w:rsid w:val="00A87269"/>
    <w:rsid w:val="00A87349"/>
    <w:rsid w:val="00A9502E"/>
    <w:rsid w:val="00A95D09"/>
    <w:rsid w:val="00AC6A0F"/>
    <w:rsid w:val="00AD1877"/>
    <w:rsid w:val="00AD2D2F"/>
    <w:rsid w:val="00AE5240"/>
    <w:rsid w:val="00AE58BC"/>
    <w:rsid w:val="00AE65A0"/>
    <w:rsid w:val="00AF7102"/>
    <w:rsid w:val="00B02C47"/>
    <w:rsid w:val="00B07EB4"/>
    <w:rsid w:val="00B17C02"/>
    <w:rsid w:val="00B20D25"/>
    <w:rsid w:val="00B32535"/>
    <w:rsid w:val="00B368DE"/>
    <w:rsid w:val="00B37FC4"/>
    <w:rsid w:val="00B408EB"/>
    <w:rsid w:val="00B40E3C"/>
    <w:rsid w:val="00B4780E"/>
    <w:rsid w:val="00B56167"/>
    <w:rsid w:val="00B57249"/>
    <w:rsid w:val="00B657B0"/>
    <w:rsid w:val="00B70D6A"/>
    <w:rsid w:val="00B711A5"/>
    <w:rsid w:val="00B77540"/>
    <w:rsid w:val="00B77788"/>
    <w:rsid w:val="00B8431A"/>
    <w:rsid w:val="00B94243"/>
    <w:rsid w:val="00BA0AF0"/>
    <w:rsid w:val="00BA2E38"/>
    <w:rsid w:val="00BA4EB8"/>
    <w:rsid w:val="00BA792F"/>
    <w:rsid w:val="00BD398A"/>
    <w:rsid w:val="00BD5C7C"/>
    <w:rsid w:val="00BF6AE5"/>
    <w:rsid w:val="00BF746B"/>
    <w:rsid w:val="00BF7EA0"/>
    <w:rsid w:val="00C013AD"/>
    <w:rsid w:val="00C202F9"/>
    <w:rsid w:val="00C215B4"/>
    <w:rsid w:val="00C32693"/>
    <w:rsid w:val="00C3594E"/>
    <w:rsid w:val="00C41C9C"/>
    <w:rsid w:val="00C62CE1"/>
    <w:rsid w:val="00C642FD"/>
    <w:rsid w:val="00C65ED3"/>
    <w:rsid w:val="00C67318"/>
    <w:rsid w:val="00C8105D"/>
    <w:rsid w:val="00C832E6"/>
    <w:rsid w:val="00C8797A"/>
    <w:rsid w:val="00C905F0"/>
    <w:rsid w:val="00C910AD"/>
    <w:rsid w:val="00C93900"/>
    <w:rsid w:val="00CA0CE4"/>
    <w:rsid w:val="00CA4C44"/>
    <w:rsid w:val="00CA6122"/>
    <w:rsid w:val="00CB50E0"/>
    <w:rsid w:val="00CD3990"/>
    <w:rsid w:val="00CD48BE"/>
    <w:rsid w:val="00CE61AE"/>
    <w:rsid w:val="00D01750"/>
    <w:rsid w:val="00D20794"/>
    <w:rsid w:val="00D310FB"/>
    <w:rsid w:val="00D428A5"/>
    <w:rsid w:val="00D45F05"/>
    <w:rsid w:val="00D46525"/>
    <w:rsid w:val="00D50169"/>
    <w:rsid w:val="00D53EC5"/>
    <w:rsid w:val="00D54915"/>
    <w:rsid w:val="00D57054"/>
    <w:rsid w:val="00D64C42"/>
    <w:rsid w:val="00D66673"/>
    <w:rsid w:val="00D71B89"/>
    <w:rsid w:val="00D85613"/>
    <w:rsid w:val="00D858C9"/>
    <w:rsid w:val="00DC0911"/>
    <w:rsid w:val="00DC2591"/>
    <w:rsid w:val="00DC3760"/>
    <w:rsid w:val="00DC41C3"/>
    <w:rsid w:val="00DC7E04"/>
    <w:rsid w:val="00DD0D7B"/>
    <w:rsid w:val="00DD14BB"/>
    <w:rsid w:val="00DE1E63"/>
    <w:rsid w:val="00DE45D3"/>
    <w:rsid w:val="00DE4C84"/>
    <w:rsid w:val="00DF065E"/>
    <w:rsid w:val="00DF4341"/>
    <w:rsid w:val="00E00BA8"/>
    <w:rsid w:val="00E20B20"/>
    <w:rsid w:val="00E25EB4"/>
    <w:rsid w:val="00E3155D"/>
    <w:rsid w:val="00E3272A"/>
    <w:rsid w:val="00E66459"/>
    <w:rsid w:val="00E67728"/>
    <w:rsid w:val="00E80D1A"/>
    <w:rsid w:val="00E85598"/>
    <w:rsid w:val="00EA1B97"/>
    <w:rsid w:val="00EA673B"/>
    <w:rsid w:val="00EA7F58"/>
    <w:rsid w:val="00EB1C83"/>
    <w:rsid w:val="00EC20C9"/>
    <w:rsid w:val="00EC3877"/>
    <w:rsid w:val="00EC3E72"/>
    <w:rsid w:val="00EC3F7A"/>
    <w:rsid w:val="00EE24D5"/>
    <w:rsid w:val="00EF2C41"/>
    <w:rsid w:val="00EF5DC2"/>
    <w:rsid w:val="00EF6087"/>
    <w:rsid w:val="00EF7650"/>
    <w:rsid w:val="00EF788A"/>
    <w:rsid w:val="00F1420D"/>
    <w:rsid w:val="00F272C2"/>
    <w:rsid w:val="00F36DD6"/>
    <w:rsid w:val="00F415B5"/>
    <w:rsid w:val="00F434C6"/>
    <w:rsid w:val="00F45420"/>
    <w:rsid w:val="00F548B8"/>
    <w:rsid w:val="00F55262"/>
    <w:rsid w:val="00F82F31"/>
    <w:rsid w:val="00F85A9B"/>
    <w:rsid w:val="00F93F37"/>
    <w:rsid w:val="00FA2212"/>
    <w:rsid w:val="00FA3626"/>
    <w:rsid w:val="00FA711E"/>
    <w:rsid w:val="00FB0F3E"/>
    <w:rsid w:val="00FB69D9"/>
    <w:rsid w:val="00FC3476"/>
    <w:rsid w:val="00FC4C65"/>
    <w:rsid w:val="00FE0925"/>
    <w:rsid w:val="00FE09DE"/>
    <w:rsid w:val="00FE6FE3"/>
    <w:rsid w:val="00FF13B8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5A449"/>
  <w15:chartTrackingRefBased/>
  <w15:docId w15:val="{21BEE2FE-5345-4C79-881F-6397AD82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69"/>
    <w:pPr>
      <w:overflowPunct w:val="0"/>
      <w:autoSpaceDE w:val="0"/>
      <w:autoSpaceDN w:val="0"/>
      <w:spacing w:after="0" w:line="360" w:lineRule="auto"/>
      <w:ind w:firstLineChars="200" w:firstLine="200"/>
      <w:textAlignment w:val="baseline"/>
    </w:pPr>
    <w:rPr>
      <w:rFonts w:ascii="Times New Roman" w:eastAsia="SimSun" w:hAnsi="Times New Roman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8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8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8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8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8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8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8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8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8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8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3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869"/>
    <w:pPr>
      <w:numPr>
        <w:ilvl w:val="1"/>
      </w:numPr>
      <w:ind w:firstLineChars="200" w:firstLine="2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3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869"/>
    <w:rPr>
      <w:i/>
      <w:iCs/>
      <w:color w:val="404040" w:themeColor="text1" w:themeTint="BF"/>
    </w:rPr>
  </w:style>
  <w:style w:type="paragraph" w:styleId="ListParagraph">
    <w:name w:val="List Paragraph"/>
    <w:aliases w:val="附件,列出段落"/>
    <w:basedOn w:val="Normal"/>
    <w:link w:val="ListParagraphChar"/>
    <w:uiPriority w:val="99"/>
    <w:qFormat/>
    <w:rsid w:val="002938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38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8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3869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附件 Char,列出段落 Char"/>
    <w:basedOn w:val="DefaultParagraphFont"/>
    <w:link w:val="ListParagraph"/>
    <w:uiPriority w:val="99"/>
    <w:qFormat/>
    <w:rsid w:val="00293869"/>
  </w:style>
  <w:style w:type="paragraph" w:styleId="Caption">
    <w:name w:val="caption"/>
    <w:aliases w:val="表格题注"/>
    <w:next w:val="Normal"/>
    <w:link w:val="CaptionChar"/>
    <w:unhideWhenUsed/>
    <w:qFormat/>
    <w:rsid w:val="00293869"/>
    <w:pPr>
      <w:tabs>
        <w:tab w:val="left" w:pos="960"/>
      </w:tabs>
      <w:spacing w:beforeLines="50" w:before="50" w:afterLines="50" w:after="50" w:line="240" w:lineRule="auto"/>
      <w:jc w:val="center"/>
    </w:pPr>
    <w:rPr>
      <w:rFonts w:ascii="Times New Roman" w:eastAsia="SimSun" w:hAnsi="Times New Roman" w:cstheme="majorBidi"/>
      <w:b/>
      <w:kern w:val="0"/>
      <w:sz w:val="21"/>
      <w:szCs w:val="20"/>
      <w:lang w:eastAsia="en-US"/>
      <w14:ligatures w14:val="none"/>
    </w:rPr>
  </w:style>
  <w:style w:type="character" w:customStyle="1" w:styleId="CaptionChar">
    <w:name w:val="Caption Char"/>
    <w:aliases w:val="表格题注 Char"/>
    <w:link w:val="Caption"/>
    <w:locked/>
    <w:rsid w:val="00293869"/>
    <w:rPr>
      <w:rFonts w:ascii="Times New Roman" w:eastAsia="SimSun" w:hAnsi="Times New Roman" w:cstheme="majorBidi"/>
      <w:b/>
      <w:kern w:val="0"/>
      <w:sz w:val="21"/>
      <w:szCs w:val="20"/>
      <w:lang w:eastAsia="en-US"/>
      <w14:ligatures w14:val="none"/>
    </w:rPr>
  </w:style>
  <w:style w:type="paragraph" w:customStyle="1" w:styleId="SW">
    <w:name w:val="SW_章节"/>
    <w:qFormat/>
    <w:rsid w:val="00293869"/>
    <w:pPr>
      <w:spacing w:after="0" w:line="360" w:lineRule="auto"/>
      <w:ind w:firstLineChars="200" w:firstLine="200"/>
    </w:pPr>
    <w:rPr>
      <w:rFonts w:ascii="Times New Roman" w:eastAsia="SimSun" w:hAnsi="Times New Roman" w:cs="Times New Roman"/>
      <w:kern w:val="0"/>
      <w:lang w:eastAsia="en-US"/>
      <w14:ligatures w14:val="none"/>
    </w:rPr>
  </w:style>
  <w:style w:type="character" w:customStyle="1" w:styleId="SW0">
    <w:name w:val="SW_蓝色"/>
    <w:basedOn w:val="DefaultParagraphFont"/>
    <w:rsid w:val="00293869"/>
    <w:rPr>
      <w:rFonts w:eastAsia="SimSun"/>
      <w:color w:val="0000FF"/>
    </w:rPr>
  </w:style>
  <w:style w:type="character" w:customStyle="1" w:styleId="2">
    <w:name w:val="样式2"/>
    <w:basedOn w:val="DefaultParagraphFont"/>
    <w:uiPriority w:val="1"/>
    <w:qFormat/>
    <w:rsid w:val="00B17C02"/>
    <w:rPr>
      <w:rFonts w:eastAsiaTheme="minorEastAsia"/>
      <w:sz w:val="28"/>
    </w:rPr>
  </w:style>
  <w:style w:type="paragraph" w:customStyle="1" w:styleId="a">
    <w:name w:val="！正文"/>
    <w:link w:val="Char"/>
    <w:qFormat/>
    <w:rsid w:val="001265CE"/>
    <w:pPr>
      <w:topLinePunct/>
      <w:snapToGrid w:val="0"/>
      <w:spacing w:after="0" w:line="360" w:lineRule="auto"/>
      <w:ind w:firstLineChars="200" w:firstLine="200"/>
      <w:jc w:val="both"/>
    </w:pPr>
    <w:rPr>
      <w:rFonts w:ascii="Times New Roman" w:eastAsia="SimSun" w:hAnsi="Times New Roman" w:cs="Times New Roman"/>
      <w14:ligatures w14:val="none"/>
    </w:rPr>
  </w:style>
  <w:style w:type="character" w:customStyle="1" w:styleId="Char">
    <w:name w:val="！正文 Char"/>
    <w:link w:val="a"/>
    <w:qFormat/>
    <w:locked/>
    <w:rsid w:val="001265CE"/>
    <w:rPr>
      <w:rFonts w:ascii="Times New Roman" w:eastAsia="SimSun" w:hAnsi="Times New Roman" w:cs="Times New Roman"/>
      <w14:ligatures w14:val="none"/>
    </w:rPr>
  </w:style>
  <w:style w:type="table" w:styleId="TableGrid">
    <w:name w:val="Table Grid"/>
    <w:basedOn w:val="TableNormal"/>
    <w:uiPriority w:val="39"/>
    <w:rsid w:val="0002038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58BC"/>
  </w:style>
  <w:style w:type="character" w:customStyle="1" w:styleId="eop">
    <w:name w:val="eop"/>
    <w:basedOn w:val="DefaultParagraphFont"/>
    <w:rsid w:val="00AE58BC"/>
  </w:style>
  <w:style w:type="paragraph" w:styleId="Header">
    <w:name w:val="header"/>
    <w:basedOn w:val="Normal"/>
    <w:link w:val="HeaderChar"/>
    <w:uiPriority w:val="99"/>
    <w:unhideWhenUsed/>
    <w:rsid w:val="00424333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24333"/>
    <w:rPr>
      <w:rFonts w:ascii="Times New Roman" w:eastAsia="SimSun" w:hAnsi="Times New Roman" w:cs="Times New Roman"/>
      <w:kern w:val="0"/>
      <w:sz w:val="18"/>
      <w:szCs w:val="18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43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4333"/>
    <w:rPr>
      <w:rFonts w:ascii="Times New Roman" w:eastAsia="SimSun" w:hAnsi="Times New Roman" w:cs="Times New Roman"/>
      <w:kern w:val="0"/>
      <w:sz w:val="18"/>
      <w:szCs w:val="18"/>
      <w:lang w:eastAsia="en-US"/>
      <w14:ligatures w14:val="none"/>
    </w:rPr>
  </w:style>
  <w:style w:type="paragraph" w:styleId="Revision">
    <w:name w:val="Revision"/>
    <w:hidden/>
    <w:uiPriority w:val="99"/>
    <w:semiHidden/>
    <w:rsid w:val="00424333"/>
    <w:pPr>
      <w:spacing w:after="0" w:line="240" w:lineRule="auto"/>
    </w:pPr>
    <w:rPr>
      <w:rFonts w:ascii="Times New Roman" w:eastAsia="SimSun" w:hAnsi="Times New Roman" w:cs="Times New Roman"/>
      <w:kern w:val="0"/>
      <w:szCs w:val="20"/>
      <w:lang w:eastAsia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174A00"/>
  </w:style>
  <w:style w:type="character" w:styleId="CommentReference">
    <w:name w:val="annotation reference"/>
    <w:basedOn w:val="DefaultParagraphFont"/>
    <w:uiPriority w:val="99"/>
    <w:semiHidden/>
    <w:unhideWhenUsed/>
    <w:rsid w:val="004C6F7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F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F76"/>
    <w:rPr>
      <w:rFonts w:ascii="Times New Roman" w:eastAsia="SimSun" w:hAnsi="Times New Roman" w:cs="Times New Roman"/>
      <w:kern w:val="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F76"/>
    <w:rPr>
      <w:rFonts w:ascii="Times New Roman" w:eastAsia="SimSun" w:hAnsi="Times New Roman" w:cs="Times New Roman"/>
      <w:b/>
      <w:bCs/>
      <w:kern w:val="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76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76"/>
    <w:rPr>
      <w:rFonts w:ascii="Times New Roman" w:eastAsia="SimSun" w:hAnsi="Times New Roman" w:cs="Times New Roman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0D4FA-1F87-4406-A66E-A1FD6DB6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Shihua Lin</dc:creator>
  <cp:keywords/>
  <dc:description/>
  <cp:lastModifiedBy>Shihua Lin</cp:lastModifiedBy>
  <cp:revision>6</cp:revision>
  <dcterms:created xsi:type="dcterms:W3CDTF">2025-04-15T19:07:00Z</dcterms:created>
  <dcterms:modified xsi:type="dcterms:W3CDTF">2025-05-15T22:19:00Z</dcterms:modified>
</cp:coreProperties>
</file>