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E54AB">
      <w:pPr>
        <w:pStyle w:val="52"/>
        <w:rPr>
          <w:b w:val="0"/>
        </w:rPr>
      </w:pPr>
      <w:r>
        <w:t>Supplementary Material</w:t>
      </w:r>
    </w:p>
    <w:p w14:paraId="4CA30A66">
      <w:pPr>
        <w:pStyle w:val="18"/>
      </w:pPr>
      <w:r>
        <w:t>Preliminary analysis of intestinal flora characteristics in children with obstructive sleep apnea hypopnea syndrome</w:t>
      </w:r>
    </w:p>
    <w:p w14:paraId="01C8DF93">
      <w:pPr>
        <w:pStyle w:val="54"/>
        <w:widowControl/>
        <w:jc w:val="center"/>
        <w:rPr>
          <w:sz w:val="32"/>
          <w:szCs w:val="32"/>
          <w:lang w:val="en-US"/>
        </w:rPr>
      </w:pPr>
      <w:bookmarkStart w:id="0" w:name="_Hlk138255748"/>
      <w:bookmarkStart w:id="1" w:name="_Hlk196205839"/>
      <w:r>
        <w:rPr>
          <w:lang w:val="en-US"/>
        </w:rPr>
        <w:t>Z</w:t>
      </w:r>
      <w:r>
        <w:rPr>
          <w:lang w:val="en-US" w:eastAsia="zh-CN"/>
        </w:rPr>
        <w:t>hi</w:t>
      </w:r>
      <w:r>
        <w:rPr>
          <w:lang w:val="en-US"/>
        </w:rPr>
        <w:t>hui Wang</w:t>
      </w:r>
      <w:bookmarkEnd w:id="0"/>
      <w:r>
        <w:rPr>
          <w:vertAlign w:val="superscript"/>
          <w:lang w:val="en-US"/>
        </w:rPr>
        <w:t>1</w:t>
      </w:r>
      <w:r>
        <w:rPr>
          <w:vertAlign w:val="superscript"/>
          <w:lang w:val="en-US" w:eastAsia="zh-CN"/>
        </w:rPr>
        <w:t>,2</w:t>
      </w:r>
      <w:r>
        <w:rPr>
          <w:vertAlign w:val="superscript"/>
          <w:lang w:val="en-US"/>
        </w:rPr>
        <w:t>†</w:t>
      </w:r>
      <w:r>
        <w:rPr>
          <w:lang w:val="en-US"/>
        </w:rPr>
        <w:t>, Luting Zhou</w:t>
      </w:r>
      <w:r>
        <w:rPr>
          <w:vertAlign w:val="superscript"/>
          <w:lang w:val="en-US"/>
        </w:rPr>
        <w:t>1#</w:t>
      </w:r>
      <w:r>
        <w:rPr>
          <w:lang w:val="en-US"/>
        </w:rPr>
        <w:t>, Yanyu He</w:t>
      </w:r>
      <w:r>
        <w:rPr>
          <w:vertAlign w:val="superscript"/>
          <w:lang w:val="en-US"/>
        </w:rPr>
        <w:t>1</w:t>
      </w:r>
      <w:r>
        <w:rPr>
          <w:lang w:val="en-US"/>
        </w:rPr>
        <w:t>, Xueyun X</w:t>
      </w:r>
      <w:r>
        <w:rPr>
          <w:lang w:val="en-US" w:eastAsia="zh-CN"/>
        </w:rPr>
        <w:t>v</w:t>
      </w:r>
      <w:r>
        <w:rPr>
          <w:vertAlign w:val="superscript"/>
          <w:lang w:val="en-US"/>
        </w:rPr>
        <w:t>1</w:t>
      </w:r>
      <w:r>
        <w:rPr>
          <w:lang w:val="en-US"/>
        </w:rPr>
        <w:t>, Meng L</w:t>
      </w:r>
      <w:r>
        <w:rPr>
          <w:lang w:val="en-US" w:eastAsia="zh-CN"/>
        </w:rPr>
        <w:t>v</w:t>
      </w:r>
      <w:r>
        <w:rPr>
          <w:vertAlign w:val="superscript"/>
          <w:lang w:val="en-US"/>
        </w:rPr>
        <w:t>1</w:t>
      </w:r>
      <w:r>
        <w:rPr>
          <w:lang w:val="en-US"/>
        </w:rPr>
        <w:t>, Zhen Zhang</w:t>
      </w:r>
      <w:r>
        <w:rPr>
          <w:vertAlign w:val="superscript"/>
          <w:lang w:val="en-US"/>
        </w:rPr>
        <w:t>1</w:t>
      </w:r>
      <w:r>
        <w:rPr>
          <w:lang w:val="en-US"/>
        </w:rPr>
        <w:t>, Fengqian Wang</w:t>
      </w:r>
      <w:r>
        <w:rPr>
          <w:vertAlign w:val="superscript"/>
          <w:lang w:val="en-US"/>
        </w:rPr>
        <w:t>1</w:t>
      </w:r>
      <w:r>
        <w:rPr>
          <w:lang w:val="en-US"/>
        </w:rPr>
        <w:t>, Shuqi Wang</w:t>
      </w:r>
      <w:r>
        <w:rPr>
          <w:vertAlign w:val="superscript"/>
          <w:lang w:val="en-US"/>
        </w:rPr>
        <w:t>1</w:t>
      </w:r>
      <w:r>
        <w:rPr>
          <w:lang w:val="en-US"/>
        </w:rPr>
        <w:t>, Yuqing Wang</w:t>
      </w:r>
      <w:bookmarkStart w:id="2" w:name="_Hlk138238964"/>
      <w:r>
        <w:rPr>
          <w:vertAlign w:val="superscript"/>
          <w:lang w:val="en-US"/>
        </w:rPr>
        <w:t>1</w:t>
      </w:r>
      <w:bookmarkEnd w:id="2"/>
      <w:r>
        <w:rPr>
          <w:vertAlign w:val="superscript"/>
          <w:lang w:val="en-US"/>
        </w:rPr>
        <w:t>*</w:t>
      </w:r>
      <w:r>
        <w:rPr>
          <w:rFonts w:ascii="serif" w:hAnsi="serif" w:eastAsia="serif" w:cs="serif"/>
          <w:color w:val="6F6F6F"/>
          <w:sz w:val="11"/>
          <w:szCs w:val="11"/>
          <w:lang w:val="en-US"/>
        </w:rPr>
        <w:t xml:space="preserve"> </w:t>
      </w:r>
      <w:bookmarkEnd w:id="1"/>
    </w:p>
    <w:p w14:paraId="7348D2DD">
      <w:pPr>
        <w:keepNext w:val="0"/>
        <w:keepLines w:val="0"/>
        <w:widowControl/>
        <w:suppressLineNumbers w:val="0"/>
        <w:spacing w:before="240" w:beforeAutospacing="0" w:after="0" w:afterAutospacing="0"/>
        <w:ind w:left="0" w:right="0"/>
        <w:jc w:val="left"/>
        <w:rPr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 xml:space="preserve">Department of Respiration, Children’s Hospital of </w:t>
      </w:r>
      <w:bookmarkStart w:id="3" w:name="OLE_LINK4"/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Soochow University</w:t>
      </w:r>
      <w:bookmarkEnd w:id="3"/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, No.303 Jing De Road, Suzhou 215003, China</w:t>
      </w:r>
    </w:p>
    <w:p w14:paraId="6715F92A">
      <w:pPr>
        <w:keepNext w:val="0"/>
        <w:keepLines w:val="0"/>
        <w:widowControl/>
        <w:suppressLineNumbers w:val="0"/>
        <w:spacing w:before="240" w:beforeAutospacing="0" w:after="0" w:afterAutospacing="0"/>
        <w:ind w:left="0" w:right="0"/>
        <w:jc w:val="left"/>
        <w:rPr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Jinan Maternity And Child Care Hospital Affiliated to Shandong First Medical University, No.22029,</w:t>
      </w:r>
      <w:r>
        <w:rPr>
          <w:rFonts w:hint="default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Jing Shi Road, Jinan 250000, China</w:t>
      </w:r>
    </w:p>
    <w:p w14:paraId="26F2D887">
      <w:pPr>
        <w:keepNext w:val="0"/>
        <w:keepLines w:val="0"/>
        <w:widowControl/>
        <w:suppressLineNumbers w:val="0"/>
        <w:spacing w:before="240" w:beforeAutospacing="0" w:after="0" w:afterAutospacing="0"/>
        <w:ind w:left="0" w:right="0"/>
        <w:jc w:val="left"/>
        <w:rPr>
          <w:rFonts w:cs="Times New Roman"/>
          <w:szCs w:val="24"/>
          <w:lang w:val="en-US"/>
        </w:rPr>
      </w:pPr>
      <w:bookmarkStart w:id="4" w:name="_GoBack"/>
      <w:bookmarkEnd w:id="4"/>
      <w:r>
        <w:rPr>
          <w:rFonts w:hint="default" w:ascii="Times New Roman" w:hAnsi="Times New Roman" w:eastAsia="宋体" w:cs="Times New Roman"/>
          <w:b/>
          <w:bCs w:val="0"/>
          <w:kern w:val="0"/>
          <w:sz w:val="24"/>
          <w:szCs w:val="24"/>
          <w:lang w:val="en-US" w:eastAsia="zh-CN" w:bidi="ar"/>
        </w:rPr>
        <w:t xml:space="preserve">* Correspondence: </w:t>
      </w:r>
      <w:r>
        <w:rPr>
          <w:rFonts w:hint="default" w:ascii="Times New Roman" w:hAnsi="Times New Roman" w:eastAsia="宋体" w:cs="Times New Roman"/>
          <w:b/>
          <w:bCs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Corresponding Author</w:t>
      </w:r>
      <w:r>
        <w:rPr>
          <w:rFonts w:hint="default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Yuqing Wang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email: wang_yu_qing@126.com</w:t>
      </w:r>
    </w:p>
    <w:p w14:paraId="2CB08F45">
      <w:pPr>
        <w:keepNext w:val="0"/>
        <w:keepLines w:val="0"/>
        <w:widowControl/>
        <w:suppressLineNumbers w:val="0"/>
        <w:spacing w:before="240" w:beforeAutospacing="0" w:after="0" w:afterAutospacing="0"/>
        <w:ind w:left="0" w:right="0"/>
        <w:jc w:val="left"/>
        <w:rPr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vertAlign w:val="superscript"/>
          <w:lang w:val="en-US" w:eastAsia="zh-CN" w:bidi="ar"/>
        </w:rPr>
        <w:t>†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The author is first authorship.</w:t>
      </w:r>
    </w:p>
    <w:p w14:paraId="6545BF88">
      <w:pPr>
        <w:keepNext w:val="0"/>
        <w:keepLines w:val="0"/>
        <w:widowControl/>
        <w:suppressLineNumbers w:val="0"/>
        <w:spacing w:before="240" w:beforeAutospacing="0" w:after="0" w:afterAutospacing="0"/>
        <w:ind w:left="0" w:right="0"/>
        <w:jc w:val="left"/>
        <w:rPr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vertAlign w:val="superscript"/>
          <w:lang w:val="en-US" w:eastAsia="zh-CN" w:bidi="ar"/>
        </w:rPr>
        <w:t>#</w:t>
      </w:r>
      <w:r>
        <w:rPr>
          <w:rFonts w:hint="default" w:ascii="Times New Roman" w:hAnsi="Times New Roman" w:eastAsia="宋体" w:cs="Times New Roman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t>The author is co-first authorship.</w:t>
      </w:r>
    </w:p>
    <w:p w14:paraId="11EC8DA1">
      <w:pPr>
        <w:pStyle w:val="4"/>
        <w:numPr>
          <w:ilvl w:val="0"/>
          <w:numId w:val="0"/>
        </w:numPr>
        <w:ind w:left="567" w:hanging="567"/>
      </w:pPr>
      <w:r>
        <w:t xml:space="preserve">Supplementary Figures  </w:t>
      </w:r>
    </w:p>
    <w:p w14:paraId="6F80299C">
      <w:pPr>
        <w:jc w:val="center"/>
        <w:rPr>
          <w:rFonts w:cs="Times New Roman"/>
          <w:b/>
          <w:bCs/>
          <w:szCs w:val="24"/>
        </w:rPr>
      </w:pPr>
      <w:r>
        <w:rPr>
          <w:rFonts w:hint="eastAsia" w:cs="Times New Roman"/>
          <w:b/>
          <w:bCs/>
          <w:szCs w:val="24"/>
        </w:rPr>
        <w:drawing>
          <wp:inline distT="0" distB="0" distL="0" distR="0">
            <wp:extent cx="4797425" cy="2740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73" cy="27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520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Figure 1. </w:t>
      </w:r>
      <w:r>
        <w:rPr>
          <w:rFonts w:cs="Times New Roman"/>
          <w:szCs w:val="24"/>
        </w:rPr>
        <w:t>Rarefaction Curve: The curve directly reflects the rationality of the detected sequencing data and indirectly reflects the richness of species.</w:t>
      </w:r>
      <w:r>
        <w:t xml:space="preserve"> </w:t>
      </w:r>
      <w:r>
        <w:rPr>
          <w:rFonts w:cs="Times New Roman"/>
          <w:szCs w:val="24"/>
        </w:rPr>
        <w:t>The curve of each sample tended to be flat, indicating that the amount of measured data was saturated and the sequencing depth reached a very high level.</w:t>
      </w:r>
    </w:p>
    <w:p w14:paraId="3EA4A8AA">
      <w:pPr>
        <w:widowControl w:val="0"/>
        <w:spacing w:before="0" w:after="0" w:line="360" w:lineRule="auto"/>
        <w:ind w:firstLine="480" w:firstLineChars="20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459990" cy="1993900"/>
            <wp:effectExtent l="0" t="0" r="0" b="6350"/>
            <wp:docPr id="1449920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20600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75" cy="200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420620" cy="2012950"/>
            <wp:effectExtent l="0" t="0" r="0" b="6350"/>
            <wp:docPr id="778882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82251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32" cy="20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4D49">
      <w:pPr>
        <w:widowControl w:val="0"/>
        <w:spacing w:before="0" w:after="0" w:line="360" w:lineRule="auto"/>
        <w:ind w:firstLine="600" w:firstLineChars="250"/>
        <w:jc w:val="both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599055" cy="1941830"/>
            <wp:effectExtent l="0" t="0" r="0" b="1270"/>
            <wp:docPr id="9907086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8602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27" cy="194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235200" cy="1828165"/>
            <wp:effectExtent l="0" t="0" r="0" b="635"/>
            <wp:docPr id="19341099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09919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19" cy="18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C6F5">
      <w:pPr>
        <w:widowControl w:val="0"/>
        <w:spacing w:before="0" w:after="0" w:line="360" w:lineRule="auto"/>
        <w:ind w:firstLine="480" w:firstLineChars="200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560955" cy="2006600"/>
            <wp:effectExtent l="0" t="0" r="0" b="0"/>
            <wp:docPr id="19708101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10171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83" cy="20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kern w:val="2"/>
          <w:szCs w:val="24"/>
          <w:lang w:eastAsia="zh-CN"/>
        </w:rPr>
        <w:drawing>
          <wp:inline distT="0" distB="0" distL="0" distR="0">
            <wp:extent cx="2313305" cy="1966595"/>
            <wp:effectExtent l="0" t="0" r="0" b="0"/>
            <wp:docPr id="14893180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18053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53" cy="200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6BE2">
      <w:pPr>
        <w:spacing w:before="0" w:after="0" w:line="360" w:lineRule="auto"/>
        <w:ind w:firstLine="482" w:firstLineChars="200"/>
        <w:rPr>
          <w:rFonts w:eastAsia="宋体" w:cs="Times New Roman"/>
          <w:b/>
          <w:bCs/>
          <w:szCs w:val="24"/>
          <w:lang w:eastAsia="zh-CN"/>
        </w:rPr>
      </w:pP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524760" cy="1953895"/>
            <wp:effectExtent l="0" t="0" r="8890" b="8255"/>
            <wp:docPr id="10549604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60438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95" cy="19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482850" cy="1991360"/>
            <wp:effectExtent l="0" t="0" r="0" b="8890"/>
            <wp:docPr id="18843340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34056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37" cy="20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B6DC">
      <w:pPr>
        <w:spacing w:before="0" w:after="0" w:line="360" w:lineRule="auto"/>
        <w:ind w:left="240" w:leftChars="100" w:firstLine="361" w:firstLineChars="150"/>
        <w:rPr>
          <w:lang w:eastAsia="zh-CN"/>
        </w:rPr>
      </w:pP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515870" cy="2138045"/>
            <wp:effectExtent l="0" t="0" r="0" b="0"/>
            <wp:docPr id="2938333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3357" name="图片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21" cy="21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435225" cy="1969770"/>
            <wp:effectExtent l="0" t="0" r="3175" b="0"/>
            <wp:docPr id="10493756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75639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87" cy="200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594610" cy="2191385"/>
            <wp:effectExtent l="0" t="0" r="0" b="0"/>
            <wp:docPr id="19791621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62159" name="图片 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14" cy="224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cs="Times New Roman"/>
          <w:b/>
          <w:bCs/>
          <w:szCs w:val="24"/>
          <w:lang w:eastAsia="zh-CN"/>
        </w:rPr>
        <w:drawing>
          <wp:inline distT="0" distB="0" distL="0" distR="0">
            <wp:extent cx="2547620" cy="2195195"/>
            <wp:effectExtent l="0" t="0" r="5080" b="0"/>
            <wp:docPr id="4131040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04018" name="图片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35" cy="21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F620">
      <w:pPr>
        <w:spacing w:before="0" w:after="0" w:line="360" w:lineRule="auto"/>
        <w:rPr>
          <w:lang w:eastAsia="zh-CN"/>
        </w:rPr>
      </w:pPr>
      <w:r>
        <w:rPr>
          <w:b/>
          <w:bCs/>
        </w:rPr>
        <w:t xml:space="preserve">Supplementary Figure 2. </w:t>
      </w:r>
      <w:r>
        <w:t xml:space="preserve"> Analysis of Alpha diversity. </w:t>
      </w:r>
    </w:p>
    <w:p w14:paraId="7A823284">
      <w:pPr>
        <w:spacing w:before="0" w:after="0" w:line="360" w:lineRule="auto"/>
      </w:pPr>
      <w:r>
        <w:rPr>
          <w:rFonts w:hint="eastAsia"/>
        </w:rPr>
        <w:t>Note: A-F shows the alpha diversity of groups C, T, and H; G-L shows the alpha diversity of groups T1 and T2; C: control group, T: OSAHS group, H: simple snoring group,T1: mild OSAHS group, T2: moderate to severe OSAHS group; ★：P＜0.05.</w:t>
      </w:r>
    </w:p>
    <w:p w14:paraId="22026DB2">
      <w:pPr>
        <w:jc w:val="both"/>
        <w:rPr>
          <w:rFonts w:cs="Times New Roman"/>
          <w:szCs w:val="24"/>
        </w:rPr>
      </w:pPr>
    </w:p>
    <w:p w14:paraId="4C8338D8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3632200" cy="2272665"/>
            <wp:effectExtent l="0" t="0" r="6350" b="0"/>
            <wp:docPr id="1134692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92850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16" cy="231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590B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3805555" cy="2306955"/>
            <wp:effectExtent l="0" t="0" r="4445" b="0"/>
            <wp:docPr id="19958590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59015" name="图片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23" cy="23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78E3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3625850" cy="2271395"/>
            <wp:effectExtent l="0" t="0" r="0" b="0"/>
            <wp:docPr id="20363791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9144" name="图片 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44" cy="22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F00A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drawing>
          <wp:inline distT="0" distB="0" distL="0" distR="0">
            <wp:extent cx="3587750" cy="2146300"/>
            <wp:effectExtent l="0" t="0" r="0" b="6350"/>
            <wp:docPr id="2398859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85917" name="图片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264" cy="21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3F09">
      <w:pPr>
        <w:keepNext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3.</w:t>
      </w:r>
      <w:r>
        <w:rPr>
          <w:rFonts w:cs="Times New Roman"/>
          <w:szCs w:val="24"/>
        </w:rPr>
        <w:t xml:space="preserve"> Histogram of species classification; Class (A), Order (B), Family(C) and Species(D) levels. Note: C: control group, T: OSAHS group, H: simple snoring group; In the figure, the horizontal axis is the grouping, and the vertical axis is the relative abundance of a bacterial group. Different colors correspond to different species at the same level.</w:t>
      </w:r>
    </w:p>
    <w:p w14:paraId="0C27EC8F">
      <w:pPr>
        <w:spacing w:before="240"/>
      </w:pPr>
    </w:p>
    <w:p w14:paraId="49CFC9D9">
      <w:pPr>
        <w:spacing w:before="240"/>
      </w:pPr>
      <w:r>
        <w:drawing>
          <wp:inline distT="0" distB="0" distL="0" distR="0">
            <wp:extent cx="5114925" cy="3350260"/>
            <wp:effectExtent l="0" t="0" r="9525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r="3596"/>
                    <a:stretch>
                      <a:fillRect/>
                    </a:stretch>
                  </pic:blipFill>
                  <pic:spPr>
                    <a:xfrm>
                      <a:off x="0" y="0"/>
                      <a:ext cx="5148331" cy="3372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9934">
      <w:pPr>
        <w:spacing w:before="240"/>
      </w:pPr>
      <w:r>
        <w:rPr>
          <w:rFonts w:cs="Times New Roman"/>
          <w:b/>
          <w:szCs w:val="24"/>
        </w:rPr>
        <w:t>Supplementary Figure 4.</w:t>
      </w:r>
      <w:r>
        <w:t xml:space="preserve"> Histogram of LDA distribution: Comparison of mild OSAHS group and moderate to severe OSAHS group. Note: Relative abundance of the most discriminant fecal metabolites according to LEfSe. T1</w:t>
      </w:r>
      <w:r>
        <w:rPr>
          <w:rFonts w:hint="eastAsia"/>
          <w:lang w:eastAsia="zh-CN"/>
        </w:rPr>
        <w:t>:</w:t>
      </w:r>
      <w:r>
        <w:t xml:space="preserve"> mild OSAHS group.</w:t>
      </w:r>
    </w:p>
    <w:p w14:paraId="3B72176A">
      <w:pPr>
        <w:spacing w:before="240"/>
      </w:pPr>
    </w:p>
    <w:p w14:paraId="46EDBAEE">
      <w:pPr>
        <w:spacing w:before="240"/>
      </w:pPr>
    </w:p>
    <w:p w14:paraId="277D42D4">
      <w:pPr>
        <w:spacing w:before="240"/>
      </w:pPr>
    </w:p>
    <w:p w14:paraId="50B394B5">
      <w:pPr>
        <w:spacing w:before="240"/>
      </w:pPr>
    </w:p>
    <w:p w14:paraId="45BF97EF">
      <w:pPr>
        <w:spacing w:before="240"/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86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2FF27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85E15E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28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D054D2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1EDB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1A5B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0299C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7309"/>
    <w:rsid w:val="00256497"/>
    <w:rsid w:val="00262C7B"/>
    <w:rsid w:val="00267D18"/>
    <w:rsid w:val="002868E2"/>
    <w:rsid w:val="002869C3"/>
    <w:rsid w:val="002936E4"/>
    <w:rsid w:val="002B4A57"/>
    <w:rsid w:val="002C74CA"/>
    <w:rsid w:val="003013C8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72269"/>
    <w:rsid w:val="006738AA"/>
    <w:rsid w:val="006820B1"/>
    <w:rsid w:val="006B7D14"/>
    <w:rsid w:val="00701727"/>
    <w:rsid w:val="0070566C"/>
    <w:rsid w:val="00714C50"/>
    <w:rsid w:val="00725A7D"/>
    <w:rsid w:val="00731039"/>
    <w:rsid w:val="007501BE"/>
    <w:rsid w:val="00790BB3"/>
    <w:rsid w:val="007A338D"/>
    <w:rsid w:val="007C206C"/>
    <w:rsid w:val="00803D24"/>
    <w:rsid w:val="00817DD6"/>
    <w:rsid w:val="00885156"/>
    <w:rsid w:val="008F2DB5"/>
    <w:rsid w:val="009151AA"/>
    <w:rsid w:val="0093429D"/>
    <w:rsid w:val="00943573"/>
    <w:rsid w:val="00956D5A"/>
    <w:rsid w:val="00970F7D"/>
    <w:rsid w:val="00994A3D"/>
    <w:rsid w:val="009C126E"/>
    <w:rsid w:val="009C2B12"/>
    <w:rsid w:val="009C70F3"/>
    <w:rsid w:val="00A174D9"/>
    <w:rsid w:val="00A569CD"/>
    <w:rsid w:val="00AB6715"/>
    <w:rsid w:val="00B07D25"/>
    <w:rsid w:val="00B1671E"/>
    <w:rsid w:val="00B25EB8"/>
    <w:rsid w:val="00B354E1"/>
    <w:rsid w:val="00B37F4D"/>
    <w:rsid w:val="00BF11C4"/>
    <w:rsid w:val="00C07898"/>
    <w:rsid w:val="00C52A7B"/>
    <w:rsid w:val="00C56BAF"/>
    <w:rsid w:val="00C679AA"/>
    <w:rsid w:val="00C75972"/>
    <w:rsid w:val="00CC0A3A"/>
    <w:rsid w:val="00CD066B"/>
    <w:rsid w:val="00CE4FEE"/>
    <w:rsid w:val="00D74BF8"/>
    <w:rsid w:val="00DA40E9"/>
    <w:rsid w:val="00DB59C3"/>
    <w:rsid w:val="00DC259A"/>
    <w:rsid w:val="00DD0FFE"/>
    <w:rsid w:val="00DE23E8"/>
    <w:rsid w:val="00E52377"/>
    <w:rsid w:val="00E64E17"/>
    <w:rsid w:val="00E866C9"/>
    <w:rsid w:val="00E96934"/>
    <w:rsid w:val="00EA3D3C"/>
    <w:rsid w:val="00F46900"/>
    <w:rsid w:val="00F61D89"/>
    <w:rsid w:val="00F91294"/>
    <w:rsid w:val="0984623B"/>
    <w:rsid w:val="21D3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mbria" w:hAnsi="Cambria" w:eastAsia="Cambria" w:cs="Cambria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mbria" w:hAnsi="Cambria" w:eastAsia="Cambria" w:cs="Cambria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customStyle="1" w:styleId="54">
    <w:name w:val="Author List1"/>
    <w:basedOn w:val="15"/>
    <w:next w:val="1"/>
    <w:uiPriority w:val="0"/>
    <w:pPr>
      <w:keepNext w:val="0"/>
      <w:keepLines w:val="0"/>
      <w:widowControl/>
      <w:suppressLineNumbers w:val="0"/>
      <w:spacing w:before="240" w:beforeAutospacing="0" w:after="240" w:afterAutospacing="0"/>
      <w:ind w:left="0" w:right="0"/>
      <w:jc w:val="left"/>
    </w:pPr>
    <w:rPr>
      <w:rFonts w:hint="default" w:ascii="Times New Roman" w:hAnsi="Times New Roman" w:eastAsia="宋体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6.xml"/><Relationship Id="rId33" Type="http://schemas.openxmlformats.org/officeDocument/2006/relationships/customXml" Target="../customXml/item5.xml"/><Relationship Id="rId32" Type="http://schemas.openxmlformats.org/officeDocument/2006/relationships/customXml" Target="../customXml/item4.xml"/><Relationship Id="rId31" Type="http://schemas.openxmlformats.org/officeDocument/2006/relationships/customXml" Target="../customXml/item3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/>
</ds:datastoreItem>
</file>

<file path=customXml/itemProps3.xml><?xml version="1.0" encoding="utf-8"?>
<ds:datastoreItem xmlns:ds="http://schemas.openxmlformats.org/officeDocument/2006/customXml" ds:itemID="{2558679B-78FB-42CD-A1EA-A99096AF5568}">
  <ds:schemaRefs/>
</ds:datastoreItem>
</file>

<file path=customXml/itemProps4.xml><?xml version="1.0" encoding="utf-8"?>
<ds:datastoreItem xmlns:ds="http://schemas.openxmlformats.org/officeDocument/2006/customXml" ds:itemID="{114314AF-3C36-4C2C-B599-40A76C6FFFC1}">
  <ds:schemaRefs/>
</ds:datastoreItem>
</file>

<file path=customXml/itemProps5.xml><?xml version="1.0" encoding="utf-8"?>
<ds:datastoreItem xmlns:ds="http://schemas.openxmlformats.org/officeDocument/2006/customXml" ds:itemID="{DFF441E3-103C-4487-877D-08CD22337C19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5</Pages>
  <Words>278</Words>
  <Characters>1576</Characters>
  <Lines>12</Lines>
  <Paragraphs>3</Paragraphs>
  <TotalTime>78</TotalTime>
  <ScaleCrop>false</ScaleCrop>
  <LinksUpToDate>false</LinksUpToDate>
  <CharactersWithSpaces>1840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2023-06-23T08:07:00Z</dcterms:created>
  <dc:creator>Frontiers</dc:creator>
  <cp:lastModifiedBy>W</cp:lastModifiedBy>
  <cp:lastPrinted>2013-10-03T12:51:00Z</cp:lastPrinted>
  <dcterms:modified xsi:type="dcterms:W3CDTF">2025-06-22T06:56:02Z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eyJoZGlkIjoiODViY2JkMjU3NGYzZTEwMzZmMGFkZWViYmNkYWU3NDIiLCJ1c2VySWQiOiIzNjIzMzc3MjQifQ==</vt:lpwstr>
  </property>
  <property fmtid="{D5CDD505-2E9C-101B-9397-08002B2CF9AE}" pid="11" name="KSOProductBuildVer">
    <vt:lpwstr>2052-12.1.0.21541</vt:lpwstr>
  </property>
  <property fmtid="{D5CDD505-2E9C-101B-9397-08002B2CF9AE}" pid="12" name="ICV">
    <vt:lpwstr>6DFF6B18F6A0488C90116DD2026CBF27_12</vt:lpwstr>
  </property>
</Properties>
</file>