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DC1BC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149215" cy="7193280"/>
            <wp:effectExtent l="0" t="0" r="13335" b="7620"/>
            <wp:docPr id="5596884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88414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B65D">
      <w:pPr>
        <w:rPr>
          <w:rFonts w:hint="default" w:ascii="Times New Roman" w:hAnsi="Times New Roman" w:cs="Times New Roman"/>
          <w:b/>
          <w:bCs/>
        </w:rPr>
      </w:pPr>
      <w:bookmarkStart w:id="0" w:name="OLE_LINK2"/>
      <w:r>
        <w:rPr>
          <w:rFonts w:hint="default" w:ascii="Times New Roman" w:hAnsi="Times New Roman" w:cs="Times New Roman"/>
          <w:b/>
          <w:bCs/>
        </w:rPr>
        <w:t>Supplementary Figure 1.</w:t>
      </w:r>
      <w:bookmarkEnd w:id="0"/>
      <w:r>
        <w:rPr>
          <w:rFonts w:hint="default" w:ascii="Times New Roman" w:hAnsi="Times New Roman" w:cs="Times New Roman"/>
          <w:b/>
          <w:bCs/>
        </w:rPr>
        <w:t xml:space="preserve"> Study design of the present study.</w:t>
      </w:r>
    </w:p>
    <w:p w14:paraId="48FA4DC5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Pregnant mice at gestational day (GD) 0.5 were divided into three groups: Control group: fed a normal diet; LPS group: fed a normal diet; PQQ group: fed a PQQ-supplemented diet (5 mg/kg diet). At GD 16.5, pregnant mice in the LPS and PQQ groups received LPS treatment.</w:t>
      </w:r>
      <w:r>
        <w:rPr>
          <w:rFonts w:hint="eastAsia" w:ascii="Times New Roman" w:hAnsi="Times New Roman" w:cs="Times New Roman"/>
          <w:lang w:val="en-US" w:eastAsia="zh-CN"/>
        </w:rPr>
        <w:t xml:space="preserve"> (A) </w:t>
      </w:r>
      <w:r>
        <w:rPr>
          <w:rFonts w:hint="default" w:ascii="Times New Roman" w:hAnsi="Times New Roman" w:cs="Times New Roman"/>
        </w:rPr>
        <w:t>Labor time was monitored. (B) At GD 17.5, pregnant mice were sacrificed for further analysis.</w:t>
      </w:r>
    </w:p>
    <w:p w14:paraId="5E1F3641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5793740"/>
            <wp:effectExtent l="0" t="0" r="2540" b="0"/>
            <wp:docPr id="17558659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65917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5C2A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Supplementary Figure 2. PQQ did not provide protective effects with a high dose of LPS.</w:t>
      </w:r>
    </w:p>
    <w:p w14:paraId="3D0FAD0E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(A) Mice received either normal saline or LPS (6 µg/mouse), and the time to labor after treatment was recorded. N=3 pregnant mice from each group. (B) Twenty-four hours post-treatment, for mice that had delivered, the number of surviving and deceased fetuses was recorded. For still-pregnant mice, the animals were sacrificed, and fetuses were collected to assess survival in utero. N=4 pregnant mice for LPS group and N=3 pregnant mice for PQQ group. (C) Preterm fetuses delivered enclosed within intact amniotic sacs. The yellow arrow indicates a fetus contained within an unruptured amniotic sac. (D) Twenty-four hours post-treatment, placentas were collected and subjected to hematoxylin and eosin staining to display the placental structure. N=2 placentas from 2 pregnant mice for each group. The area within the black rectangle is magnified in the corresponding images on the right.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011"/>
    <w:rsid w:val="00226544"/>
    <w:rsid w:val="00580E69"/>
    <w:rsid w:val="006C0116"/>
    <w:rsid w:val="008D7E4D"/>
    <w:rsid w:val="008E3ADF"/>
    <w:rsid w:val="00AC1011"/>
    <w:rsid w:val="00F82DDE"/>
    <w:rsid w:val="1FCE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222</Words>
  <Characters>1177</Characters>
  <Lines>9</Lines>
  <Paragraphs>2</Paragraphs>
  <TotalTime>33</TotalTime>
  <ScaleCrop>false</ScaleCrop>
  <LinksUpToDate>false</LinksUpToDate>
  <CharactersWithSpaces>1394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2025-06-16T11:49:00Z</dcterms:created>
  <dc:creator>Administrator</dc:creator>
  <cp:lastModifiedBy>dexy</cp:lastModifiedBy>
  <dcterms:modified xsi:type="dcterms:W3CDTF">2025-06-18T12:16:20Z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eyJoZGlkIjoiMjdjMzBlYjUxYWFlOWY3ZGZmOWFhNDE1MmRmZmU4YjQiLCJ1c2VySWQiOiIyNjc3ODI0MjEifQ==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27DFF8F86917442A900ACEEAF3962F01_12</vt:lpwstr>
  </property>
</Properties>
</file>