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A50F2" w14:textId="39D896CF" w:rsidR="00770C08" w:rsidRPr="009B406A" w:rsidRDefault="00F6798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</w:t>
      </w:r>
      <w:r w:rsidR="000A7DA2">
        <w:rPr>
          <w:rFonts w:ascii="Times New Roman" w:hAnsi="Times New Roman" w:cs="Times New Roman"/>
          <w:b/>
          <w:bCs/>
          <w:lang w:val="en-US"/>
        </w:rPr>
        <w:t>upplementary Material</w:t>
      </w:r>
      <w:r w:rsidR="00566557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0674E1">
        <w:rPr>
          <w:rFonts w:ascii="Times New Roman" w:hAnsi="Times New Roman" w:cs="Times New Roman"/>
          <w:b/>
          <w:bCs/>
          <w:lang w:val="en-US"/>
        </w:rPr>
        <w:t>C</w:t>
      </w:r>
      <w:r w:rsidR="009B406A" w:rsidRPr="009B406A">
        <w:rPr>
          <w:rFonts w:ascii="Times New Roman" w:hAnsi="Times New Roman" w:cs="Times New Roman"/>
          <w:lang w:val="en-US"/>
        </w:rPr>
        <w:t xml:space="preserve">. </w:t>
      </w:r>
      <w:r w:rsidR="00D31F8F">
        <w:rPr>
          <w:rFonts w:ascii="Times New Roman" w:hAnsi="Times New Roman" w:cs="Times New Roman"/>
          <w:lang w:val="en-US"/>
        </w:rPr>
        <w:t>Most cited</w:t>
      </w:r>
      <w:r w:rsidR="009B406A" w:rsidRPr="009B406A">
        <w:rPr>
          <w:rFonts w:ascii="Times New Roman" w:hAnsi="Times New Roman" w:cs="Times New Roman"/>
          <w:lang w:val="en-US"/>
        </w:rPr>
        <w:t xml:space="preserve"> articles from the data set: Data analysis methods</w:t>
      </w:r>
    </w:p>
    <w:p w14:paraId="28BDEB69" w14:textId="78567D60" w:rsidR="009B406A" w:rsidRPr="009B406A" w:rsidRDefault="00391635" w:rsidP="009B406A">
      <w:pPr>
        <w:rPr>
          <w:rFonts w:ascii="Times New Roman" w:eastAsia="Times New Roman" w:hAnsi="Times New Roman" w:cs="Times New Roman"/>
          <w:i/>
          <w:iCs/>
          <w:color w:val="000000"/>
          <w:lang w:val="en-US" w:eastAsia="nl-NL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vertAlign w:val="superscript"/>
          <w:lang w:val="en-US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2D226" wp14:editId="2914B2E7">
                <wp:simplePos x="0" y="0"/>
                <wp:positionH relativeFrom="column">
                  <wp:posOffset>-45720</wp:posOffset>
                </wp:positionH>
                <wp:positionV relativeFrom="paragraph">
                  <wp:posOffset>7843520</wp:posOffset>
                </wp:positionV>
                <wp:extent cx="6105525" cy="0"/>
                <wp:effectExtent l="0" t="0" r="3175" b="12700"/>
                <wp:wrapNone/>
                <wp:docPr id="1655243932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A14BE6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6pt,617.6pt" to="477.15pt,6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" strokecolor="white [3212]" strokeweight="1pt">
                <v:stroke dashstyle="dash" joinstyle="miter"/>
              </v:line>
            </w:pict>
          </mc:Fallback>
        </mc:AlternateContent>
      </w:r>
    </w:p>
    <w:tbl>
      <w:tblPr>
        <w:tblW w:w="94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3160"/>
        <w:gridCol w:w="534"/>
        <w:gridCol w:w="567"/>
        <w:gridCol w:w="850"/>
        <w:gridCol w:w="1418"/>
        <w:gridCol w:w="1690"/>
      </w:tblGrid>
      <w:tr w:rsidR="00D31F8F" w:rsidRPr="009B406A" w14:paraId="4BBBC6E6" w14:textId="77777777" w:rsidTr="00E253B3">
        <w:trPr>
          <w:trHeight w:val="300"/>
        </w:trPr>
        <w:tc>
          <w:tcPr>
            <w:tcW w:w="1260" w:type="dxa"/>
            <w:vMerge w:val="restart"/>
            <w:shd w:val="clear" w:color="000000" w:fill="D9D9D9" w:themeFill="background1" w:themeFillShade="D9"/>
            <w:noWrap/>
          </w:tcPr>
          <w:p w14:paraId="18FCD18C" w14:textId="29E95122" w:rsidR="00D31F8F" w:rsidRPr="0078112D" w:rsidRDefault="00DC5166" w:rsidP="0078112D">
            <w:pPr>
              <w:spacing w:before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l-NL"/>
              </w:rPr>
              <w:t>Article</w:t>
            </w:r>
            <w:r w:rsidR="007811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nl-NL"/>
              </w:rPr>
              <w:t xml:space="preserve"> </w:t>
            </w:r>
            <w:r w:rsidR="006D1E1C" w:rsidRPr="007811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nl-NL"/>
              </w:rPr>
              <w:t>(1)</w:t>
            </w:r>
          </w:p>
        </w:tc>
        <w:tc>
          <w:tcPr>
            <w:tcW w:w="3268" w:type="dxa"/>
            <w:vMerge w:val="restart"/>
            <w:shd w:val="clear" w:color="000000" w:fill="D9D9D9" w:themeFill="background1" w:themeFillShade="D9"/>
          </w:tcPr>
          <w:p w14:paraId="35FF9664" w14:textId="76DA5FC9" w:rsidR="00D31F8F" w:rsidRPr="0078112D" w:rsidRDefault="00D31F8F" w:rsidP="006D1E1C">
            <w:pPr>
              <w:spacing w:before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7811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l-NL"/>
              </w:rPr>
              <w:t xml:space="preserve">Topic </w:t>
            </w:r>
          </w:p>
        </w:tc>
        <w:tc>
          <w:tcPr>
            <w:tcW w:w="993" w:type="dxa"/>
            <w:gridSpan w:val="2"/>
            <w:shd w:val="clear" w:color="000000" w:fill="D9D9D9" w:themeFill="background1" w:themeFillShade="D9"/>
            <w:noWrap/>
            <w:vAlign w:val="bottom"/>
          </w:tcPr>
          <w:p w14:paraId="29394C74" w14:textId="77777777" w:rsidR="00D31F8F" w:rsidRPr="009B406A" w:rsidRDefault="00D31F8F" w:rsidP="00D31F8F">
            <w:pPr>
              <w:spacing w:after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l-NL"/>
              </w:rPr>
              <w:t>Citations</w:t>
            </w:r>
          </w:p>
        </w:tc>
        <w:tc>
          <w:tcPr>
            <w:tcW w:w="3958" w:type="dxa"/>
            <w:gridSpan w:val="3"/>
            <w:shd w:val="clear" w:color="000000" w:fill="D9D9D9" w:themeFill="background1" w:themeFillShade="D9"/>
            <w:noWrap/>
            <w:vAlign w:val="bottom"/>
          </w:tcPr>
          <w:p w14:paraId="1636B49E" w14:textId="77777777" w:rsidR="00D31F8F" w:rsidRPr="009B406A" w:rsidRDefault="00D31F8F" w:rsidP="00D31F8F">
            <w:pPr>
              <w:spacing w:after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l-NL"/>
              </w:rPr>
              <w:t>Data analysis methods</w:t>
            </w:r>
          </w:p>
        </w:tc>
      </w:tr>
      <w:tr w:rsidR="00D31F8F" w:rsidRPr="009B406A" w14:paraId="20EAD1D8" w14:textId="77777777" w:rsidTr="00E253B3">
        <w:trPr>
          <w:trHeight w:val="300"/>
        </w:trPr>
        <w:tc>
          <w:tcPr>
            <w:tcW w:w="1260" w:type="dxa"/>
            <w:vMerge/>
            <w:shd w:val="clear" w:color="000000" w:fill="D9D9D9" w:themeFill="background1" w:themeFillShade="D9"/>
            <w:noWrap/>
            <w:vAlign w:val="bottom"/>
            <w:hideMark/>
          </w:tcPr>
          <w:p w14:paraId="7DCA338D" w14:textId="77777777" w:rsidR="00D31F8F" w:rsidRPr="009B406A" w:rsidRDefault="00D31F8F" w:rsidP="00D85F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3268" w:type="dxa"/>
            <w:vMerge/>
            <w:shd w:val="clear" w:color="000000" w:fill="D9D9D9" w:themeFill="background1" w:themeFillShade="D9"/>
            <w:vAlign w:val="bottom"/>
          </w:tcPr>
          <w:p w14:paraId="5128ABCC" w14:textId="77777777" w:rsidR="00D31F8F" w:rsidRPr="009B406A" w:rsidRDefault="00D31F8F" w:rsidP="00D85F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26" w:type="dxa"/>
            <w:shd w:val="clear" w:color="000000" w:fill="D9D9D9" w:themeFill="background1" w:themeFillShade="D9"/>
            <w:noWrap/>
            <w:hideMark/>
          </w:tcPr>
          <w:p w14:paraId="20538974" w14:textId="77777777" w:rsidR="00D31F8F" w:rsidRPr="006D1E1C" w:rsidRDefault="00D31F8F" w:rsidP="006D1E1C">
            <w:pPr>
              <w:spacing w:after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6D1E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l-NL"/>
              </w:rPr>
              <w:t>Total</w:t>
            </w:r>
          </w:p>
        </w:tc>
        <w:tc>
          <w:tcPr>
            <w:tcW w:w="567" w:type="dxa"/>
            <w:shd w:val="clear" w:color="000000" w:fill="D9D9D9" w:themeFill="background1" w:themeFillShade="D9"/>
            <w:noWrap/>
            <w:hideMark/>
          </w:tcPr>
          <w:p w14:paraId="3FCCE089" w14:textId="77777777" w:rsidR="00D31F8F" w:rsidRPr="006D1E1C" w:rsidRDefault="00D31F8F" w:rsidP="006D1E1C">
            <w:pPr>
              <w:spacing w:after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6D1E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l-NL"/>
              </w:rPr>
              <w:t>Per year</w:t>
            </w:r>
          </w:p>
        </w:tc>
        <w:tc>
          <w:tcPr>
            <w:tcW w:w="850" w:type="dxa"/>
            <w:shd w:val="clear" w:color="000000" w:fill="D9D9D9" w:themeFill="background1" w:themeFillShade="D9"/>
            <w:noWrap/>
            <w:hideMark/>
          </w:tcPr>
          <w:p w14:paraId="31CEC6DB" w14:textId="54BAE0ED" w:rsidR="00D31F8F" w:rsidRPr="006D1E1C" w:rsidRDefault="00D31F8F" w:rsidP="006D1E1C">
            <w:pPr>
              <w:spacing w:after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6D1E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l-NL"/>
              </w:rPr>
              <w:t>T</w:t>
            </w:r>
            <w:r w:rsidR="006E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l-NL"/>
              </w:rPr>
              <w:t>C</w:t>
            </w:r>
            <w:r w:rsidRPr="006D1E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l-NL"/>
              </w:rPr>
              <w:t xml:space="preserve"> applied</w:t>
            </w:r>
          </w:p>
        </w:tc>
        <w:tc>
          <w:tcPr>
            <w:tcW w:w="1418" w:type="dxa"/>
            <w:shd w:val="clear" w:color="000000" w:fill="D9D9D9" w:themeFill="background1" w:themeFillShade="D9"/>
            <w:noWrap/>
            <w:hideMark/>
          </w:tcPr>
          <w:p w14:paraId="64AF864A" w14:textId="77777777" w:rsidR="00D31F8F" w:rsidRPr="006D1E1C" w:rsidRDefault="00D31F8F" w:rsidP="006D1E1C">
            <w:pPr>
              <w:spacing w:after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6D1E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l-NL"/>
              </w:rPr>
              <w:t>Prominent source(s)</w:t>
            </w:r>
          </w:p>
        </w:tc>
        <w:tc>
          <w:tcPr>
            <w:tcW w:w="1690" w:type="dxa"/>
            <w:shd w:val="clear" w:color="000000" w:fill="D9D9D9" w:themeFill="background1" w:themeFillShade="D9"/>
            <w:noWrap/>
            <w:hideMark/>
          </w:tcPr>
          <w:p w14:paraId="3CBFB0B5" w14:textId="77777777" w:rsidR="00D31F8F" w:rsidRPr="006D1E1C" w:rsidRDefault="00D31F8F" w:rsidP="006D1E1C">
            <w:pPr>
              <w:spacing w:after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6D1E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nl-NL"/>
              </w:rPr>
              <w:t>Other methods</w:t>
            </w:r>
          </w:p>
        </w:tc>
      </w:tr>
      <w:tr w:rsidR="009B406A" w:rsidRPr="009B406A" w14:paraId="49AF5F1B" w14:textId="77777777" w:rsidTr="00E253B3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14:paraId="6B8106E2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Pavlenko (2007)</w:t>
            </w:r>
          </w:p>
        </w:tc>
        <w:tc>
          <w:tcPr>
            <w:tcW w:w="3268" w:type="dxa"/>
          </w:tcPr>
          <w:p w14:paraId="4FF20DE0" w14:textId="5279599B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TA compared to alternative methods for analyzing autobiographic writing in authors</w:t>
            </w:r>
            <w:r w:rsidR="00EC52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second language 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14:paraId="140B3B4C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459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0DEE7BD3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27.00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1110FD63" w14:textId="71E3A8C9" w:rsidR="009B406A" w:rsidRPr="009B406A" w:rsidRDefault="005D7204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no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53D56720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  <w:tc>
          <w:tcPr>
            <w:tcW w:w="1690" w:type="dxa"/>
            <w:shd w:val="clear" w:color="000000" w:fill="FFFFFF"/>
            <w:noWrap/>
            <w:hideMark/>
          </w:tcPr>
          <w:p w14:paraId="3CE21E40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</w:tr>
      <w:tr w:rsidR="009B406A" w:rsidRPr="009B406A" w14:paraId="7C379EA9" w14:textId="77777777" w:rsidTr="00E253B3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14:paraId="67E07130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Coulson (2005)</w:t>
            </w:r>
          </w:p>
        </w:tc>
        <w:tc>
          <w:tcPr>
            <w:tcW w:w="3268" w:type="dxa"/>
            <w:shd w:val="clear" w:color="000000" w:fill="FFFFFF"/>
          </w:tcPr>
          <w:p w14:paraId="28632B3C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Online support groups discussing shared health concerns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14:paraId="7F7E6CBE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319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01EADF6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16.79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24047070" w14:textId="5510A7D0" w:rsidR="009B406A" w:rsidRPr="009B406A" w:rsidRDefault="005D7204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yes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595A49C2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Boyatzis (1998)</w:t>
            </w:r>
          </w:p>
        </w:tc>
        <w:tc>
          <w:tcPr>
            <w:tcW w:w="1690" w:type="dxa"/>
            <w:shd w:val="clear" w:color="000000" w:fill="FFFFFF"/>
            <w:noWrap/>
            <w:hideMark/>
          </w:tcPr>
          <w:p w14:paraId="77CC85D8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</w:tr>
      <w:tr w:rsidR="009B406A" w:rsidRPr="009B406A" w14:paraId="19309E8D" w14:textId="77777777" w:rsidTr="00E253B3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14:paraId="7CCEA883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Drury &amp; Reicher (1999)</w:t>
            </w:r>
          </w:p>
        </w:tc>
        <w:tc>
          <w:tcPr>
            <w:tcW w:w="3268" w:type="dxa"/>
          </w:tcPr>
          <w:p w14:paraId="1F2391D1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Anti-poll tax demonstrations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14:paraId="329DCBE1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201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6AA33F1E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8.04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13B94D93" w14:textId="5FE5FAEB" w:rsidR="009B406A" w:rsidRPr="009B406A" w:rsidRDefault="005D7204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yes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46E1B48D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Kellehear (1993)</w:t>
            </w:r>
          </w:p>
        </w:tc>
        <w:tc>
          <w:tcPr>
            <w:tcW w:w="1690" w:type="dxa"/>
            <w:shd w:val="clear" w:color="000000" w:fill="FFFFFF"/>
            <w:noWrap/>
            <w:hideMark/>
          </w:tcPr>
          <w:p w14:paraId="5BD86F3F" w14:textId="4AD947B8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Consensual account construction (Denzin</w:t>
            </w:r>
            <w:r w:rsidR="00C26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,</w:t>
            </w: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 xml:space="preserve"> 1989)</w:t>
            </w:r>
          </w:p>
        </w:tc>
      </w:tr>
      <w:tr w:rsidR="009B406A" w:rsidRPr="009B406A" w14:paraId="325AC62E" w14:textId="77777777" w:rsidTr="00E253B3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14:paraId="793F58D1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Cotter (2019)</w:t>
            </w:r>
          </w:p>
        </w:tc>
        <w:tc>
          <w:tcPr>
            <w:tcW w:w="3268" w:type="dxa"/>
            <w:shd w:val="clear" w:color="000000" w:fill="FFFFFF"/>
          </w:tcPr>
          <w:p w14:paraId="0E3F42B7" w14:textId="032C0A29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Online communications among </w:t>
            </w:r>
            <w:r w:rsidR="00C00813"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Instagram influencers</w:t>
            </w:r>
            <w:r w:rsidR="00C0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on how </w:t>
            </w:r>
            <w:r w:rsidR="00C00813"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rules encoded in [recommendation] algorithms</w:t>
            </w:r>
            <w:r w:rsidR="00C00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affect visibility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14:paraId="2BEF1277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199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0DA42A9D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39.80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6E03722B" w14:textId="3C5EFBD2" w:rsidR="009B406A" w:rsidRPr="009B406A" w:rsidRDefault="005D7204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yes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153FD11D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  <w:tc>
          <w:tcPr>
            <w:tcW w:w="1690" w:type="dxa"/>
            <w:shd w:val="clear" w:color="000000" w:fill="FFFFFF"/>
            <w:noWrap/>
            <w:hideMark/>
          </w:tcPr>
          <w:p w14:paraId="4C45F1D1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</w:tr>
      <w:tr w:rsidR="009B406A" w:rsidRPr="00DD67AC" w14:paraId="2CAFA5E9" w14:textId="77777777" w:rsidTr="00E253B3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14:paraId="5F7191B9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Xiong et al. (2019)</w:t>
            </w:r>
          </w:p>
        </w:tc>
        <w:tc>
          <w:tcPr>
            <w:tcW w:w="3268" w:type="dxa"/>
          </w:tcPr>
          <w:p w14:paraId="22F05D32" w14:textId="2CC7DD4F" w:rsidR="009B406A" w:rsidRPr="009B406A" w:rsidRDefault="00C00813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Message frames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of social movement organizations; the case of #MeToo movement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14:paraId="7A340BB8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133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9B299C4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26.60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13C1BADD" w14:textId="577934D5" w:rsidR="009B406A" w:rsidRPr="009B406A" w:rsidRDefault="005D7204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yes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0A2A6EC7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Braun &amp; Clarke (2006)</w:t>
            </w:r>
          </w:p>
        </w:tc>
        <w:tc>
          <w:tcPr>
            <w:tcW w:w="1690" w:type="dxa"/>
            <w:shd w:val="clear" w:color="000000" w:fill="FFFFFF"/>
            <w:noWrap/>
            <w:hideMark/>
          </w:tcPr>
          <w:p w14:paraId="18E88E81" w14:textId="4A7A69CA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Semantic network analysis and </w:t>
            </w:r>
            <w:r w:rsidR="00DE15DF"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correlation tests</w:t>
            </w:r>
            <w:r w:rsidR="00DE1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(statistics)</w:t>
            </w:r>
          </w:p>
        </w:tc>
      </w:tr>
      <w:tr w:rsidR="009B406A" w:rsidRPr="009B406A" w14:paraId="70C80920" w14:textId="77777777" w:rsidTr="00E253B3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14:paraId="697C9437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Talmy (2011)</w:t>
            </w:r>
          </w:p>
        </w:tc>
        <w:tc>
          <w:tcPr>
            <w:tcW w:w="3268" w:type="dxa"/>
          </w:tcPr>
          <w:p w14:paraId="6B4EE123" w14:textId="7BC7085A" w:rsidR="009B406A" w:rsidRPr="009B406A" w:rsidRDefault="006E0984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Conceptualizations of </w:t>
            </w:r>
            <w:r w:rsidR="00DE15DF"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interviews as research instruments</w:t>
            </w:r>
            <w:r w:rsidR="00DE1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versus </w:t>
            </w:r>
            <w:r w:rsidR="00DE15DF"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interview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s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as social practice</w:t>
            </w:r>
            <w:r w:rsidR="00DE1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="008F20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; data are drawn from a</w:t>
            </w:r>
            <w:r w:rsidR="00E366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n</w:t>
            </w:r>
            <w:r w:rsidR="008F20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ethnography of a Hawai’i high school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14:paraId="4C1FEFC7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131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003E8D13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10.08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7AB6B4F7" w14:textId="196EA99E" w:rsidR="009B406A" w:rsidRPr="009B406A" w:rsidRDefault="005D7204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yes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4E49683C" w14:textId="2AA52940" w:rsidR="009B406A" w:rsidRPr="00C26751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C26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 xml:space="preserve">e.g.: Pavlenko (2007); </w:t>
            </w:r>
            <w:r w:rsidR="008F2004" w:rsidRPr="00C26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Boyat</w:t>
            </w:r>
            <w:r w:rsidR="00F32820" w:rsidRPr="00C26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z</w:t>
            </w:r>
            <w:r w:rsidR="008F2004" w:rsidRPr="00C26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 xml:space="preserve">is (1998); </w:t>
            </w:r>
            <w:r w:rsidRPr="00C26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 xml:space="preserve">Braun &amp; Clarke (2006) </w:t>
            </w:r>
          </w:p>
        </w:tc>
        <w:tc>
          <w:tcPr>
            <w:tcW w:w="1690" w:type="dxa"/>
            <w:shd w:val="clear" w:color="000000" w:fill="FFFFFF"/>
            <w:noWrap/>
            <w:hideMark/>
          </w:tcPr>
          <w:p w14:paraId="71309B70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</w:tr>
      <w:tr w:rsidR="009B406A" w:rsidRPr="009B406A" w14:paraId="6C056EA4" w14:textId="77777777" w:rsidTr="00E253B3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14:paraId="45131121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Smith &amp; Joffe (2013)</w:t>
            </w:r>
          </w:p>
        </w:tc>
        <w:tc>
          <w:tcPr>
            <w:tcW w:w="3268" w:type="dxa"/>
            <w:shd w:val="clear" w:color="000000" w:fill="FFFFFF"/>
          </w:tcPr>
          <w:p w14:paraId="0784E640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Attitudes to global warming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14:paraId="1081CEC3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121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5EE5DA71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11.00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32FA0575" w14:textId="1F07F727" w:rsidR="009B406A" w:rsidRPr="009B406A" w:rsidRDefault="005D7204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yes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3CB01C44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Joffe (2011)</w:t>
            </w:r>
          </w:p>
        </w:tc>
        <w:tc>
          <w:tcPr>
            <w:tcW w:w="1690" w:type="dxa"/>
            <w:shd w:val="clear" w:color="000000" w:fill="FFFFFF"/>
            <w:noWrap/>
            <w:hideMark/>
          </w:tcPr>
          <w:p w14:paraId="4B393079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</w:tr>
      <w:tr w:rsidR="009B406A" w:rsidRPr="009B406A" w14:paraId="25EC4E8F" w14:textId="77777777" w:rsidTr="00E253B3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14:paraId="27727DDE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Jaspal &amp; Nerlich (2014)</w:t>
            </w:r>
          </w:p>
        </w:tc>
        <w:tc>
          <w:tcPr>
            <w:tcW w:w="3268" w:type="dxa"/>
          </w:tcPr>
          <w:p w14:paraId="6E5383E3" w14:textId="284B01D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UK press coverage of </w:t>
            </w:r>
            <w:r w:rsidR="00DE15DF"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socio-political dimensions of fracking</w:t>
            </w:r>
            <w:r w:rsidR="00DE1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14:paraId="14F79E4B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111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7A805C6A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11.10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29663F0D" w14:textId="3C61941C" w:rsidR="009B406A" w:rsidRPr="009B406A" w:rsidRDefault="005D7204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yes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528DA8F8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  <w:tc>
          <w:tcPr>
            <w:tcW w:w="1690" w:type="dxa"/>
            <w:shd w:val="clear" w:color="000000" w:fill="FFFFFF"/>
            <w:noWrap/>
            <w:hideMark/>
          </w:tcPr>
          <w:p w14:paraId="1F98045E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</w:tr>
      <w:tr w:rsidR="009B406A" w:rsidRPr="009B406A" w14:paraId="3AFE4AEC" w14:textId="77777777" w:rsidTr="00E253B3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14:paraId="758E9791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Ruckenstein &amp; Pantzar (2017)</w:t>
            </w:r>
          </w:p>
        </w:tc>
        <w:tc>
          <w:tcPr>
            <w:tcW w:w="3268" w:type="dxa"/>
            <w:shd w:val="clear" w:color="000000" w:fill="FFFFFF"/>
          </w:tcPr>
          <w:p w14:paraId="7A598AC9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Quantified Self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14:paraId="582E3DA0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107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00FEFFAA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15.29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51A2DCBF" w14:textId="55F65FA0" w:rsidR="009B406A" w:rsidRPr="009B406A" w:rsidRDefault="005D7204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yes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6FFB69DF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  <w:tc>
          <w:tcPr>
            <w:tcW w:w="1690" w:type="dxa"/>
            <w:shd w:val="clear" w:color="000000" w:fill="FFFFFF"/>
            <w:noWrap/>
            <w:hideMark/>
          </w:tcPr>
          <w:p w14:paraId="1B197731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</w:tr>
      <w:tr w:rsidR="009B406A" w:rsidRPr="009B406A" w14:paraId="016F86B2" w14:textId="77777777" w:rsidTr="00E253B3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14:paraId="488D1B72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Kassing (2002)</w:t>
            </w:r>
          </w:p>
        </w:tc>
        <w:tc>
          <w:tcPr>
            <w:tcW w:w="3268" w:type="dxa"/>
          </w:tcPr>
          <w:p w14:paraId="6862CAD7" w14:textId="634BCB2A" w:rsidR="009B406A" w:rsidRPr="009B406A" w:rsidRDefault="00DE15DF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[U]pward dissent within (…) organizations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14:paraId="310C7F8F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102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4786688A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4.64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0A655CF0" w14:textId="328952A1" w:rsidR="009B406A" w:rsidRPr="009B406A" w:rsidRDefault="005D7204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yes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6DAB1EC1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Glaser &amp; Strauss (1967)</w:t>
            </w:r>
          </w:p>
        </w:tc>
        <w:tc>
          <w:tcPr>
            <w:tcW w:w="1690" w:type="dxa"/>
            <w:shd w:val="clear" w:color="000000" w:fill="FFFFFF"/>
            <w:noWrap/>
            <w:hideMark/>
          </w:tcPr>
          <w:p w14:paraId="58C7BB76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</w:tr>
      <w:tr w:rsidR="009B406A" w:rsidRPr="009B406A" w14:paraId="59A6FF5A" w14:textId="77777777" w:rsidTr="00E253B3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14:paraId="2E8F1290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Antony &amp; Thomas (2010)</w:t>
            </w:r>
          </w:p>
        </w:tc>
        <w:tc>
          <w:tcPr>
            <w:tcW w:w="3268" w:type="dxa"/>
            <w:shd w:val="clear" w:color="000000" w:fill="FFFFFF"/>
          </w:tcPr>
          <w:p w14:paraId="41C7E51F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Online communications regarding a police shooting in the USA 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14:paraId="2CADAE31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1E005A61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7.14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0E980725" w14:textId="2E39C7A4" w:rsidR="009B406A" w:rsidRPr="009B406A" w:rsidRDefault="005D7204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yes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7956C9FD" w14:textId="63A1B6B1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 xml:space="preserve">Orbe </w:t>
            </w:r>
            <w:r w:rsidR="006E09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&amp;</w:t>
            </w: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 xml:space="preserve"> Kinefuchi (2008)</w:t>
            </w:r>
          </w:p>
        </w:tc>
        <w:tc>
          <w:tcPr>
            <w:tcW w:w="1690" w:type="dxa"/>
            <w:shd w:val="clear" w:color="000000" w:fill="FFFFFF"/>
            <w:noWrap/>
            <w:hideMark/>
          </w:tcPr>
          <w:p w14:paraId="118FEDEB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</w:tr>
      <w:tr w:rsidR="009B406A" w:rsidRPr="009B406A" w14:paraId="6B64AEEE" w14:textId="77777777" w:rsidTr="00E253B3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14:paraId="769EF543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Hinchliff &amp; Gott (2004)</w:t>
            </w:r>
          </w:p>
        </w:tc>
        <w:tc>
          <w:tcPr>
            <w:tcW w:w="3268" w:type="dxa"/>
          </w:tcPr>
          <w:p w14:paraId="4B33F5D0" w14:textId="608927B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Sexual health; </w:t>
            </w:r>
            <w:r w:rsidR="00DE15DF"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sexual activity in the context of long-term marriage</w:t>
            </w:r>
            <w:r w:rsidR="00DE1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14:paraId="236A0AC0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62B2797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4.55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309A9C68" w14:textId="72A46D1C" w:rsidR="009B406A" w:rsidRPr="009B406A" w:rsidRDefault="005D7204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yes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366EFF60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Ritchie &amp; Spencer (1994)</w:t>
            </w:r>
          </w:p>
        </w:tc>
        <w:tc>
          <w:tcPr>
            <w:tcW w:w="1690" w:type="dxa"/>
            <w:shd w:val="clear" w:color="000000" w:fill="FFFFFF"/>
            <w:noWrap/>
            <w:hideMark/>
          </w:tcPr>
          <w:p w14:paraId="5B47C530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</w:tr>
      <w:tr w:rsidR="009B406A" w:rsidRPr="009B406A" w14:paraId="774C38E3" w14:textId="77777777" w:rsidTr="00E253B3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14:paraId="1097E144" w14:textId="77777777" w:rsidR="009B406A" w:rsidRPr="009B406A" w:rsidRDefault="009B406A" w:rsidP="006D1E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LeFebvre (2018)</w:t>
            </w:r>
          </w:p>
        </w:tc>
        <w:tc>
          <w:tcPr>
            <w:tcW w:w="3268" w:type="dxa"/>
          </w:tcPr>
          <w:p w14:paraId="2DA9AA79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Relationship initiation on Tinder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14:paraId="60FDA358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7D705A6E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15.17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5A4A2AA4" w14:textId="35569648" w:rsidR="009B406A" w:rsidRPr="009B406A" w:rsidRDefault="005D7204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yes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6A52B901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E.g.: Bulmer (1979); Corbin &amp; Strauss (1990)</w:t>
            </w:r>
          </w:p>
        </w:tc>
        <w:tc>
          <w:tcPr>
            <w:tcW w:w="1690" w:type="dxa"/>
            <w:shd w:val="clear" w:color="000000" w:fill="FFFFFF"/>
            <w:noWrap/>
            <w:hideMark/>
          </w:tcPr>
          <w:p w14:paraId="02905CFE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Descriptive statistics</w:t>
            </w:r>
          </w:p>
        </w:tc>
      </w:tr>
      <w:tr w:rsidR="009B406A" w:rsidRPr="009B406A" w14:paraId="483E5EF4" w14:textId="77777777" w:rsidTr="00E253B3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14:paraId="422F5AA6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Harwood &amp; Lin (2000)</w:t>
            </w:r>
          </w:p>
        </w:tc>
        <w:tc>
          <w:tcPr>
            <w:tcW w:w="3268" w:type="dxa"/>
          </w:tcPr>
          <w:p w14:paraId="2DB5585D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Grandparents' relationships with their grandchildren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14:paraId="210BBB42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5A1B93CA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3.75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6F018ACA" w14:textId="2C78A807" w:rsidR="009B406A" w:rsidRPr="009B406A" w:rsidRDefault="005D7204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yes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2936627E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  <w:tc>
          <w:tcPr>
            <w:tcW w:w="1690" w:type="dxa"/>
            <w:shd w:val="clear" w:color="000000" w:fill="FFFFFF"/>
            <w:noWrap/>
            <w:hideMark/>
          </w:tcPr>
          <w:p w14:paraId="266D4009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</w:tr>
      <w:tr w:rsidR="009B406A" w:rsidRPr="009B406A" w14:paraId="5D8F516B" w14:textId="77777777" w:rsidTr="00E253B3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14:paraId="1BCD8DA3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Veltri &amp; Atanasova (2017)</w:t>
            </w:r>
          </w:p>
        </w:tc>
        <w:tc>
          <w:tcPr>
            <w:tcW w:w="3268" w:type="dxa"/>
          </w:tcPr>
          <w:p w14:paraId="37BF5545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Attitudes regarding climate change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14:paraId="4237149A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561E3E4C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12.86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6148C818" w14:textId="2BD2D163" w:rsidR="009B406A" w:rsidRPr="009B406A" w:rsidRDefault="005D7204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no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nl-NL"/>
              </w:rPr>
              <w:t>(2)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40311C6E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/</w:t>
            </w:r>
          </w:p>
        </w:tc>
        <w:tc>
          <w:tcPr>
            <w:tcW w:w="1690" w:type="dxa"/>
            <w:shd w:val="clear" w:color="000000" w:fill="FFFFFF"/>
            <w:noWrap/>
            <w:hideMark/>
          </w:tcPr>
          <w:p w14:paraId="371C8E64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</w:tr>
      <w:tr w:rsidR="009B406A" w:rsidRPr="009B406A" w14:paraId="25897503" w14:textId="77777777" w:rsidTr="00E253B3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14:paraId="5E334D76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Coulson &amp; Knibb (2007)</w:t>
            </w:r>
          </w:p>
        </w:tc>
        <w:tc>
          <w:tcPr>
            <w:tcW w:w="3268" w:type="dxa"/>
            <w:shd w:val="clear" w:color="000000" w:fill="FFFFFF"/>
          </w:tcPr>
          <w:p w14:paraId="712F8EAB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Participation in an online support group regarding food allergies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14:paraId="4881180D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86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1B849426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5.06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48343F16" w14:textId="091BFE23" w:rsidR="009B406A" w:rsidRPr="009B406A" w:rsidRDefault="005D7204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yes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1764FB32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Boyatzis (1998)</w:t>
            </w:r>
          </w:p>
        </w:tc>
        <w:tc>
          <w:tcPr>
            <w:tcW w:w="1690" w:type="dxa"/>
            <w:shd w:val="clear" w:color="000000" w:fill="FFFFFF"/>
            <w:noWrap/>
            <w:hideMark/>
          </w:tcPr>
          <w:p w14:paraId="18057C97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</w:tr>
      <w:tr w:rsidR="009B406A" w:rsidRPr="009B406A" w14:paraId="7F6CD214" w14:textId="77777777" w:rsidTr="00E253B3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14:paraId="255ACADC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Barkhuizen (2010)</w:t>
            </w:r>
          </w:p>
        </w:tc>
        <w:tc>
          <w:tcPr>
            <w:tcW w:w="3268" w:type="dxa"/>
          </w:tcPr>
          <w:p w14:paraId="27251A70" w14:textId="6B94B841" w:rsidR="009B406A" w:rsidRPr="009B406A" w:rsidRDefault="00DE15DF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The </w:t>
            </w:r>
            <w:r w:rsidR="009B406A" w:rsidRPr="005D72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imagined </w:t>
            </w:r>
            <w:r w:rsidR="005D7204" w:rsidRPr="005D72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“</w:t>
            </w:r>
            <w:r w:rsidR="009B406A" w:rsidRPr="005D72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better life</w:t>
            </w:r>
            <w:r w:rsidR="005D7204" w:rsidRPr="005D72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”</w:t>
            </w:r>
            <w:r w:rsidR="009B406A" w:rsidRPr="005D72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of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a migrant </w:t>
            </w:r>
            <w:r w:rsidR="003916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pre-service teacher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14:paraId="5573FD39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75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5DC658EF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5.36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1D4EB1E0" w14:textId="6D8CC6E7" w:rsidR="009B406A" w:rsidRPr="009B406A" w:rsidRDefault="005D7204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yes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6F0AAB2D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Pavlenko (2007)</w:t>
            </w:r>
          </w:p>
        </w:tc>
        <w:tc>
          <w:tcPr>
            <w:tcW w:w="1690" w:type="dxa"/>
            <w:shd w:val="clear" w:color="000000" w:fill="FFFFFF"/>
            <w:noWrap/>
            <w:hideMark/>
          </w:tcPr>
          <w:p w14:paraId="0755BE29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</w:tr>
      <w:tr w:rsidR="009B406A" w:rsidRPr="009B406A" w14:paraId="6E2BC2CC" w14:textId="77777777" w:rsidTr="00E253B3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14:paraId="0CC44965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Rincón-Gallardo &amp; Fullan (2016)</w:t>
            </w:r>
          </w:p>
        </w:tc>
        <w:tc>
          <w:tcPr>
            <w:tcW w:w="3268" w:type="dxa"/>
          </w:tcPr>
          <w:p w14:paraId="6140728B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Education networks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14:paraId="007729F3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7690EE85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9.25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311B5AB5" w14:textId="35A7741E" w:rsidR="009B406A" w:rsidRPr="009B406A" w:rsidRDefault="005D7204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yes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01739079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Boyatzis (1998)</w:t>
            </w:r>
          </w:p>
        </w:tc>
        <w:tc>
          <w:tcPr>
            <w:tcW w:w="1690" w:type="dxa"/>
            <w:shd w:val="clear" w:color="000000" w:fill="FFFFFF"/>
            <w:noWrap/>
            <w:hideMark/>
          </w:tcPr>
          <w:p w14:paraId="497A26B5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</w:tr>
      <w:tr w:rsidR="009B406A" w:rsidRPr="009B406A" w14:paraId="1DDBB3DE" w14:textId="77777777" w:rsidTr="00E253B3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14:paraId="1FDCF7A2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Roberts &amp; Pettigrew (2007)</w:t>
            </w:r>
          </w:p>
        </w:tc>
        <w:tc>
          <w:tcPr>
            <w:tcW w:w="3268" w:type="dxa"/>
          </w:tcPr>
          <w:p w14:paraId="7B14CE80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 xml:space="preserve">Childhood obesity and advertising 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14:paraId="6842FDBB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72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6D0CEB3D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4.24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23A96A1D" w14:textId="4EBE6630" w:rsidR="009B406A" w:rsidRPr="009B406A" w:rsidRDefault="005D7204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yes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3558A431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  <w:tc>
          <w:tcPr>
            <w:tcW w:w="1690" w:type="dxa"/>
            <w:shd w:val="clear" w:color="000000" w:fill="FFFFFF"/>
            <w:noWrap/>
            <w:hideMark/>
          </w:tcPr>
          <w:p w14:paraId="249FB47C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Content analysis</w:t>
            </w:r>
          </w:p>
        </w:tc>
      </w:tr>
      <w:tr w:rsidR="009B406A" w:rsidRPr="009B406A" w14:paraId="0B6D7B23" w14:textId="77777777" w:rsidTr="00E253B3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14:paraId="109015AE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Morreale &amp; Pearson (2008)</w:t>
            </w:r>
          </w:p>
        </w:tc>
        <w:tc>
          <w:tcPr>
            <w:tcW w:w="3268" w:type="dxa"/>
            <w:shd w:val="clear" w:color="000000" w:fill="FFFFFF"/>
          </w:tcPr>
          <w:p w14:paraId="029C7960" w14:textId="4B2B4B74" w:rsidR="009B406A" w:rsidRPr="009B406A" w:rsidRDefault="00DE15DF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Communication instruction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and </w:t>
            </w:r>
            <w:r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stu</w:t>
            </w:r>
            <w:r w:rsidR="009B406A" w:rsidRPr="005D72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dents</w:t>
            </w:r>
            <w:r w:rsidR="00EC5277" w:rsidRPr="005D72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future personal and professional success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14:paraId="47E8FE17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50688442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4.38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54A6C8E4" w14:textId="6AA240E4" w:rsidR="009B406A" w:rsidRPr="009B406A" w:rsidRDefault="005D7204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yes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1D75C8C5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  <w:tc>
          <w:tcPr>
            <w:tcW w:w="1690" w:type="dxa"/>
            <w:shd w:val="clear" w:color="000000" w:fill="FFFFFF"/>
            <w:noWrap/>
            <w:hideMark/>
          </w:tcPr>
          <w:p w14:paraId="4AA3DD4C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</w:tr>
      <w:tr w:rsidR="009B406A" w:rsidRPr="00DD67AC" w14:paraId="22FBE957" w14:textId="77777777" w:rsidTr="00E253B3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14:paraId="0219AEFB" w14:textId="3A2A1C68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Tandon et al. (2021)</w:t>
            </w:r>
          </w:p>
        </w:tc>
        <w:tc>
          <w:tcPr>
            <w:tcW w:w="3268" w:type="dxa"/>
            <w:shd w:val="clear" w:color="000000" w:fill="FFFFFF"/>
          </w:tcPr>
          <w:p w14:paraId="2E5A8EAE" w14:textId="3BFD3665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Fear of missing out among social media users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14:paraId="6320653B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54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6CD865DE" w14:textId="25C1012A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18.00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44C8E2E5" w14:textId="57823ECA" w:rsidR="009B406A" w:rsidRPr="009B406A" w:rsidRDefault="005D7204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no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69B53EBC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  <w:tc>
          <w:tcPr>
            <w:tcW w:w="1690" w:type="dxa"/>
            <w:shd w:val="clear" w:color="000000" w:fill="FFFFFF"/>
            <w:noWrap/>
            <w:hideMark/>
          </w:tcPr>
          <w:p w14:paraId="6934A070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Content analysis of prior studies that adopted TC</w:t>
            </w:r>
          </w:p>
        </w:tc>
      </w:tr>
      <w:tr w:rsidR="009B406A" w:rsidRPr="009B406A" w14:paraId="2069FE9B" w14:textId="77777777" w:rsidTr="00E253B3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14:paraId="353383BA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Peña Gangadharan &amp; Niklas (2019)</w:t>
            </w:r>
          </w:p>
        </w:tc>
        <w:tc>
          <w:tcPr>
            <w:tcW w:w="3268" w:type="dxa"/>
            <w:shd w:val="clear" w:color="000000" w:fill="FFFFFF"/>
          </w:tcPr>
          <w:p w14:paraId="1451373D" w14:textId="2F6DCBD7" w:rsidR="009B406A" w:rsidRPr="009B406A" w:rsidRDefault="00DE15DF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Norms, values, and practices among European civil society organizations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regarding </w:t>
            </w:r>
            <w:r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data and discrimination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14:paraId="0AC0C946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54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20F6390E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10.80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20F79186" w14:textId="7845C41D" w:rsidR="009B406A" w:rsidRPr="009B406A" w:rsidRDefault="005D7204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yes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n-US" w:eastAsia="nl-NL"/>
              </w:rPr>
              <w:t>(3)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54968770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Boyatzis (2001)</w:t>
            </w:r>
          </w:p>
        </w:tc>
        <w:tc>
          <w:tcPr>
            <w:tcW w:w="1690" w:type="dxa"/>
            <w:shd w:val="clear" w:color="000000" w:fill="FFFFFF"/>
            <w:noWrap/>
            <w:hideMark/>
          </w:tcPr>
          <w:p w14:paraId="2DD6B1A6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</w:tr>
      <w:tr w:rsidR="009B406A" w:rsidRPr="009B406A" w14:paraId="58C353FD" w14:textId="77777777" w:rsidTr="00E253B3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14:paraId="1D5936DC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lastRenderedPageBreak/>
              <w:t>Suzor et al. (2019)</w:t>
            </w:r>
          </w:p>
        </w:tc>
        <w:tc>
          <w:tcPr>
            <w:tcW w:w="3268" w:type="dxa"/>
            <w:shd w:val="clear" w:color="000000" w:fill="FFFFFF"/>
          </w:tcPr>
          <w:p w14:paraId="029A5265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Transparency in content moderation on online platforms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14:paraId="75579034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47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B441ED8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9.40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3F6009ED" w14:textId="1F8485B0" w:rsidR="009B406A" w:rsidRPr="009B406A" w:rsidRDefault="005D7204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yes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6269B18C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  <w:tc>
          <w:tcPr>
            <w:tcW w:w="1690" w:type="dxa"/>
            <w:shd w:val="clear" w:color="000000" w:fill="FFFFFF"/>
            <w:noWrap/>
            <w:hideMark/>
          </w:tcPr>
          <w:p w14:paraId="0BCD29A5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Content analysis</w:t>
            </w:r>
          </w:p>
        </w:tc>
      </w:tr>
      <w:tr w:rsidR="009B406A" w:rsidRPr="009B406A" w14:paraId="2A3DBB79" w14:textId="77777777" w:rsidTr="00E253B3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14:paraId="587A01D3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Jamil (2020)</w:t>
            </w:r>
          </w:p>
        </w:tc>
        <w:tc>
          <w:tcPr>
            <w:tcW w:w="3268" w:type="dxa"/>
            <w:shd w:val="clear" w:color="000000" w:fill="FFFFFF"/>
          </w:tcPr>
          <w:p w14:paraId="5BA4F197" w14:textId="72858E0E" w:rsidR="009B406A" w:rsidRPr="009B406A" w:rsidRDefault="00EC5277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Pakistani female journalists’ lived experiences of sexual harassment, threats and discrimination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14:paraId="61D503F2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44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44054FCD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11.00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1AD3531A" w14:textId="19BF15BF" w:rsidR="009B406A" w:rsidRPr="009B406A" w:rsidRDefault="005D7204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yes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3827C7F0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  <w:tc>
          <w:tcPr>
            <w:tcW w:w="1690" w:type="dxa"/>
            <w:shd w:val="clear" w:color="000000" w:fill="FFFFFF"/>
            <w:noWrap/>
            <w:hideMark/>
          </w:tcPr>
          <w:p w14:paraId="692E2491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</w:tr>
      <w:tr w:rsidR="009B406A" w:rsidRPr="009B406A" w14:paraId="2AB43A4B" w14:textId="77777777" w:rsidTr="00E253B3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14:paraId="1D4DE0E8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Ytre-Arne &amp; Moe (2021)</w:t>
            </w:r>
          </w:p>
        </w:tc>
        <w:tc>
          <w:tcPr>
            <w:tcW w:w="3268" w:type="dxa"/>
            <w:shd w:val="clear" w:color="000000" w:fill="FFFFFF"/>
          </w:tcPr>
          <w:p w14:paraId="4FB9F6DA" w14:textId="5B3EED56" w:rsidR="009B406A" w:rsidRPr="009B406A" w:rsidRDefault="005D7204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Perceptions of algorithms on the media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14:paraId="2C3FE97B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38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2AECD6D2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12.67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5AFA0689" w14:textId="73A1B0A6" w:rsidR="009B406A" w:rsidRPr="009B406A" w:rsidRDefault="005D7204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yes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44D9A437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DeVito et al. (2017)</w:t>
            </w:r>
          </w:p>
        </w:tc>
        <w:tc>
          <w:tcPr>
            <w:tcW w:w="1690" w:type="dxa"/>
            <w:shd w:val="clear" w:color="000000" w:fill="FFFFFF"/>
            <w:noWrap/>
            <w:hideMark/>
          </w:tcPr>
          <w:p w14:paraId="6C7DA1C7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</w:tr>
      <w:tr w:rsidR="009B406A" w:rsidRPr="009B406A" w14:paraId="01F8E284" w14:textId="77777777" w:rsidTr="00E253B3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14:paraId="5F2D1168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Gaudette et al. (2021)</w:t>
            </w:r>
          </w:p>
        </w:tc>
        <w:tc>
          <w:tcPr>
            <w:tcW w:w="3268" w:type="dxa"/>
            <w:shd w:val="clear" w:color="000000" w:fill="FFFFFF"/>
          </w:tcPr>
          <w:p w14:paraId="5F01AB88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Extreme right activists on Reddit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14:paraId="5E1E57B2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36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4D1738F5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12.00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0EF0DB0F" w14:textId="0B939031" w:rsidR="009B406A" w:rsidRPr="009B406A" w:rsidRDefault="005D7204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yes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49108FF0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Braun &amp; Clarke (2006)</w:t>
            </w:r>
          </w:p>
        </w:tc>
        <w:tc>
          <w:tcPr>
            <w:tcW w:w="1690" w:type="dxa"/>
            <w:shd w:val="clear" w:color="000000" w:fill="FFFFFF"/>
            <w:noWrap/>
            <w:hideMark/>
          </w:tcPr>
          <w:p w14:paraId="1B6EBA97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</w:tr>
      <w:tr w:rsidR="009B406A" w:rsidRPr="009B406A" w14:paraId="762E6681" w14:textId="77777777" w:rsidTr="00E253B3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14:paraId="44168325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Jones et al. (2020)</w:t>
            </w:r>
          </w:p>
        </w:tc>
        <w:tc>
          <w:tcPr>
            <w:tcW w:w="3268" w:type="dxa"/>
            <w:shd w:val="clear" w:color="000000" w:fill="FFFFFF"/>
          </w:tcPr>
          <w:p w14:paraId="2EB20E31" w14:textId="62E61996" w:rsidR="009B406A" w:rsidRPr="009B406A" w:rsidRDefault="005D7204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Ideology and rhetoric of [… a] Manosphere group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and how it </w:t>
            </w:r>
            <w:r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propagates and normalises misogynistic beliefs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14:paraId="7FD73FEB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34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7FBC1D91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8.50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6EC745F9" w14:textId="618137BC" w:rsidR="009B406A" w:rsidRPr="009B406A" w:rsidRDefault="005D7204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yes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6DD45CDD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  <w:tc>
          <w:tcPr>
            <w:tcW w:w="1690" w:type="dxa"/>
            <w:shd w:val="clear" w:color="000000" w:fill="FFFFFF"/>
            <w:noWrap/>
            <w:hideMark/>
          </w:tcPr>
          <w:p w14:paraId="06FB6A6C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Content analysis</w:t>
            </w:r>
          </w:p>
        </w:tc>
      </w:tr>
      <w:tr w:rsidR="009B406A" w:rsidRPr="009B406A" w14:paraId="7ABCF93F" w14:textId="77777777" w:rsidTr="00E253B3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14:paraId="6D1F68AF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Lupinacci (2021)</w:t>
            </w:r>
          </w:p>
        </w:tc>
        <w:tc>
          <w:tcPr>
            <w:tcW w:w="3268" w:type="dxa"/>
            <w:shd w:val="clear" w:color="000000" w:fill="FFFFFF"/>
          </w:tcPr>
          <w:p w14:paraId="68FFEB4C" w14:textId="7D86448C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Experiences with social media regarding </w:t>
            </w:r>
            <w:r w:rsidR="005D7204"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continuous connectedness</w:t>
            </w:r>
            <w:r w:rsidR="005D72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14:paraId="3CF2A7D7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25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441DA5CB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8.33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406E298C" w14:textId="0CE3CDC7" w:rsidR="009B406A" w:rsidRPr="009B406A" w:rsidRDefault="005D7204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yes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5D3CC0AA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Attride-Stirling (2001); Guest et al. (2012)</w:t>
            </w:r>
          </w:p>
        </w:tc>
        <w:tc>
          <w:tcPr>
            <w:tcW w:w="1690" w:type="dxa"/>
            <w:shd w:val="clear" w:color="000000" w:fill="FFFFFF"/>
            <w:noWrap/>
            <w:hideMark/>
          </w:tcPr>
          <w:p w14:paraId="7EB82DAB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/</w:t>
            </w:r>
          </w:p>
        </w:tc>
      </w:tr>
      <w:tr w:rsidR="009B406A" w:rsidRPr="00E331A4" w14:paraId="52357C90" w14:textId="77777777" w:rsidTr="00E253B3">
        <w:trPr>
          <w:trHeight w:val="300"/>
        </w:trPr>
        <w:tc>
          <w:tcPr>
            <w:tcW w:w="1260" w:type="dxa"/>
            <w:shd w:val="clear" w:color="000000" w:fill="FFFFFF"/>
            <w:noWrap/>
            <w:hideMark/>
          </w:tcPr>
          <w:p w14:paraId="3EB2D71B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Timmermans et al. (2021)</w:t>
            </w:r>
          </w:p>
        </w:tc>
        <w:tc>
          <w:tcPr>
            <w:tcW w:w="3268" w:type="dxa"/>
            <w:shd w:val="clear" w:color="000000" w:fill="FFFFFF"/>
          </w:tcPr>
          <w:p w14:paraId="6DF2EBF7" w14:textId="22B84C19" w:rsidR="009B406A" w:rsidRPr="009B406A" w:rsidRDefault="005D7204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7211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‘</w:t>
            </w:r>
            <w:r w:rsidR="009B406A" w:rsidRPr="005D72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Mobile daters</w:t>
            </w:r>
            <w:r w:rsidRPr="005D72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  <w:r w:rsidR="009B406A" w:rsidRPr="005D72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[…] experiences</w:t>
            </w:r>
            <w:r w:rsidR="009B406A"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 xml:space="preserve"> with ghosting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’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14:paraId="1B5355AC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25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670A7389" w14:textId="77777777" w:rsidR="009B406A" w:rsidRPr="009B406A" w:rsidRDefault="009B406A" w:rsidP="00D85F9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8.33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16FF369F" w14:textId="0B58A8AE" w:rsidR="009B406A" w:rsidRPr="009B406A" w:rsidRDefault="005D7204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yes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57DF4229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Braun &amp; Clarke (2006)</w:t>
            </w:r>
          </w:p>
        </w:tc>
        <w:tc>
          <w:tcPr>
            <w:tcW w:w="1690" w:type="dxa"/>
            <w:shd w:val="clear" w:color="000000" w:fill="FFFFFF"/>
            <w:noWrap/>
            <w:hideMark/>
          </w:tcPr>
          <w:p w14:paraId="2AF9F4EA" w14:textId="77777777" w:rsidR="009B406A" w:rsidRPr="009B406A" w:rsidRDefault="009B406A" w:rsidP="00D85F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</w:pPr>
            <w:r w:rsidRPr="009B4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nl-NL"/>
              </w:rPr>
              <w:t>Content analysis and inferential statistics</w:t>
            </w:r>
          </w:p>
        </w:tc>
      </w:tr>
    </w:tbl>
    <w:p w14:paraId="56FC29D0" w14:textId="6DBDEDAF" w:rsidR="006D1E1C" w:rsidRPr="006D1E1C" w:rsidRDefault="006D1E1C" w:rsidP="009B406A">
      <w:pPr>
        <w:spacing w:after="40"/>
        <w:rPr>
          <w:rFonts w:ascii="Times New Roman" w:eastAsia="Times New Roman" w:hAnsi="Times New Roman" w:cs="Times New Roman"/>
          <w:i/>
          <w:iCs/>
          <w:color w:val="000000"/>
          <w:lang w:val="en-US" w:eastAsia="nl-NL"/>
        </w:rPr>
      </w:pPr>
      <w:r w:rsidRPr="006D1E1C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val="en-US" w:eastAsia="nl-NL"/>
        </w:rPr>
        <w:t>(1)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val="en-US" w:eastAsia="nl-NL"/>
        </w:rPr>
        <w:t xml:space="preserve"> </w:t>
      </w:r>
      <w:r w:rsidRPr="006D1E1C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nl-NL"/>
        </w:rPr>
        <w:t>The table covers all top-20 most cited papers and all top-20 papers by citations per year</w:t>
      </w:r>
    </w:p>
    <w:p w14:paraId="68F88C0F" w14:textId="18C7BD1A" w:rsidR="009B406A" w:rsidRPr="009B406A" w:rsidRDefault="009B406A" w:rsidP="009B406A">
      <w:pPr>
        <w:spacing w:after="40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nl-NL"/>
        </w:rPr>
      </w:pPr>
      <w:r w:rsidRPr="009B406A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val="en-US" w:eastAsia="nl-NL"/>
        </w:rPr>
        <w:t>(2)</w:t>
      </w:r>
      <w:r w:rsidRPr="009B406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nl-NL"/>
        </w:rPr>
        <w:t xml:space="preserve"> Automatic thematic analysis (text mining), combined with semantic network analysis, and </w:t>
      </w:r>
      <w:r w:rsidR="0072119C" w:rsidRPr="0072119C">
        <w:rPr>
          <w:rFonts w:ascii="Times New Roman" w:hAnsi="Times New Roman" w:cs="Times New Roman"/>
          <w:sz w:val="18"/>
          <w:szCs w:val="18"/>
          <w:lang w:val="en-US"/>
        </w:rPr>
        <w:t>‘</w:t>
      </w:r>
      <w:r w:rsidRPr="009B406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nl-NL"/>
        </w:rPr>
        <w:t>text classification according to psychological process categories</w:t>
      </w:r>
      <w:r w:rsidR="0072119C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nl-NL"/>
        </w:rPr>
        <w:t>’</w:t>
      </w:r>
    </w:p>
    <w:p w14:paraId="2221FCEF" w14:textId="3D68117F" w:rsidR="009B406A" w:rsidRPr="0072119C" w:rsidRDefault="009B406A" w:rsidP="009B406A">
      <w:pPr>
        <w:spacing w:after="40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nl-NL"/>
        </w:rPr>
      </w:pPr>
      <w:r w:rsidRPr="0072119C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val="en-US" w:eastAsia="nl-NL"/>
        </w:rPr>
        <w:t>(3)</w:t>
      </w:r>
      <w:r w:rsidRPr="0072119C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nl-NL"/>
        </w:rPr>
        <w:t xml:space="preserve"> </w:t>
      </w:r>
      <w:r w:rsidR="0072119C" w:rsidRPr="0072119C">
        <w:rPr>
          <w:rFonts w:ascii="Times New Roman" w:hAnsi="Times New Roman" w:cs="Times New Roman"/>
          <w:sz w:val="18"/>
          <w:szCs w:val="18"/>
          <w:lang w:val="en-US"/>
        </w:rPr>
        <w:t>‘</w:t>
      </w:r>
      <w:r w:rsidRPr="0072119C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nl-NL"/>
        </w:rPr>
        <w:t>[N]etworked thematic analysis</w:t>
      </w:r>
      <w:r w:rsidR="0072119C" w:rsidRPr="0072119C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nl-NL"/>
        </w:rPr>
        <w:t>’</w:t>
      </w:r>
      <w:r w:rsidRPr="0072119C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nl-NL"/>
        </w:rPr>
        <w:t xml:space="preserve"> with an </w:t>
      </w:r>
      <w:r w:rsidR="0072119C" w:rsidRPr="0072119C">
        <w:rPr>
          <w:rFonts w:ascii="Times New Roman" w:hAnsi="Times New Roman" w:cs="Times New Roman"/>
          <w:sz w:val="18"/>
          <w:szCs w:val="18"/>
          <w:lang w:val="en-US"/>
        </w:rPr>
        <w:t>‘</w:t>
      </w:r>
      <w:r w:rsidRPr="0072119C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nl-NL"/>
        </w:rPr>
        <w:t>iterative strategy</w:t>
      </w:r>
      <w:r w:rsidR="0072119C" w:rsidRPr="0072119C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nl-NL"/>
        </w:rPr>
        <w:t>’</w:t>
      </w:r>
    </w:p>
    <w:p w14:paraId="0CF11C5E" w14:textId="77777777" w:rsidR="009B406A" w:rsidRDefault="009B406A">
      <w:pPr>
        <w:rPr>
          <w:lang w:val="en-US"/>
        </w:rPr>
      </w:pPr>
    </w:p>
    <w:p w14:paraId="59E518D7" w14:textId="77777777" w:rsidR="0072119C" w:rsidRDefault="0072119C">
      <w:pPr>
        <w:rPr>
          <w:lang w:val="en-US"/>
        </w:rPr>
      </w:pPr>
    </w:p>
    <w:p w14:paraId="4A8E7C02" w14:textId="77777777" w:rsidR="0072119C" w:rsidRDefault="0072119C">
      <w:pPr>
        <w:rPr>
          <w:lang w:val="en-US"/>
        </w:rPr>
      </w:pPr>
    </w:p>
    <w:p w14:paraId="22F2CB19" w14:textId="77777777" w:rsidR="0072119C" w:rsidRDefault="0072119C">
      <w:pPr>
        <w:rPr>
          <w:lang w:val="en-US"/>
        </w:rPr>
      </w:pPr>
    </w:p>
    <w:p w14:paraId="0A39C214" w14:textId="53CC5052" w:rsidR="0072119C" w:rsidRPr="0072119C" w:rsidRDefault="0072119C">
      <w:pPr>
        <w:rPr>
          <w:sz w:val="18"/>
          <w:szCs w:val="18"/>
          <w:lang w:val="en-US"/>
        </w:rPr>
      </w:pPr>
    </w:p>
    <w:sectPr w:rsidR="0072119C" w:rsidRPr="0072119C" w:rsidSect="00A459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CFA3E" w14:textId="77777777" w:rsidR="00EF156B" w:rsidRDefault="00EF156B" w:rsidP="009B406A">
      <w:r>
        <w:separator/>
      </w:r>
    </w:p>
  </w:endnote>
  <w:endnote w:type="continuationSeparator" w:id="0">
    <w:p w14:paraId="55C48F6B" w14:textId="77777777" w:rsidR="00EF156B" w:rsidRDefault="00EF156B" w:rsidP="009B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690338843"/>
      <w:docPartObj>
        <w:docPartGallery w:val="Page Numbers (Bottom of Page)"/>
        <w:docPartUnique/>
      </w:docPartObj>
    </w:sdtPr>
    <w:sdtContent>
      <w:p w14:paraId="07F478CC" w14:textId="77777777" w:rsidR="009B406A" w:rsidRDefault="009B406A" w:rsidP="00365FBA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8CAD57E" w14:textId="77777777" w:rsidR="009B406A" w:rsidRDefault="009B406A" w:rsidP="009B406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089473000"/>
      <w:docPartObj>
        <w:docPartGallery w:val="Page Numbers (Bottom of Page)"/>
        <w:docPartUnique/>
      </w:docPartObj>
    </w:sdtPr>
    <w:sdtContent>
      <w:p w14:paraId="7DE99974" w14:textId="77777777" w:rsidR="009B406A" w:rsidRDefault="009B406A" w:rsidP="00365FBA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05B0E9A3" w14:textId="77777777" w:rsidR="009B406A" w:rsidRDefault="009B406A" w:rsidP="009B406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A6475" w14:textId="77777777" w:rsidR="001B1E27" w:rsidRDefault="001B1E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D511A" w14:textId="77777777" w:rsidR="00EF156B" w:rsidRDefault="00EF156B" w:rsidP="009B406A">
      <w:r>
        <w:separator/>
      </w:r>
    </w:p>
  </w:footnote>
  <w:footnote w:type="continuationSeparator" w:id="0">
    <w:p w14:paraId="15A9854A" w14:textId="77777777" w:rsidR="00EF156B" w:rsidRDefault="00EF156B" w:rsidP="009B4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2AD79" w14:textId="77777777" w:rsidR="001B1E27" w:rsidRDefault="001B1E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60781" w14:textId="77777777" w:rsidR="001B1E27" w:rsidRDefault="001B1E2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8584E" w14:textId="77777777" w:rsidR="001B1E27" w:rsidRDefault="001B1E2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6A"/>
    <w:rsid w:val="000467BC"/>
    <w:rsid w:val="000674E1"/>
    <w:rsid w:val="000A7DA2"/>
    <w:rsid w:val="001B1E27"/>
    <w:rsid w:val="002661A1"/>
    <w:rsid w:val="00277080"/>
    <w:rsid w:val="00326834"/>
    <w:rsid w:val="00355549"/>
    <w:rsid w:val="003567E6"/>
    <w:rsid w:val="00391635"/>
    <w:rsid w:val="004273C8"/>
    <w:rsid w:val="00496F3B"/>
    <w:rsid w:val="00566557"/>
    <w:rsid w:val="005767EF"/>
    <w:rsid w:val="005D7204"/>
    <w:rsid w:val="00641928"/>
    <w:rsid w:val="006D1E1C"/>
    <w:rsid w:val="006E0050"/>
    <w:rsid w:val="006E0984"/>
    <w:rsid w:val="0072119C"/>
    <w:rsid w:val="00770C08"/>
    <w:rsid w:val="0078112D"/>
    <w:rsid w:val="007B4838"/>
    <w:rsid w:val="007B4C2D"/>
    <w:rsid w:val="00805E65"/>
    <w:rsid w:val="00812270"/>
    <w:rsid w:val="00861ADA"/>
    <w:rsid w:val="008F2004"/>
    <w:rsid w:val="009B406A"/>
    <w:rsid w:val="00A16FE7"/>
    <w:rsid w:val="00A413D6"/>
    <w:rsid w:val="00A459AC"/>
    <w:rsid w:val="00A609D2"/>
    <w:rsid w:val="00B33947"/>
    <w:rsid w:val="00BB6628"/>
    <w:rsid w:val="00C00813"/>
    <w:rsid w:val="00C22521"/>
    <w:rsid w:val="00C26751"/>
    <w:rsid w:val="00CF14B6"/>
    <w:rsid w:val="00CF5837"/>
    <w:rsid w:val="00CF7C91"/>
    <w:rsid w:val="00D31F8F"/>
    <w:rsid w:val="00D52FED"/>
    <w:rsid w:val="00DC5166"/>
    <w:rsid w:val="00DD67AC"/>
    <w:rsid w:val="00DE15DF"/>
    <w:rsid w:val="00E253B3"/>
    <w:rsid w:val="00E331A4"/>
    <w:rsid w:val="00E3660F"/>
    <w:rsid w:val="00EA01D5"/>
    <w:rsid w:val="00EC5277"/>
    <w:rsid w:val="00EF156B"/>
    <w:rsid w:val="00F252C4"/>
    <w:rsid w:val="00F32820"/>
    <w:rsid w:val="00F67981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ABFD"/>
  <w15:chartTrackingRefBased/>
  <w15:docId w15:val="{B3F8FED3-8866-4E4B-979B-E8BA5E9D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9B406A"/>
    <w:rPr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9B40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406A"/>
  </w:style>
  <w:style w:type="character" w:styleId="Seitenzahl">
    <w:name w:val="page number"/>
    <w:basedOn w:val="Absatz-Standardschriftart"/>
    <w:uiPriority w:val="99"/>
    <w:semiHidden/>
    <w:unhideWhenUsed/>
    <w:rsid w:val="009B406A"/>
  </w:style>
  <w:style w:type="paragraph" w:styleId="Funotentext">
    <w:name w:val="footnote text"/>
    <w:basedOn w:val="Standard"/>
    <w:link w:val="FunotentextZchn"/>
    <w:uiPriority w:val="99"/>
    <w:semiHidden/>
    <w:unhideWhenUsed/>
    <w:rsid w:val="006D1E1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D1E1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D1E1C"/>
    <w:rPr>
      <w:vertAlign w:val="superscript"/>
    </w:rPr>
  </w:style>
  <w:style w:type="paragraph" w:styleId="berarbeitung">
    <w:name w:val="Revision"/>
    <w:hidden/>
    <w:uiPriority w:val="99"/>
    <w:semiHidden/>
    <w:rsid w:val="00F32820"/>
  </w:style>
  <w:style w:type="paragraph" w:styleId="Kopfzeile">
    <w:name w:val="header"/>
    <w:basedOn w:val="Standard"/>
    <w:link w:val="KopfzeileZchn"/>
    <w:uiPriority w:val="99"/>
    <w:unhideWhenUsed/>
    <w:rsid w:val="001B1E2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1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1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Herzog</dc:creator>
  <cp:keywords/>
  <dc:description/>
  <cp:lastModifiedBy>Christian Herzog</cp:lastModifiedBy>
  <cp:revision>11</cp:revision>
  <cp:lastPrinted>2023-09-08T10:18:00Z</cp:lastPrinted>
  <dcterms:created xsi:type="dcterms:W3CDTF">2024-03-07T12:23:00Z</dcterms:created>
  <dcterms:modified xsi:type="dcterms:W3CDTF">2025-03-12T15:05:00Z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72ba27-cab8-4042-a351-a31f6e4eacdc_Enabled">
    <vt:lpwstr>true</vt:lpwstr>
  </property>
  <property fmtid="{D5CDD505-2E9C-101B-9397-08002B2CF9AE}" pid="3" name="MSIP_Label_8772ba27-cab8-4042-a351-a31f6e4eacdc_SetDate">
    <vt:lpwstr>2024-03-07T12:23:52Z</vt:lpwstr>
  </property>
  <property fmtid="{D5CDD505-2E9C-101B-9397-08002B2CF9AE}" pid="4" name="MSIP_Label_8772ba27-cab8-4042-a351-a31f6e4eacdc_Method">
    <vt:lpwstr>Standard</vt:lpwstr>
  </property>
  <property fmtid="{D5CDD505-2E9C-101B-9397-08002B2CF9AE}" pid="5" name="MSIP_Label_8772ba27-cab8-4042-a351-a31f6e4eacdc_Name">
    <vt:lpwstr>Internal</vt:lpwstr>
  </property>
  <property fmtid="{D5CDD505-2E9C-101B-9397-08002B2CF9AE}" pid="6" name="MSIP_Label_8772ba27-cab8-4042-a351-a31f6e4eacdc_SiteId">
    <vt:lpwstr>715902d6-f63e-4b8d-929b-4bb170bad492</vt:lpwstr>
  </property>
  <property fmtid="{D5CDD505-2E9C-101B-9397-08002B2CF9AE}" pid="7" name="MSIP_Label_8772ba27-cab8-4042-a351-a31f6e4eacdc_ActionId">
    <vt:lpwstr>c0468a88-002e-4f61-aefa-6d753e9cb625</vt:lpwstr>
  </property>
  <property fmtid="{D5CDD505-2E9C-101B-9397-08002B2CF9AE}" pid="8" name="MSIP_Label_8772ba27-cab8-4042-a351-a31f6e4eacdc_ContentBits">
    <vt:lpwstr>0</vt:lpwstr>
  </property>
</Properties>
</file>