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194047180"/>
      <w:bookmarkEnd w:id="0"/>
      <w:r w:rsidRPr="001549D3">
        <w:t>Supplementary Material</w:t>
      </w:r>
    </w:p>
    <w:p w14:paraId="5E584EE8" w14:textId="2AFDA133" w:rsidR="00994A3D" w:rsidRPr="00994A3D" w:rsidRDefault="00654E8F" w:rsidP="0001436A">
      <w:pPr>
        <w:pStyle w:val="1"/>
      </w:pPr>
      <w:r w:rsidRPr="00994A3D">
        <w:t>Supplementary Figures and Tables</w:t>
      </w:r>
    </w:p>
    <w:p w14:paraId="07970E94" w14:textId="36599501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077CA498" w:rsidR="00994A3D" w:rsidRPr="001549D3" w:rsidRDefault="0060701E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C66ABBC" wp14:editId="3853E00F">
            <wp:extent cx="6208395" cy="2027555"/>
            <wp:effectExtent l="0" t="0" r="1905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75304594" w:rsidR="00994A3D" w:rsidRDefault="00690A8C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690A8C">
        <w:rPr>
          <w:rFonts w:cs="Times New Roman"/>
          <w:szCs w:val="24"/>
        </w:rPr>
        <w:t>Parameters of spin-coating.</w:t>
      </w:r>
    </w:p>
    <w:p w14:paraId="63ED62B3" w14:textId="77777777" w:rsidR="00690A8C" w:rsidRPr="002B4A57" w:rsidRDefault="00690A8C" w:rsidP="002B4A57">
      <w:pPr>
        <w:keepNext/>
        <w:rPr>
          <w:rFonts w:cs="Times New Roman"/>
          <w:b/>
          <w:szCs w:val="24"/>
        </w:rPr>
      </w:pPr>
    </w:p>
    <w:p w14:paraId="58F1AED1" w14:textId="35FA73D6" w:rsidR="00DE23E8" w:rsidRDefault="0060701E" w:rsidP="00690A8C">
      <w:pPr>
        <w:spacing w:before="240"/>
        <w:jc w:val="center"/>
      </w:pPr>
      <w:r>
        <w:rPr>
          <w:noProof/>
        </w:rPr>
        <w:drawing>
          <wp:inline distT="0" distB="0" distL="0" distR="0" wp14:anchorId="1708A092" wp14:editId="21AB010C">
            <wp:extent cx="3481897" cy="4398579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28" cy="44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4A34A" w14:textId="658D2BF5" w:rsidR="00690A8C" w:rsidRPr="00825F64" w:rsidRDefault="00D036F3" w:rsidP="00690A8C">
      <w:pPr>
        <w:rPr>
          <w:szCs w:val="24"/>
          <w:lang w:eastAsia="ja-JP"/>
        </w:rPr>
      </w:pPr>
      <w:r w:rsidRPr="00D13098">
        <w:rPr>
          <w:b/>
          <w:bCs/>
          <w:szCs w:val="24"/>
          <w:lang w:eastAsia="ja-JP"/>
        </w:rPr>
        <w:t xml:space="preserve">Supplementary </w:t>
      </w:r>
      <w:r w:rsidR="00690A8C" w:rsidRPr="00D13098">
        <w:rPr>
          <w:b/>
          <w:bCs/>
          <w:szCs w:val="24"/>
          <w:lang w:eastAsia="ja-JP"/>
        </w:rPr>
        <w:t>Figure 2.</w:t>
      </w:r>
      <w:r w:rsidR="00690A8C" w:rsidRPr="00825F64">
        <w:rPr>
          <w:szCs w:val="24"/>
          <w:lang w:eastAsia="ja-JP"/>
        </w:rPr>
        <w:t xml:space="preserve"> Exposure patterns of </w:t>
      </w:r>
      <w:r w:rsidR="00BB1A75">
        <w:rPr>
          <w:szCs w:val="24"/>
          <w:lang w:eastAsia="ja-JP"/>
        </w:rPr>
        <w:t>the</w:t>
      </w:r>
      <w:r w:rsidR="00D43EE1">
        <w:rPr>
          <w:szCs w:val="24"/>
          <w:lang w:eastAsia="ja-JP"/>
        </w:rPr>
        <w:t xml:space="preserve"> </w:t>
      </w:r>
      <w:r w:rsidR="00690A8C" w:rsidRPr="00825F64">
        <w:rPr>
          <w:szCs w:val="24"/>
          <w:lang w:eastAsia="ja-JP"/>
        </w:rPr>
        <w:t xml:space="preserve">SU-8 molds. (A) Shape of </w:t>
      </w:r>
      <w:r w:rsidR="00BB1A75">
        <w:rPr>
          <w:szCs w:val="24"/>
          <w:lang w:eastAsia="ja-JP"/>
        </w:rPr>
        <w:t>the</w:t>
      </w:r>
      <w:r w:rsidR="00D43EE1">
        <w:rPr>
          <w:szCs w:val="24"/>
          <w:lang w:eastAsia="ja-JP"/>
        </w:rPr>
        <w:t xml:space="preserve"> </w:t>
      </w:r>
      <w:proofErr w:type="spellStart"/>
      <w:r w:rsidR="00690A8C" w:rsidRPr="00825F64">
        <w:rPr>
          <w:szCs w:val="24"/>
          <w:lang w:eastAsia="ja-JP"/>
        </w:rPr>
        <w:t>microtunnel</w:t>
      </w:r>
      <w:proofErr w:type="spellEnd"/>
      <w:r w:rsidR="00690A8C" w:rsidRPr="00825F64">
        <w:rPr>
          <w:szCs w:val="24"/>
          <w:lang w:eastAsia="ja-JP"/>
        </w:rPr>
        <w:t xml:space="preserve"> mold; 20 </w:t>
      </w:r>
      <w:proofErr w:type="spellStart"/>
      <w:r w:rsidR="00690A8C" w:rsidRPr="00825F64">
        <w:rPr>
          <w:szCs w:val="24"/>
          <w:lang w:eastAsia="ja-JP"/>
        </w:rPr>
        <w:t>microtunnels</w:t>
      </w:r>
      <w:proofErr w:type="spellEnd"/>
      <w:r w:rsidR="00690A8C" w:rsidRPr="00825F64">
        <w:rPr>
          <w:szCs w:val="24"/>
          <w:lang w:eastAsia="ja-JP"/>
        </w:rPr>
        <w:t xml:space="preserve"> were made in rectangular patterns. (B) Shape of </w:t>
      </w:r>
      <w:r w:rsidR="00BB1A75">
        <w:rPr>
          <w:szCs w:val="24"/>
          <w:lang w:eastAsia="ja-JP"/>
        </w:rPr>
        <w:t>the</w:t>
      </w:r>
      <w:r w:rsidR="00D43EE1">
        <w:rPr>
          <w:szCs w:val="24"/>
          <w:lang w:eastAsia="ja-JP"/>
        </w:rPr>
        <w:t xml:space="preserve"> </w:t>
      </w:r>
      <w:r w:rsidR="00690A8C" w:rsidRPr="00825F64">
        <w:rPr>
          <w:szCs w:val="24"/>
          <w:lang w:eastAsia="ja-JP"/>
        </w:rPr>
        <w:t>culture chamber mold; 2 chambers were made in rectangular patterns.</w:t>
      </w:r>
    </w:p>
    <w:p w14:paraId="6ECAC839" w14:textId="018FD742" w:rsidR="0060701E" w:rsidRDefault="00A06129" w:rsidP="00D13098">
      <w:pPr>
        <w:jc w:val="center"/>
        <w:rPr>
          <w:szCs w:val="24"/>
          <w:highlight w:val="yellow"/>
          <w:lang w:eastAsia="ja-JP"/>
        </w:rPr>
      </w:pPr>
      <w:r>
        <w:rPr>
          <w:noProof/>
          <w:szCs w:val="24"/>
          <w:lang w:eastAsia="ja-JP"/>
        </w:rPr>
        <w:lastRenderedPageBreak/>
        <w:drawing>
          <wp:inline distT="0" distB="0" distL="0" distR="0" wp14:anchorId="0641A558" wp14:editId="23A3FF7D">
            <wp:extent cx="6208395" cy="2138680"/>
            <wp:effectExtent l="0" t="0" r="190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クリーンショット 2025-04-01 23.58.3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8D88" w14:textId="59F4F232" w:rsidR="00690A8C" w:rsidRDefault="0060701E" w:rsidP="00D13098">
      <w:pPr>
        <w:rPr>
          <w:szCs w:val="24"/>
          <w:lang w:eastAsia="ja-JP"/>
        </w:rPr>
      </w:pPr>
      <w:r w:rsidRPr="00D13098">
        <w:rPr>
          <w:b/>
          <w:bCs/>
          <w:szCs w:val="24"/>
          <w:lang w:eastAsia="ja-JP"/>
        </w:rPr>
        <w:t xml:space="preserve">Supplementary Figure </w:t>
      </w:r>
      <w:r w:rsidR="00D13098">
        <w:rPr>
          <w:b/>
          <w:bCs/>
          <w:szCs w:val="24"/>
          <w:lang w:eastAsia="ja-JP"/>
        </w:rPr>
        <w:t>3</w:t>
      </w:r>
      <w:r w:rsidRPr="00D13098">
        <w:rPr>
          <w:b/>
          <w:bCs/>
          <w:szCs w:val="24"/>
          <w:lang w:eastAsia="ja-JP"/>
        </w:rPr>
        <w:t>.</w:t>
      </w:r>
      <w:r w:rsidRPr="00D13098">
        <w:rPr>
          <w:szCs w:val="24"/>
          <w:lang w:eastAsia="ja-JP"/>
        </w:rPr>
        <w:t xml:space="preserve"> </w:t>
      </w:r>
      <w:r w:rsidRPr="0060701E">
        <w:rPr>
          <w:szCs w:val="24"/>
          <w:lang w:eastAsia="ja-JP"/>
        </w:rPr>
        <w:t xml:space="preserve">Peak Detection in Immunofluorescence Staining of DRG Neurons. The Peripherin+ </w:t>
      </w:r>
      <w:r w:rsidR="00D13098">
        <w:rPr>
          <w:szCs w:val="24"/>
          <w:lang w:eastAsia="ja-JP"/>
        </w:rPr>
        <w:t>areas</w:t>
      </w:r>
      <w:r w:rsidRPr="0060701E">
        <w:rPr>
          <w:szCs w:val="24"/>
          <w:lang w:eastAsia="ja-JP"/>
        </w:rPr>
        <w:t xml:space="preserve"> are shown in red (A), while the NeuN+ </w:t>
      </w:r>
      <w:r w:rsidR="00D13098">
        <w:rPr>
          <w:szCs w:val="24"/>
          <w:lang w:eastAsia="ja-JP"/>
        </w:rPr>
        <w:t>areas</w:t>
      </w:r>
      <w:r w:rsidRPr="0060701E">
        <w:rPr>
          <w:szCs w:val="24"/>
          <w:lang w:eastAsia="ja-JP"/>
        </w:rPr>
        <w:t xml:space="preserve"> are shown in green (B). Brightness peaks are depicted in yellow in both (A) and (B). (C) Identification of Peripherin+/NeuN+ neurons. Peaks in the Peripherin+ regions are indicated in red, and those in the NeuN+ regions are indicated in green. </w:t>
      </w:r>
      <w:r w:rsidR="007569C5">
        <w:rPr>
          <w:szCs w:val="24"/>
          <w:lang w:eastAsia="ja-JP"/>
        </w:rPr>
        <w:t>W</w:t>
      </w:r>
      <w:r w:rsidR="007569C5" w:rsidRPr="009F39C1">
        <w:rPr>
          <w:szCs w:val="24"/>
          <w:lang w:eastAsia="ja-JP"/>
        </w:rPr>
        <w:t>hite-circled areas containing both red and green peak points represent Peripherin+/NeuN+ neurons.</w:t>
      </w:r>
      <w:r w:rsidR="007569C5">
        <w:rPr>
          <w:szCs w:val="24"/>
          <w:lang w:eastAsia="ja-JP"/>
        </w:rPr>
        <w:t xml:space="preserve"> </w:t>
      </w:r>
      <w:r w:rsidRPr="0060701E">
        <w:rPr>
          <w:szCs w:val="24"/>
          <w:lang w:eastAsia="ja-JP"/>
        </w:rPr>
        <w:t>Peripherin+/NeuN+ neurons were identified based on the distance between the peaks.</w:t>
      </w:r>
    </w:p>
    <w:p w14:paraId="0B0A8C85" w14:textId="2EBD84FD" w:rsidR="00D13098" w:rsidRDefault="00D13098" w:rsidP="00D13098"/>
    <w:p w14:paraId="1A57E5C4" w14:textId="77777777" w:rsidR="00D13098" w:rsidRDefault="00D13098" w:rsidP="00D13098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29D571DB" wp14:editId="7C7D94F4">
            <wp:extent cx="4727047" cy="7410734"/>
            <wp:effectExtent l="0" t="0" r="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715" cy="742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9A01" w14:textId="0ECE76AA" w:rsidR="00D13098" w:rsidRPr="00DF388C" w:rsidRDefault="00D13098" w:rsidP="00D13098">
      <w:pPr>
        <w:rPr>
          <w:rFonts w:hint="eastAsia"/>
          <w:szCs w:val="24"/>
          <w:lang w:eastAsia="ja-JP"/>
        </w:rPr>
      </w:pPr>
      <w:r w:rsidRPr="00D13098">
        <w:rPr>
          <w:b/>
          <w:bCs/>
          <w:szCs w:val="24"/>
          <w:lang w:eastAsia="ja-JP"/>
        </w:rPr>
        <w:t xml:space="preserve">Supplementary Figure </w:t>
      </w:r>
      <w:r>
        <w:rPr>
          <w:b/>
          <w:bCs/>
          <w:szCs w:val="24"/>
          <w:lang w:eastAsia="ja-JP"/>
        </w:rPr>
        <w:t>4</w:t>
      </w:r>
      <w:r w:rsidRPr="00D13098">
        <w:rPr>
          <w:b/>
          <w:bCs/>
          <w:szCs w:val="24"/>
          <w:lang w:eastAsia="ja-JP"/>
        </w:rPr>
        <w:t>.</w:t>
      </w:r>
      <w:r w:rsidRPr="00D13098">
        <w:rPr>
          <w:szCs w:val="24"/>
          <w:lang w:eastAsia="ja-JP"/>
        </w:rPr>
        <w:t xml:space="preserve"> Immunofluorescence staining of DRG neurons. CGRP+ neurons are indicated in red, and B3T+ neurons are depicted in green. A total of 10.8% of DRG neurons were positive for CGRP.</w:t>
      </w:r>
    </w:p>
    <w:sectPr w:rsidR="00D13098" w:rsidRPr="00DF388C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A1D9E" w14:textId="77777777" w:rsidR="00C92E13" w:rsidRDefault="00C92E13" w:rsidP="00117666">
      <w:pPr>
        <w:spacing w:after="0"/>
      </w:pPr>
      <w:r>
        <w:separator/>
      </w:r>
    </w:p>
  </w:endnote>
  <w:endnote w:type="continuationSeparator" w:id="0">
    <w:p w14:paraId="3968DA95" w14:textId="77777777" w:rsidR="00C92E13" w:rsidRDefault="00C92E1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D10C8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D10C8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D10C8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D10C8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D10C8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D10C8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FB91D" w14:textId="77777777" w:rsidR="00C92E13" w:rsidRDefault="00C92E13" w:rsidP="00117666">
      <w:pPr>
        <w:spacing w:after="0"/>
      </w:pPr>
      <w:r>
        <w:separator/>
      </w:r>
    </w:p>
  </w:footnote>
  <w:footnote w:type="continuationSeparator" w:id="0">
    <w:p w14:paraId="2BD84B93" w14:textId="77777777" w:rsidR="00C92E13" w:rsidRDefault="00C92E1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D10C8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D10C8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19840514">
    <w:abstractNumId w:val="0"/>
  </w:num>
  <w:num w:numId="2" w16cid:durableId="1555628529">
    <w:abstractNumId w:val="4"/>
  </w:num>
  <w:num w:numId="3" w16cid:durableId="455871040">
    <w:abstractNumId w:val="1"/>
  </w:num>
  <w:num w:numId="4" w16cid:durableId="840773218">
    <w:abstractNumId w:val="5"/>
  </w:num>
  <w:num w:numId="5" w16cid:durableId="15741206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207116">
    <w:abstractNumId w:val="3"/>
  </w:num>
  <w:num w:numId="7" w16cid:durableId="1649364846">
    <w:abstractNumId w:val="6"/>
  </w:num>
  <w:num w:numId="8" w16cid:durableId="1308822545">
    <w:abstractNumId w:val="6"/>
  </w:num>
  <w:num w:numId="9" w16cid:durableId="1855992761">
    <w:abstractNumId w:val="6"/>
  </w:num>
  <w:num w:numId="10" w16cid:durableId="604504880">
    <w:abstractNumId w:val="6"/>
  </w:num>
  <w:num w:numId="11" w16cid:durableId="393623862">
    <w:abstractNumId w:val="6"/>
  </w:num>
  <w:num w:numId="12" w16cid:durableId="2139106604">
    <w:abstractNumId w:val="6"/>
  </w:num>
  <w:num w:numId="13" w16cid:durableId="1726298293">
    <w:abstractNumId w:val="3"/>
  </w:num>
  <w:num w:numId="14" w16cid:durableId="1170220031">
    <w:abstractNumId w:val="2"/>
  </w:num>
  <w:num w:numId="15" w16cid:durableId="1821313862">
    <w:abstractNumId w:val="2"/>
  </w:num>
  <w:num w:numId="16" w16cid:durableId="338895159">
    <w:abstractNumId w:val="2"/>
  </w:num>
  <w:num w:numId="17" w16cid:durableId="63070145">
    <w:abstractNumId w:val="2"/>
  </w:num>
  <w:num w:numId="18" w16cid:durableId="984744051">
    <w:abstractNumId w:val="2"/>
  </w:num>
  <w:num w:numId="19" w16cid:durableId="4294677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08"/>
    <w:rsid w:val="00077D53"/>
    <w:rsid w:val="00105FD9"/>
    <w:rsid w:val="00117666"/>
    <w:rsid w:val="001514AE"/>
    <w:rsid w:val="001549D3"/>
    <w:rsid w:val="00160065"/>
    <w:rsid w:val="00177D84"/>
    <w:rsid w:val="001F633B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63B13"/>
    <w:rsid w:val="004735C8"/>
    <w:rsid w:val="004961FF"/>
    <w:rsid w:val="004B05C2"/>
    <w:rsid w:val="00517A89"/>
    <w:rsid w:val="005250F2"/>
    <w:rsid w:val="00593EEA"/>
    <w:rsid w:val="005A5EEE"/>
    <w:rsid w:val="0060701E"/>
    <w:rsid w:val="006375C7"/>
    <w:rsid w:val="00654E8F"/>
    <w:rsid w:val="00660D05"/>
    <w:rsid w:val="006820B1"/>
    <w:rsid w:val="00690A8C"/>
    <w:rsid w:val="006967A4"/>
    <w:rsid w:val="006B7D14"/>
    <w:rsid w:val="00701727"/>
    <w:rsid w:val="0070566C"/>
    <w:rsid w:val="00714C50"/>
    <w:rsid w:val="00725A7D"/>
    <w:rsid w:val="007501BE"/>
    <w:rsid w:val="007569C5"/>
    <w:rsid w:val="00772CCD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06129"/>
    <w:rsid w:val="00A174D9"/>
    <w:rsid w:val="00A569CD"/>
    <w:rsid w:val="00A70F9C"/>
    <w:rsid w:val="00AB5EE2"/>
    <w:rsid w:val="00AB6715"/>
    <w:rsid w:val="00B1671E"/>
    <w:rsid w:val="00B25EB8"/>
    <w:rsid w:val="00B354E1"/>
    <w:rsid w:val="00B37F4D"/>
    <w:rsid w:val="00BB1A75"/>
    <w:rsid w:val="00C52A7B"/>
    <w:rsid w:val="00C56BAF"/>
    <w:rsid w:val="00C679AA"/>
    <w:rsid w:val="00C75972"/>
    <w:rsid w:val="00C92E13"/>
    <w:rsid w:val="00CC0A3A"/>
    <w:rsid w:val="00CD066B"/>
    <w:rsid w:val="00CE4FEE"/>
    <w:rsid w:val="00D036F3"/>
    <w:rsid w:val="00D10C8A"/>
    <w:rsid w:val="00D13098"/>
    <w:rsid w:val="00D43EE1"/>
    <w:rsid w:val="00DB59C3"/>
    <w:rsid w:val="00DC259A"/>
    <w:rsid w:val="00DC4465"/>
    <w:rsid w:val="00DD0A2A"/>
    <w:rsid w:val="00DE23E8"/>
    <w:rsid w:val="00DF388C"/>
    <w:rsid w:val="00E52377"/>
    <w:rsid w:val="00E64E17"/>
    <w:rsid w:val="00E866C9"/>
    <w:rsid w:val="00EA3D3C"/>
    <w:rsid w:val="00F03C50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styleId="aff5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C31663-0C71-D547-896E-2FAADFF33E4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4</Pages>
  <Words>170</Words>
  <Characters>1006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宮原　優希</dc:creator>
  <cp:lastModifiedBy>優希 宮原</cp:lastModifiedBy>
  <cp:revision>2</cp:revision>
  <cp:lastPrinted>2013-10-03T12:51:00Z</cp:lastPrinted>
  <dcterms:created xsi:type="dcterms:W3CDTF">2025-04-28T00:36:00Z</dcterms:created>
  <dcterms:modified xsi:type="dcterms:W3CDTF">2025-04-28T00:36:00Z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92612cecc1630d40ddee8f17592035ca9769c5b07f8f47d394fc8791a82b6eb3</vt:lpwstr>
  </property>
</Properties>
</file>