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95AA58" w14:textId="77777777" w:rsidR="007E4C7D" w:rsidRPr="0090264B" w:rsidRDefault="007E4C7D" w:rsidP="00751667">
      <w:pPr>
        <w:widowControl/>
        <w:spacing w:line="480" w:lineRule="auto"/>
        <w:rPr>
          <w:rFonts w:ascii="Times New Roman" w:hAnsi="Times New Roman" w:cs="Times New Roman"/>
          <w:b/>
          <w:bCs/>
          <w:sz w:val="24"/>
          <w:szCs w:val="24"/>
        </w:rPr>
      </w:pPr>
      <w:r w:rsidRPr="0090264B">
        <w:rPr>
          <w:rStyle w:val="Strong"/>
          <w:rFonts w:ascii="Times New Roman" w:hAnsi="Times New Roman" w:cs="Times New Roman"/>
          <w:sz w:val="24"/>
          <w:szCs w:val="24"/>
        </w:rPr>
        <w:t>Triple Reversal Phenomenon in EGFR-Mutant Lung Adenocarcinoma with Prostate Metastasis Following Hepatocellular Carcinoma: A Rare Case Report with Diagnostic and Therapeutic Implications</w:t>
      </w:r>
    </w:p>
    <w:p w14:paraId="65B4AF55" w14:textId="32E8323A" w:rsidR="007E4C7D" w:rsidRPr="0090264B" w:rsidRDefault="007E4C7D" w:rsidP="00751667">
      <w:pPr>
        <w:widowControl/>
        <w:spacing w:line="480" w:lineRule="auto"/>
        <w:rPr>
          <w:rFonts w:ascii="Times New Roman" w:hAnsi="Times New Roman" w:cs="Times New Roman"/>
          <w:sz w:val="24"/>
          <w:szCs w:val="24"/>
        </w:rPr>
      </w:pPr>
      <w:r w:rsidRPr="0090264B">
        <w:rPr>
          <w:rFonts w:ascii="Times New Roman" w:hAnsi="Times New Roman" w:cs="Times New Roman"/>
          <w:sz w:val="24"/>
          <w:szCs w:val="24"/>
        </w:rPr>
        <w:t>Jieyan Luo</w:t>
      </w:r>
      <w:r w:rsidRPr="0090264B">
        <w:rPr>
          <w:rFonts w:ascii="Times New Roman" w:hAnsi="Times New Roman" w:cs="Times New Roman"/>
          <w:sz w:val="24"/>
          <w:szCs w:val="24"/>
          <w:vertAlign w:val="superscript"/>
        </w:rPr>
        <w:t>1</w:t>
      </w:r>
      <w:r w:rsidRPr="0090264B">
        <w:rPr>
          <w:rFonts w:ascii="Times New Roman" w:hAnsi="Times New Roman" w:cs="Times New Roman"/>
          <w:sz w:val="24"/>
          <w:szCs w:val="24"/>
        </w:rPr>
        <w:t xml:space="preserve">, </w:t>
      </w:r>
      <w:r w:rsidR="004F450B" w:rsidRPr="004F450B">
        <w:rPr>
          <w:rFonts w:ascii="Times New Roman" w:hAnsi="Times New Roman" w:cs="Times New Roman"/>
          <w:sz w:val="24"/>
          <w:szCs w:val="24"/>
        </w:rPr>
        <w:t>Jie Zhou</w:t>
      </w:r>
      <w:r w:rsidR="004F450B" w:rsidRPr="004F450B">
        <w:rPr>
          <w:rFonts w:ascii="Times New Roman" w:hAnsi="Times New Roman" w:cs="Times New Roman"/>
          <w:sz w:val="24"/>
          <w:szCs w:val="24"/>
          <w:vertAlign w:val="superscript"/>
        </w:rPr>
        <w:t>1</w:t>
      </w:r>
      <w:r w:rsidR="004F450B">
        <w:rPr>
          <w:rFonts w:ascii="Times New Roman" w:hAnsi="Times New Roman" w:cs="Times New Roman"/>
          <w:sz w:val="24"/>
          <w:szCs w:val="24"/>
        </w:rPr>
        <w:t xml:space="preserve">, </w:t>
      </w:r>
      <w:r w:rsidRPr="0090264B">
        <w:rPr>
          <w:rFonts w:ascii="Times New Roman" w:hAnsi="Times New Roman" w:cs="Times New Roman"/>
          <w:sz w:val="24"/>
          <w:szCs w:val="24"/>
        </w:rPr>
        <w:t>Li Liu</w:t>
      </w:r>
      <w:r w:rsidRPr="0090264B">
        <w:rPr>
          <w:rFonts w:ascii="Times New Roman" w:hAnsi="Times New Roman" w:cs="Times New Roman"/>
          <w:sz w:val="24"/>
          <w:szCs w:val="24"/>
          <w:vertAlign w:val="superscript"/>
        </w:rPr>
        <w:t>1</w:t>
      </w:r>
      <w:r w:rsidRPr="0090264B">
        <w:rPr>
          <w:rFonts w:ascii="Times New Roman" w:hAnsi="Times New Roman" w:cs="Times New Roman"/>
          <w:sz w:val="24"/>
          <w:szCs w:val="24"/>
        </w:rPr>
        <w:t>*</w:t>
      </w:r>
    </w:p>
    <w:p w14:paraId="5FB74704" w14:textId="77777777" w:rsidR="007E4C7D" w:rsidRPr="0090264B" w:rsidRDefault="007E4C7D" w:rsidP="00751667">
      <w:pPr>
        <w:widowControl/>
        <w:spacing w:line="480" w:lineRule="auto"/>
        <w:rPr>
          <w:rFonts w:ascii="Times New Roman" w:hAnsi="Times New Roman" w:cs="Times New Roman"/>
          <w:sz w:val="24"/>
          <w:szCs w:val="24"/>
        </w:rPr>
      </w:pPr>
      <w:r w:rsidRPr="0090264B">
        <w:rPr>
          <w:rFonts w:ascii="Times New Roman" w:hAnsi="Times New Roman" w:cs="Times New Roman"/>
          <w:sz w:val="24"/>
          <w:szCs w:val="24"/>
          <w:vertAlign w:val="superscript"/>
        </w:rPr>
        <w:t>1</w:t>
      </w:r>
      <w:r w:rsidRPr="0090264B">
        <w:rPr>
          <w:rFonts w:ascii="Times New Roman" w:hAnsi="Times New Roman" w:cs="Times New Roman"/>
          <w:sz w:val="24"/>
          <w:szCs w:val="24"/>
        </w:rPr>
        <w:t>Cancer Center, Ziyang Central Hospital, No. 66, Rende West Road, Yanjiang District, Ziyang City, Sichuan Province, 641300, China.</w:t>
      </w:r>
    </w:p>
    <w:p w14:paraId="152C426B" w14:textId="77777777" w:rsidR="007E4C7D" w:rsidRPr="0090264B" w:rsidRDefault="007E4C7D" w:rsidP="00751667">
      <w:pPr>
        <w:widowControl/>
        <w:spacing w:line="480" w:lineRule="auto"/>
        <w:rPr>
          <w:rFonts w:ascii="Times New Roman" w:hAnsi="Times New Roman" w:cs="Times New Roman"/>
          <w:sz w:val="24"/>
          <w:szCs w:val="24"/>
        </w:rPr>
      </w:pPr>
    </w:p>
    <w:p w14:paraId="08091731" w14:textId="572988BA" w:rsidR="005B7C3E" w:rsidRPr="0090264B" w:rsidRDefault="007E4C7D" w:rsidP="00751667">
      <w:pPr>
        <w:spacing w:line="480" w:lineRule="auto"/>
        <w:rPr>
          <w:rFonts w:ascii="Times New Roman" w:hAnsi="Times New Roman" w:cs="Times New Roman"/>
          <w:sz w:val="24"/>
          <w:szCs w:val="24"/>
        </w:rPr>
      </w:pPr>
      <w:r w:rsidRPr="0090264B">
        <w:rPr>
          <w:rFonts w:ascii="Times New Roman" w:hAnsi="Times New Roman" w:cs="Times New Roman"/>
          <w:b/>
          <w:bCs/>
          <w:sz w:val="24"/>
          <w:szCs w:val="24"/>
        </w:rPr>
        <w:t>*Corresponding author</w:t>
      </w:r>
      <w:r w:rsidRPr="0090264B">
        <w:rPr>
          <w:rFonts w:ascii="Times New Roman" w:hAnsi="Times New Roman" w:cs="Times New Roman"/>
          <w:sz w:val="24"/>
          <w:szCs w:val="24"/>
        </w:rPr>
        <w:t xml:space="preserve">: Dr. Li Liu, Cancer Center, Ziyang Central Hospital, No. 66, Rende West Road, Yanjiang District, Ziyang City, Sichuan Province, 641300, China. </w:t>
      </w:r>
      <w:r w:rsidR="00EC6621" w:rsidRPr="0090264B">
        <w:rPr>
          <w:rFonts w:ascii="Times New Roman" w:hAnsi="Times New Roman" w:cs="Times New Roman"/>
          <w:sz w:val="24"/>
          <w:szCs w:val="24"/>
        </w:rPr>
        <w:t xml:space="preserve">E-mail: </w:t>
      </w:r>
      <w:hyperlink r:id="rId6" w:history="1">
        <w:r w:rsidR="00EC6621" w:rsidRPr="0090264B">
          <w:rPr>
            <w:rStyle w:val="Hyperlink"/>
            <w:rFonts w:ascii="Times New Roman" w:hAnsi="Times New Roman" w:cs="Times New Roman"/>
            <w:color w:val="auto"/>
            <w:sz w:val="24"/>
            <w:szCs w:val="24"/>
          </w:rPr>
          <w:t>764609577@qq.com</w:t>
        </w:r>
      </w:hyperlink>
    </w:p>
    <w:p w14:paraId="2C03CFFB" w14:textId="77777777" w:rsidR="00230E19" w:rsidRPr="0090264B" w:rsidRDefault="00230E19" w:rsidP="00751667">
      <w:pPr>
        <w:spacing w:line="480" w:lineRule="auto"/>
        <w:rPr>
          <w:rFonts w:ascii="Times New Roman" w:hAnsi="Times New Roman" w:cs="Times New Roman"/>
          <w:sz w:val="24"/>
          <w:szCs w:val="24"/>
        </w:rPr>
      </w:pPr>
    </w:p>
    <w:p w14:paraId="1979D63B" w14:textId="77777777" w:rsidR="00230E19" w:rsidRPr="0090264B" w:rsidRDefault="00230E19" w:rsidP="00230E19">
      <w:pPr>
        <w:pStyle w:val="Caption"/>
        <w:keepNext/>
        <w:rPr>
          <w:rFonts w:ascii="Times New Roman" w:hAnsi="Times New Roman" w:cs="Times New Roman"/>
          <w:b/>
          <w:bCs/>
          <w:i w:val="0"/>
          <w:iCs w:val="0"/>
          <w:color w:val="auto"/>
          <w:sz w:val="24"/>
          <w:szCs w:val="24"/>
        </w:rPr>
      </w:pPr>
    </w:p>
    <w:p w14:paraId="43A712FD" w14:textId="77777777" w:rsidR="00230E19" w:rsidRPr="0090264B" w:rsidRDefault="00230E19" w:rsidP="00230E19">
      <w:pPr>
        <w:pStyle w:val="Caption"/>
        <w:keepNext/>
        <w:rPr>
          <w:rFonts w:ascii="Times New Roman" w:hAnsi="Times New Roman" w:cs="Times New Roman"/>
          <w:b/>
          <w:bCs/>
          <w:i w:val="0"/>
          <w:iCs w:val="0"/>
          <w:color w:val="auto"/>
          <w:sz w:val="24"/>
          <w:szCs w:val="24"/>
        </w:rPr>
      </w:pPr>
    </w:p>
    <w:p w14:paraId="67ADAB52" w14:textId="77777777" w:rsidR="00230E19" w:rsidRPr="0090264B" w:rsidRDefault="00230E19" w:rsidP="00230E19">
      <w:pPr>
        <w:pStyle w:val="Caption"/>
        <w:keepNext/>
        <w:rPr>
          <w:rFonts w:ascii="Times New Roman" w:hAnsi="Times New Roman" w:cs="Times New Roman"/>
          <w:b/>
          <w:bCs/>
          <w:i w:val="0"/>
          <w:iCs w:val="0"/>
          <w:color w:val="auto"/>
          <w:sz w:val="24"/>
          <w:szCs w:val="24"/>
        </w:rPr>
      </w:pPr>
    </w:p>
    <w:p w14:paraId="640155EA" w14:textId="77777777" w:rsidR="00230E19" w:rsidRPr="0090264B" w:rsidRDefault="00230E19" w:rsidP="00230E19">
      <w:pPr>
        <w:pStyle w:val="Caption"/>
        <w:keepNext/>
        <w:rPr>
          <w:rFonts w:ascii="Times New Roman" w:hAnsi="Times New Roman" w:cs="Times New Roman"/>
          <w:b/>
          <w:bCs/>
          <w:i w:val="0"/>
          <w:iCs w:val="0"/>
          <w:color w:val="auto"/>
          <w:sz w:val="24"/>
          <w:szCs w:val="24"/>
        </w:rPr>
      </w:pPr>
    </w:p>
    <w:p w14:paraId="070F33A0" w14:textId="77777777" w:rsidR="00230E19" w:rsidRPr="0090264B" w:rsidRDefault="00230E19" w:rsidP="00230E19">
      <w:pPr>
        <w:pStyle w:val="Caption"/>
        <w:keepNext/>
        <w:rPr>
          <w:rFonts w:ascii="Times New Roman" w:hAnsi="Times New Roman" w:cs="Times New Roman"/>
          <w:b/>
          <w:bCs/>
          <w:i w:val="0"/>
          <w:iCs w:val="0"/>
          <w:color w:val="auto"/>
          <w:sz w:val="24"/>
          <w:szCs w:val="24"/>
        </w:rPr>
      </w:pPr>
    </w:p>
    <w:p w14:paraId="38D4D3F7" w14:textId="77777777" w:rsidR="00230E19" w:rsidRPr="0090264B" w:rsidRDefault="00230E19" w:rsidP="00230E19">
      <w:pPr>
        <w:pStyle w:val="Caption"/>
        <w:keepNext/>
        <w:rPr>
          <w:rFonts w:ascii="Times New Roman" w:hAnsi="Times New Roman" w:cs="Times New Roman"/>
          <w:b/>
          <w:bCs/>
          <w:i w:val="0"/>
          <w:iCs w:val="0"/>
          <w:color w:val="auto"/>
          <w:sz w:val="24"/>
          <w:szCs w:val="24"/>
        </w:rPr>
      </w:pPr>
    </w:p>
    <w:p w14:paraId="0C8D4222" w14:textId="77777777" w:rsidR="00230E19" w:rsidRPr="0090264B" w:rsidRDefault="00230E19" w:rsidP="00230E19">
      <w:pPr>
        <w:pStyle w:val="Caption"/>
        <w:keepNext/>
        <w:rPr>
          <w:rFonts w:ascii="Times New Roman" w:hAnsi="Times New Roman" w:cs="Times New Roman"/>
          <w:b/>
          <w:bCs/>
          <w:i w:val="0"/>
          <w:iCs w:val="0"/>
          <w:color w:val="auto"/>
          <w:sz w:val="24"/>
          <w:szCs w:val="24"/>
        </w:rPr>
      </w:pPr>
    </w:p>
    <w:p w14:paraId="4EE60C64" w14:textId="77777777" w:rsidR="00230E19" w:rsidRPr="0090264B" w:rsidRDefault="00230E19" w:rsidP="00230E19">
      <w:pPr>
        <w:pStyle w:val="Caption"/>
        <w:keepNext/>
        <w:rPr>
          <w:rFonts w:ascii="Times New Roman" w:hAnsi="Times New Roman" w:cs="Times New Roman"/>
          <w:b/>
          <w:bCs/>
          <w:i w:val="0"/>
          <w:iCs w:val="0"/>
          <w:color w:val="auto"/>
          <w:sz w:val="24"/>
          <w:szCs w:val="24"/>
        </w:rPr>
      </w:pPr>
    </w:p>
    <w:p w14:paraId="547221A7" w14:textId="77777777" w:rsidR="00230E19" w:rsidRPr="0090264B" w:rsidRDefault="00230E19" w:rsidP="00230E19">
      <w:pPr>
        <w:rPr>
          <w:rFonts w:ascii="Times New Roman" w:hAnsi="Times New Roman" w:cs="Times New Roman"/>
        </w:rPr>
      </w:pPr>
    </w:p>
    <w:p w14:paraId="47F300B0" w14:textId="77777777" w:rsidR="00230E19" w:rsidRPr="0090264B" w:rsidRDefault="00230E19" w:rsidP="00230E19">
      <w:pPr>
        <w:rPr>
          <w:rFonts w:ascii="Times New Roman" w:hAnsi="Times New Roman" w:cs="Times New Roman"/>
        </w:rPr>
      </w:pPr>
    </w:p>
    <w:p w14:paraId="31CD8065" w14:textId="77777777" w:rsidR="00230E19" w:rsidRPr="0090264B" w:rsidRDefault="00230E19" w:rsidP="00230E19">
      <w:pPr>
        <w:rPr>
          <w:rFonts w:ascii="Times New Roman" w:hAnsi="Times New Roman" w:cs="Times New Roman"/>
        </w:rPr>
      </w:pPr>
    </w:p>
    <w:p w14:paraId="6B205B03" w14:textId="77777777" w:rsidR="00230E19" w:rsidRPr="0090264B" w:rsidRDefault="00230E19" w:rsidP="00230E19">
      <w:pPr>
        <w:rPr>
          <w:rFonts w:ascii="Times New Roman" w:hAnsi="Times New Roman" w:cs="Times New Roman"/>
        </w:rPr>
      </w:pPr>
    </w:p>
    <w:p w14:paraId="4DFD3E89" w14:textId="77777777" w:rsidR="00230E19" w:rsidRPr="0090264B" w:rsidRDefault="00230E19" w:rsidP="00230E19">
      <w:pPr>
        <w:rPr>
          <w:rFonts w:ascii="Times New Roman" w:hAnsi="Times New Roman" w:cs="Times New Roman"/>
        </w:rPr>
      </w:pPr>
    </w:p>
    <w:p w14:paraId="537EE386" w14:textId="77777777" w:rsidR="00523CFA" w:rsidRPr="0090264B" w:rsidRDefault="00523CFA" w:rsidP="00230E19">
      <w:pPr>
        <w:rPr>
          <w:rFonts w:ascii="Times New Roman" w:hAnsi="Times New Roman" w:cs="Times New Roman"/>
        </w:rPr>
      </w:pPr>
    </w:p>
    <w:p w14:paraId="74405E5D" w14:textId="77777777" w:rsidR="00523CFA" w:rsidRPr="0090264B" w:rsidRDefault="00523CFA" w:rsidP="00230E19">
      <w:pPr>
        <w:rPr>
          <w:rFonts w:ascii="Times New Roman" w:hAnsi="Times New Roman" w:cs="Times New Roman"/>
        </w:rPr>
      </w:pPr>
    </w:p>
    <w:p w14:paraId="5EA23C78" w14:textId="77777777" w:rsidR="00523CFA" w:rsidRPr="0090264B" w:rsidRDefault="00523CFA" w:rsidP="00230E19">
      <w:pPr>
        <w:rPr>
          <w:rFonts w:ascii="Times New Roman" w:hAnsi="Times New Roman" w:cs="Times New Roman"/>
        </w:rPr>
      </w:pPr>
    </w:p>
    <w:p w14:paraId="6408A98D" w14:textId="77777777" w:rsidR="00523CFA" w:rsidRPr="0090264B" w:rsidRDefault="00523CFA" w:rsidP="00230E19">
      <w:pPr>
        <w:rPr>
          <w:rFonts w:ascii="Times New Roman" w:hAnsi="Times New Roman" w:cs="Times New Roman"/>
        </w:rPr>
      </w:pPr>
    </w:p>
    <w:p w14:paraId="0985A89E" w14:textId="77777777" w:rsidR="00523CFA" w:rsidRPr="0090264B" w:rsidRDefault="00523CFA" w:rsidP="00230E19">
      <w:pPr>
        <w:rPr>
          <w:rFonts w:ascii="Times New Roman" w:hAnsi="Times New Roman" w:cs="Times New Roman"/>
        </w:rPr>
      </w:pPr>
    </w:p>
    <w:p w14:paraId="742C9728" w14:textId="77777777" w:rsidR="00523CFA" w:rsidRPr="0090264B" w:rsidRDefault="00523CFA" w:rsidP="00230E19">
      <w:pPr>
        <w:rPr>
          <w:rFonts w:ascii="Times New Roman" w:hAnsi="Times New Roman" w:cs="Times New Roman"/>
        </w:rPr>
      </w:pPr>
    </w:p>
    <w:p w14:paraId="0EC22D27" w14:textId="77777777" w:rsidR="00523CFA" w:rsidRPr="0090264B" w:rsidRDefault="00523CFA" w:rsidP="00230E19">
      <w:pPr>
        <w:rPr>
          <w:rFonts w:ascii="Times New Roman" w:hAnsi="Times New Roman" w:cs="Times New Roman"/>
        </w:rPr>
      </w:pPr>
    </w:p>
    <w:p w14:paraId="55E88699" w14:textId="135CE848" w:rsidR="00523CFA" w:rsidRPr="0090264B" w:rsidRDefault="00523CFA" w:rsidP="00523CFA">
      <w:pPr>
        <w:spacing w:line="480" w:lineRule="auto"/>
        <w:rPr>
          <w:rFonts w:ascii="Times New Roman" w:hAnsi="Times New Roman" w:cs="Times New Roman"/>
          <w:sz w:val="24"/>
          <w:szCs w:val="24"/>
        </w:rPr>
      </w:pPr>
      <w:r w:rsidRPr="0090264B">
        <w:rPr>
          <w:rFonts w:ascii="Times New Roman" w:hAnsi="Times New Roman" w:cs="Times New Roman"/>
          <w:b/>
          <w:bCs/>
          <w:sz w:val="24"/>
          <w:szCs w:val="24"/>
        </w:rPr>
        <w:lastRenderedPageBreak/>
        <w:t>Supplementary Figure S1</w:t>
      </w:r>
      <w:r w:rsidRPr="0090264B">
        <w:rPr>
          <w:rFonts w:ascii="Times New Roman" w:hAnsi="Times New Roman" w:cs="Times New Roman"/>
          <w:sz w:val="24"/>
          <w:szCs w:val="24"/>
        </w:rPr>
        <w:t>:</w:t>
      </w:r>
      <w:r w:rsidR="00AB0B5C" w:rsidRPr="0090264B">
        <w:rPr>
          <w:rFonts w:ascii="Times New Roman" w:hAnsi="Times New Roman" w:cs="Times New Roman"/>
          <w:sz w:val="24"/>
          <w:szCs w:val="24"/>
        </w:rPr>
        <w:t xml:space="preserve"> </w:t>
      </w:r>
      <w:r w:rsidRPr="0090264B">
        <w:rPr>
          <w:rFonts w:ascii="Times New Roman" w:hAnsi="Times New Roman" w:cs="Times New Roman"/>
          <w:sz w:val="24"/>
          <w:szCs w:val="24"/>
        </w:rPr>
        <w:t>Immunohistochemistry (IHC)</w:t>
      </w:r>
      <w:r w:rsidR="00AB0B5C" w:rsidRPr="0090264B">
        <w:rPr>
          <w:rFonts w:ascii="Times New Roman" w:hAnsi="Times New Roman" w:cs="Times New Roman"/>
          <w:sz w:val="24"/>
          <w:szCs w:val="24"/>
        </w:rPr>
        <w:t xml:space="preserve"> of resected hepatocellumar carcinoma (HCC). (</w:t>
      </w:r>
      <w:r w:rsidR="00AB0B5C" w:rsidRPr="0090264B">
        <w:rPr>
          <w:rFonts w:ascii="Times New Roman" w:hAnsi="Times New Roman" w:cs="Times New Roman"/>
          <w:b/>
          <w:bCs/>
          <w:sz w:val="24"/>
          <w:szCs w:val="24"/>
        </w:rPr>
        <w:t>A</w:t>
      </w:r>
      <w:r w:rsidR="00AB0B5C" w:rsidRPr="0090264B">
        <w:rPr>
          <w:rFonts w:ascii="Times New Roman" w:hAnsi="Times New Roman" w:cs="Times New Roman"/>
          <w:sz w:val="24"/>
          <w:szCs w:val="24"/>
        </w:rPr>
        <w:t xml:space="preserve">)  Immunohistochemical staining of </w:t>
      </w:r>
      <w:r w:rsidRPr="0090264B">
        <w:rPr>
          <w:rFonts w:ascii="Times New Roman" w:hAnsi="Times New Roman" w:cs="Times New Roman"/>
          <w:sz w:val="24"/>
          <w:szCs w:val="24"/>
        </w:rPr>
        <w:t>GPC3</w:t>
      </w:r>
      <w:r w:rsidR="00AB0B5C" w:rsidRPr="0090264B">
        <w:rPr>
          <w:rFonts w:ascii="Times New Roman" w:hAnsi="Times New Roman" w:cs="Times New Roman"/>
          <w:sz w:val="24"/>
          <w:szCs w:val="24"/>
        </w:rPr>
        <w:t>. (</w:t>
      </w:r>
      <w:r w:rsidR="00AB0B5C" w:rsidRPr="0090264B">
        <w:rPr>
          <w:rFonts w:ascii="Times New Roman" w:hAnsi="Times New Roman" w:cs="Times New Roman"/>
          <w:b/>
          <w:bCs/>
          <w:sz w:val="24"/>
          <w:szCs w:val="24"/>
        </w:rPr>
        <w:t>B</w:t>
      </w:r>
      <w:r w:rsidR="00AB0B5C" w:rsidRPr="0090264B">
        <w:rPr>
          <w:rFonts w:ascii="Times New Roman" w:hAnsi="Times New Roman" w:cs="Times New Roman"/>
          <w:sz w:val="24"/>
          <w:szCs w:val="24"/>
        </w:rPr>
        <w:t xml:space="preserve">)  Immunohistochemical staining of </w:t>
      </w:r>
      <w:r w:rsidRPr="0090264B">
        <w:rPr>
          <w:rFonts w:ascii="Times New Roman" w:hAnsi="Times New Roman" w:cs="Times New Roman"/>
          <w:sz w:val="24"/>
          <w:szCs w:val="24"/>
        </w:rPr>
        <w:t>HepPar-1</w:t>
      </w:r>
      <w:r w:rsidR="00AB0B5C" w:rsidRPr="0090264B">
        <w:rPr>
          <w:rFonts w:ascii="Times New Roman" w:hAnsi="Times New Roman" w:cs="Times New Roman"/>
          <w:sz w:val="24"/>
          <w:szCs w:val="24"/>
        </w:rPr>
        <w:t>. (</w:t>
      </w:r>
      <w:r w:rsidR="00AB0B5C" w:rsidRPr="0090264B">
        <w:rPr>
          <w:rFonts w:ascii="Times New Roman" w:hAnsi="Times New Roman" w:cs="Times New Roman"/>
          <w:b/>
          <w:bCs/>
          <w:sz w:val="24"/>
          <w:szCs w:val="24"/>
        </w:rPr>
        <w:t>C</w:t>
      </w:r>
      <w:r w:rsidR="00AB0B5C" w:rsidRPr="0090264B">
        <w:rPr>
          <w:rFonts w:ascii="Times New Roman" w:hAnsi="Times New Roman" w:cs="Times New Roman"/>
          <w:sz w:val="24"/>
          <w:szCs w:val="24"/>
        </w:rPr>
        <w:t xml:space="preserve">) Immunohistochemical staining of </w:t>
      </w:r>
      <w:r w:rsidRPr="0090264B">
        <w:rPr>
          <w:rFonts w:ascii="Times New Roman" w:hAnsi="Times New Roman" w:cs="Times New Roman"/>
          <w:sz w:val="24"/>
          <w:szCs w:val="24"/>
        </w:rPr>
        <w:t>Reticulin Loss. This figure shows the immunohistochemistry (IHC) staining of the resected liver tissue from segments V and VI, confirming the diagnosis of hepatocellular carcinoma (HCC). The IHC results demonstrate strong positivity for GPC3 and HepPar-1, markers commonly associated with HCC. Additionally, reticulin loss is observed, further supporting the diagnosis of HCC in the resected specimen. Note: IHC was performed using standard protocols for GPC3, HepPar-1, and reticulin (Scale bar: 100 µm).</w:t>
      </w:r>
    </w:p>
    <w:p w14:paraId="5015FDAE" w14:textId="229C8B0B" w:rsidR="00523CFA" w:rsidRPr="0090264B" w:rsidRDefault="0015062F" w:rsidP="00230E19">
      <w:pPr>
        <w:rPr>
          <w:rFonts w:ascii="Times New Roman" w:hAnsi="Times New Roman" w:cs="Times New Roman"/>
          <w:sz w:val="24"/>
          <w:szCs w:val="24"/>
        </w:rPr>
      </w:pPr>
      <w:r w:rsidRPr="0090264B">
        <w:rPr>
          <w:noProof/>
        </w:rPr>
        <w:drawing>
          <wp:inline distT="0" distB="0" distL="0" distR="0" wp14:anchorId="53D38DB4" wp14:editId="0CE6FDC8">
            <wp:extent cx="6407838" cy="1951704"/>
            <wp:effectExtent l="0" t="0" r="0" b="0"/>
            <wp:docPr id="387874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57965" cy="1966972"/>
                    </a:xfrm>
                    <a:prstGeom prst="rect">
                      <a:avLst/>
                    </a:prstGeom>
                    <a:noFill/>
                    <a:ln>
                      <a:noFill/>
                    </a:ln>
                  </pic:spPr>
                </pic:pic>
              </a:graphicData>
            </a:graphic>
          </wp:inline>
        </w:drawing>
      </w:r>
    </w:p>
    <w:p w14:paraId="3F6EFBCA" w14:textId="77777777" w:rsidR="0015062F" w:rsidRPr="0090264B" w:rsidRDefault="0015062F" w:rsidP="0015062F">
      <w:pPr>
        <w:widowControl/>
        <w:spacing w:line="480" w:lineRule="auto"/>
        <w:rPr>
          <w:rFonts w:ascii="Times New Roman" w:hAnsi="Times New Roman" w:cs="Times New Roman"/>
          <w:b/>
          <w:bCs/>
          <w:sz w:val="24"/>
          <w:szCs w:val="24"/>
        </w:rPr>
      </w:pPr>
    </w:p>
    <w:p w14:paraId="44F26987" w14:textId="77777777" w:rsidR="0015062F" w:rsidRPr="0090264B" w:rsidRDefault="0015062F" w:rsidP="0015062F">
      <w:pPr>
        <w:widowControl/>
        <w:spacing w:line="480" w:lineRule="auto"/>
        <w:rPr>
          <w:rFonts w:ascii="Times New Roman" w:hAnsi="Times New Roman" w:cs="Times New Roman"/>
          <w:b/>
          <w:bCs/>
          <w:sz w:val="24"/>
          <w:szCs w:val="24"/>
        </w:rPr>
      </w:pPr>
    </w:p>
    <w:p w14:paraId="4F328E37" w14:textId="77777777" w:rsidR="0015062F" w:rsidRPr="0090264B" w:rsidRDefault="0015062F" w:rsidP="0015062F">
      <w:pPr>
        <w:widowControl/>
        <w:spacing w:line="480" w:lineRule="auto"/>
        <w:rPr>
          <w:rFonts w:ascii="Times New Roman" w:hAnsi="Times New Roman" w:cs="Times New Roman"/>
          <w:b/>
          <w:bCs/>
          <w:sz w:val="24"/>
          <w:szCs w:val="24"/>
        </w:rPr>
      </w:pPr>
    </w:p>
    <w:p w14:paraId="05CD0E37" w14:textId="77777777" w:rsidR="0015062F" w:rsidRPr="0090264B" w:rsidRDefault="0015062F" w:rsidP="0015062F">
      <w:pPr>
        <w:widowControl/>
        <w:spacing w:line="480" w:lineRule="auto"/>
        <w:rPr>
          <w:rFonts w:ascii="Times New Roman" w:hAnsi="Times New Roman" w:cs="Times New Roman"/>
          <w:b/>
          <w:bCs/>
          <w:sz w:val="24"/>
          <w:szCs w:val="24"/>
        </w:rPr>
      </w:pPr>
    </w:p>
    <w:p w14:paraId="72C16F0F" w14:textId="77777777" w:rsidR="0015062F" w:rsidRPr="0090264B" w:rsidRDefault="0015062F" w:rsidP="0015062F">
      <w:pPr>
        <w:widowControl/>
        <w:spacing w:line="480" w:lineRule="auto"/>
        <w:rPr>
          <w:rFonts w:ascii="Times New Roman" w:hAnsi="Times New Roman" w:cs="Times New Roman"/>
          <w:b/>
          <w:bCs/>
          <w:sz w:val="24"/>
          <w:szCs w:val="24"/>
        </w:rPr>
      </w:pPr>
    </w:p>
    <w:p w14:paraId="6AAC5B8E" w14:textId="77777777" w:rsidR="0015062F" w:rsidRPr="0090264B" w:rsidRDefault="0015062F" w:rsidP="0015062F">
      <w:pPr>
        <w:widowControl/>
        <w:spacing w:line="480" w:lineRule="auto"/>
        <w:rPr>
          <w:rFonts w:ascii="Times New Roman" w:hAnsi="Times New Roman" w:cs="Times New Roman"/>
          <w:b/>
          <w:bCs/>
          <w:sz w:val="24"/>
          <w:szCs w:val="24"/>
        </w:rPr>
      </w:pPr>
    </w:p>
    <w:p w14:paraId="724C9053" w14:textId="77777777" w:rsidR="0015062F" w:rsidRPr="0090264B" w:rsidRDefault="0015062F" w:rsidP="0015062F">
      <w:pPr>
        <w:widowControl/>
        <w:spacing w:line="480" w:lineRule="auto"/>
        <w:rPr>
          <w:rFonts w:ascii="Times New Roman" w:hAnsi="Times New Roman" w:cs="Times New Roman"/>
          <w:b/>
          <w:bCs/>
          <w:sz w:val="24"/>
          <w:szCs w:val="24"/>
        </w:rPr>
      </w:pPr>
    </w:p>
    <w:p w14:paraId="35461BC4" w14:textId="77777777" w:rsidR="0090264B" w:rsidRPr="0090264B" w:rsidRDefault="0090264B" w:rsidP="0015062F">
      <w:pPr>
        <w:widowControl/>
        <w:spacing w:line="480" w:lineRule="auto"/>
        <w:rPr>
          <w:rFonts w:ascii="Times New Roman" w:hAnsi="Times New Roman" w:cs="Times New Roman"/>
          <w:b/>
          <w:bCs/>
          <w:sz w:val="24"/>
          <w:szCs w:val="24"/>
        </w:rPr>
      </w:pPr>
    </w:p>
    <w:p w14:paraId="22E5BA6F" w14:textId="2AFEA3E1" w:rsidR="00523CFA" w:rsidRPr="0090264B" w:rsidRDefault="0015062F" w:rsidP="0015062F">
      <w:pPr>
        <w:widowControl/>
        <w:spacing w:line="480" w:lineRule="auto"/>
        <w:rPr>
          <w:rFonts w:ascii="Times New Roman" w:hAnsi="Times New Roman" w:cs="Times New Roman"/>
          <w:sz w:val="24"/>
          <w:szCs w:val="24"/>
        </w:rPr>
      </w:pPr>
      <w:r w:rsidRPr="0090264B">
        <w:rPr>
          <w:rFonts w:ascii="Times New Roman" w:hAnsi="Times New Roman" w:cs="Times New Roman"/>
          <w:b/>
          <w:bCs/>
          <w:sz w:val="24"/>
          <w:szCs w:val="24"/>
        </w:rPr>
        <w:lastRenderedPageBreak/>
        <w:t>Supplementary Figure S2</w:t>
      </w:r>
      <w:r w:rsidRPr="0090264B">
        <w:rPr>
          <w:rFonts w:ascii="Times New Roman" w:hAnsi="Times New Roman" w:cs="Times New Roman"/>
          <w:sz w:val="24"/>
          <w:szCs w:val="24"/>
        </w:rPr>
        <w:t>: Sagittal T</w:t>
      </w:r>
      <w:r w:rsidR="008B7F15">
        <w:rPr>
          <w:rFonts w:ascii="Times New Roman" w:hAnsi="Times New Roman" w:cs="Times New Roman"/>
          <w:sz w:val="24"/>
          <w:szCs w:val="24"/>
        </w:rPr>
        <w:t>1</w:t>
      </w:r>
      <w:r w:rsidRPr="0090264B">
        <w:rPr>
          <w:rFonts w:ascii="Times New Roman" w:hAnsi="Times New Roman" w:cs="Times New Roman"/>
          <w:sz w:val="24"/>
          <w:szCs w:val="24"/>
        </w:rPr>
        <w:t>-weighted MRI of the thoracolumbar spine demonstrating osteoblastic metastases. The midline slice demonstrates hypointense osteoblastic metastases (red circle) in the T12 and L2 vertebrae, indicating osteoblastic involvement. These findings are consistent with metastatic lesions, further supporting the diagnosis of osseous metastasis.</w:t>
      </w:r>
    </w:p>
    <w:p w14:paraId="1AB74062" w14:textId="437A8FFC" w:rsidR="00523CFA" w:rsidRPr="0090264B" w:rsidRDefault="0015062F" w:rsidP="00230E19">
      <w:pPr>
        <w:rPr>
          <w:rFonts w:ascii="Times New Roman" w:hAnsi="Times New Roman" w:cs="Times New Roman"/>
          <w:sz w:val="24"/>
          <w:szCs w:val="24"/>
        </w:rPr>
      </w:pPr>
      <w:r w:rsidRPr="0090264B">
        <w:rPr>
          <w:noProof/>
        </w:rPr>
        <w:drawing>
          <wp:inline distT="0" distB="0" distL="0" distR="0" wp14:anchorId="6897A4A6" wp14:editId="4A1B1AFB">
            <wp:extent cx="5140857" cy="4699820"/>
            <wp:effectExtent l="0" t="0" r="3175" b="5715"/>
            <wp:docPr id="20669692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6810" cy="4705262"/>
                    </a:xfrm>
                    <a:prstGeom prst="rect">
                      <a:avLst/>
                    </a:prstGeom>
                    <a:noFill/>
                    <a:ln>
                      <a:noFill/>
                    </a:ln>
                  </pic:spPr>
                </pic:pic>
              </a:graphicData>
            </a:graphic>
          </wp:inline>
        </w:drawing>
      </w:r>
    </w:p>
    <w:p w14:paraId="65B5B109" w14:textId="77777777" w:rsidR="0015062F" w:rsidRPr="0090264B" w:rsidRDefault="0015062F" w:rsidP="00230E19">
      <w:pPr>
        <w:rPr>
          <w:rFonts w:ascii="Times New Roman" w:hAnsi="Times New Roman" w:cs="Times New Roman"/>
          <w:sz w:val="24"/>
          <w:szCs w:val="24"/>
        </w:rPr>
      </w:pPr>
    </w:p>
    <w:p w14:paraId="1DFA4BFA" w14:textId="77777777" w:rsidR="0015062F" w:rsidRPr="0090264B" w:rsidRDefault="0015062F" w:rsidP="00230E19">
      <w:pPr>
        <w:rPr>
          <w:rFonts w:ascii="Times New Roman" w:hAnsi="Times New Roman" w:cs="Times New Roman"/>
          <w:sz w:val="24"/>
          <w:szCs w:val="24"/>
        </w:rPr>
      </w:pPr>
    </w:p>
    <w:p w14:paraId="39C9F3BE" w14:textId="77777777" w:rsidR="0015062F" w:rsidRPr="0090264B" w:rsidRDefault="0015062F" w:rsidP="00230E19">
      <w:pPr>
        <w:rPr>
          <w:rFonts w:ascii="Times New Roman" w:hAnsi="Times New Roman" w:cs="Times New Roman"/>
          <w:sz w:val="24"/>
          <w:szCs w:val="24"/>
        </w:rPr>
      </w:pPr>
    </w:p>
    <w:p w14:paraId="4EB23D8D" w14:textId="77777777" w:rsidR="0015062F" w:rsidRPr="0090264B" w:rsidRDefault="0015062F" w:rsidP="00230E19">
      <w:pPr>
        <w:rPr>
          <w:rFonts w:ascii="Times New Roman" w:hAnsi="Times New Roman" w:cs="Times New Roman"/>
          <w:sz w:val="24"/>
          <w:szCs w:val="24"/>
        </w:rPr>
      </w:pPr>
    </w:p>
    <w:p w14:paraId="36390C95" w14:textId="77777777" w:rsidR="0015062F" w:rsidRPr="0090264B" w:rsidRDefault="0015062F" w:rsidP="00230E19">
      <w:pPr>
        <w:rPr>
          <w:rFonts w:ascii="Times New Roman" w:hAnsi="Times New Roman" w:cs="Times New Roman"/>
          <w:sz w:val="24"/>
          <w:szCs w:val="24"/>
        </w:rPr>
      </w:pPr>
    </w:p>
    <w:p w14:paraId="5408C3DE" w14:textId="77777777" w:rsidR="0015062F" w:rsidRPr="0090264B" w:rsidRDefault="0015062F" w:rsidP="00230E19">
      <w:pPr>
        <w:rPr>
          <w:rFonts w:ascii="Times New Roman" w:hAnsi="Times New Roman" w:cs="Times New Roman"/>
          <w:sz w:val="24"/>
          <w:szCs w:val="24"/>
        </w:rPr>
      </w:pPr>
    </w:p>
    <w:p w14:paraId="466E2894" w14:textId="77777777" w:rsidR="0015062F" w:rsidRPr="0090264B" w:rsidRDefault="0015062F" w:rsidP="00230E19">
      <w:pPr>
        <w:rPr>
          <w:rFonts w:ascii="Times New Roman" w:hAnsi="Times New Roman" w:cs="Times New Roman"/>
          <w:sz w:val="24"/>
          <w:szCs w:val="24"/>
        </w:rPr>
      </w:pPr>
    </w:p>
    <w:p w14:paraId="20FB89D9" w14:textId="77777777" w:rsidR="0015062F" w:rsidRPr="0090264B" w:rsidRDefault="0015062F" w:rsidP="00230E19">
      <w:pPr>
        <w:rPr>
          <w:rFonts w:ascii="Times New Roman" w:hAnsi="Times New Roman" w:cs="Times New Roman"/>
          <w:sz w:val="24"/>
          <w:szCs w:val="24"/>
        </w:rPr>
      </w:pPr>
    </w:p>
    <w:p w14:paraId="018AD099" w14:textId="77777777" w:rsidR="0015062F" w:rsidRPr="0090264B" w:rsidRDefault="0015062F" w:rsidP="00230E19">
      <w:pPr>
        <w:rPr>
          <w:rFonts w:ascii="Times New Roman" w:hAnsi="Times New Roman" w:cs="Times New Roman"/>
          <w:sz w:val="24"/>
          <w:szCs w:val="24"/>
        </w:rPr>
      </w:pPr>
    </w:p>
    <w:p w14:paraId="391BE934" w14:textId="77777777" w:rsidR="00AB0B5C" w:rsidRPr="0090264B" w:rsidRDefault="00AB0B5C" w:rsidP="00FC1146">
      <w:pPr>
        <w:widowControl/>
        <w:spacing w:line="480" w:lineRule="auto"/>
        <w:rPr>
          <w:rFonts w:ascii="Times New Roman" w:hAnsi="Times New Roman" w:cs="Times New Roman"/>
          <w:sz w:val="24"/>
          <w:szCs w:val="24"/>
        </w:rPr>
      </w:pPr>
    </w:p>
    <w:p w14:paraId="7E884DC1" w14:textId="181357CC" w:rsidR="00FC1146" w:rsidRPr="0090264B" w:rsidRDefault="00FC1146" w:rsidP="00FC1146">
      <w:pPr>
        <w:widowControl/>
        <w:spacing w:line="480" w:lineRule="auto"/>
        <w:rPr>
          <w:rFonts w:ascii="Times New Roman" w:hAnsi="Times New Roman" w:cs="Times New Roman"/>
          <w:sz w:val="24"/>
          <w:szCs w:val="24"/>
        </w:rPr>
      </w:pPr>
      <w:r w:rsidRPr="0090264B">
        <w:rPr>
          <w:rFonts w:ascii="Times New Roman" w:hAnsi="Times New Roman" w:cs="Times New Roman"/>
          <w:b/>
          <w:bCs/>
          <w:sz w:val="24"/>
          <w:szCs w:val="24"/>
        </w:rPr>
        <w:lastRenderedPageBreak/>
        <w:t>Supplementary Figure S3</w:t>
      </w:r>
      <w:r w:rsidRPr="0090264B">
        <w:rPr>
          <w:rFonts w:ascii="Times New Roman" w:hAnsi="Times New Roman" w:cs="Times New Roman"/>
          <w:sz w:val="24"/>
          <w:szCs w:val="24"/>
        </w:rPr>
        <w:t>: PET-CT scan showing increased FDG uptake consistent with osteoblastic (bone-forming) metastasis. The pattern of metastasis is typically associated with prostate cancer, with a maximum standardized uptake value (SUVmax) of 3.3. Other lesions exhibit varying levels of FDG uptake, indicating heterogeneous metastatic activity predominantly osteoblastic.</w:t>
      </w:r>
    </w:p>
    <w:p w14:paraId="3752CCD1" w14:textId="77777777" w:rsidR="00FC1146" w:rsidRPr="0090264B" w:rsidRDefault="00FC1146" w:rsidP="00230E19">
      <w:pPr>
        <w:rPr>
          <w:rFonts w:ascii="Times New Roman" w:hAnsi="Times New Roman" w:cs="Times New Roman"/>
          <w:sz w:val="24"/>
          <w:szCs w:val="24"/>
        </w:rPr>
      </w:pPr>
    </w:p>
    <w:p w14:paraId="6939423A" w14:textId="3880FF42" w:rsidR="0015062F" w:rsidRPr="0090264B" w:rsidRDefault="00FC1146" w:rsidP="00FC1146">
      <w:pPr>
        <w:jc w:val="center"/>
        <w:rPr>
          <w:rFonts w:ascii="Times New Roman" w:hAnsi="Times New Roman" w:cs="Times New Roman"/>
          <w:sz w:val="24"/>
          <w:szCs w:val="24"/>
        </w:rPr>
      </w:pPr>
      <w:r w:rsidRPr="0090264B">
        <w:rPr>
          <w:noProof/>
        </w:rPr>
        <w:drawing>
          <wp:inline distT="0" distB="0" distL="0" distR="0" wp14:anchorId="25529265" wp14:editId="31F875BC">
            <wp:extent cx="4980039" cy="4980039"/>
            <wp:effectExtent l="0" t="0" r="0" b="0"/>
            <wp:docPr id="19447104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0990" cy="4980990"/>
                    </a:xfrm>
                    <a:prstGeom prst="rect">
                      <a:avLst/>
                    </a:prstGeom>
                    <a:noFill/>
                    <a:ln>
                      <a:noFill/>
                    </a:ln>
                  </pic:spPr>
                </pic:pic>
              </a:graphicData>
            </a:graphic>
          </wp:inline>
        </w:drawing>
      </w:r>
    </w:p>
    <w:p w14:paraId="4A526098" w14:textId="77777777" w:rsidR="0015062F" w:rsidRPr="0090264B" w:rsidRDefault="0015062F" w:rsidP="00230E19">
      <w:pPr>
        <w:rPr>
          <w:rFonts w:ascii="Times New Roman" w:hAnsi="Times New Roman" w:cs="Times New Roman"/>
          <w:sz w:val="24"/>
          <w:szCs w:val="24"/>
        </w:rPr>
      </w:pPr>
    </w:p>
    <w:p w14:paraId="0E7676FA" w14:textId="77777777" w:rsidR="0015062F" w:rsidRPr="0090264B" w:rsidRDefault="0015062F" w:rsidP="00230E19">
      <w:pPr>
        <w:rPr>
          <w:rFonts w:ascii="Times New Roman" w:hAnsi="Times New Roman" w:cs="Times New Roman"/>
          <w:sz w:val="24"/>
          <w:szCs w:val="24"/>
        </w:rPr>
      </w:pPr>
    </w:p>
    <w:p w14:paraId="09C1BD56" w14:textId="77777777" w:rsidR="00523CFA" w:rsidRPr="0090264B" w:rsidRDefault="00523CFA" w:rsidP="00230E19">
      <w:pPr>
        <w:rPr>
          <w:rFonts w:ascii="Times New Roman" w:hAnsi="Times New Roman" w:cs="Times New Roman"/>
          <w:sz w:val="24"/>
          <w:szCs w:val="24"/>
        </w:rPr>
      </w:pPr>
    </w:p>
    <w:p w14:paraId="7566D29C" w14:textId="77777777" w:rsidR="00523CFA" w:rsidRPr="0090264B" w:rsidRDefault="00523CFA" w:rsidP="00230E19">
      <w:pPr>
        <w:rPr>
          <w:rFonts w:ascii="Times New Roman" w:hAnsi="Times New Roman" w:cs="Times New Roman"/>
          <w:sz w:val="24"/>
          <w:szCs w:val="24"/>
        </w:rPr>
      </w:pPr>
    </w:p>
    <w:p w14:paraId="566011AF" w14:textId="77777777" w:rsidR="00FC1146" w:rsidRPr="0090264B" w:rsidRDefault="00FC1146" w:rsidP="00FC1146">
      <w:pPr>
        <w:widowControl/>
        <w:spacing w:line="480" w:lineRule="auto"/>
        <w:rPr>
          <w:rFonts w:ascii="Times New Roman" w:hAnsi="Times New Roman" w:cs="Times New Roman"/>
          <w:sz w:val="24"/>
          <w:szCs w:val="24"/>
        </w:rPr>
      </w:pPr>
    </w:p>
    <w:p w14:paraId="60D01570" w14:textId="0D963446" w:rsidR="00FC1146" w:rsidRPr="0090264B" w:rsidRDefault="00FC1146" w:rsidP="00FC1146">
      <w:pPr>
        <w:widowControl/>
        <w:spacing w:line="480" w:lineRule="auto"/>
        <w:rPr>
          <w:rFonts w:ascii="Times New Roman" w:hAnsi="Times New Roman" w:cs="Times New Roman"/>
          <w:sz w:val="24"/>
          <w:szCs w:val="24"/>
        </w:rPr>
      </w:pPr>
      <w:r w:rsidRPr="0090264B">
        <w:rPr>
          <w:rFonts w:ascii="Times New Roman" w:hAnsi="Times New Roman" w:cs="Times New Roman"/>
          <w:b/>
          <w:bCs/>
          <w:sz w:val="24"/>
          <w:szCs w:val="24"/>
        </w:rPr>
        <w:lastRenderedPageBreak/>
        <w:t>Supplementary Figure S4</w:t>
      </w:r>
      <w:r w:rsidRPr="0090264B">
        <w:rPr>
          <w:rFonts w:ascii="Times New Roman" w:hAnsi="Times New Roman" w:cs="Times New Roman"/>
          <w:sz w:val="24"/>
          <w:szCs w:val="24"/>
        </w:rPr>
        <w:t>: PET-CT scan showing a calcified nodule in the right peripheral zone of the prostate with increased FDG uptake (SUVmax 3.3), suggestive of prostate carcinoma. The abnormal metabolic activity of this lesion raises suspicion for malignancy, pending pathological confirmation.</w:t>
      </w:r>
    </w:p>
    <w:p w14:paraId="455E4064" w14:textId="77777777" w:rsidR="00FC1146" w:rsidRPr="0090264B" w:rsidRDefault="00FC1146" w:rsidP="00230E19">
      <w:pPr>
        <w:rPr>
          <w:rFonts w:ascii="Times New Roman" w:hAnsi="Times New Roman" w:cs="Times New Roman"/>
          <w:sz w:val="24"/>
          <w:szCs w:val="24"/>
        </w:rPr>
      </w:pPr>
    </w:p>
    <w:p w14:paraId="2B1429B9" w14:textId="5C22F7B3" w:rsidR="00FC1146" w:rsidRPr="0090264B" w:rsidRDefault="00FC1146" w:rsidP="00FC1146">
      <w:pPr>
        <w:jc w:val="center"/>
        <w:rPr>
          <w:rFonts w:ascii="Times New Roman" w:hAnsi="Times New Roman" w:cs="Times New Roman"/>
          <w:sz w:val="24"/>
          <w:szCs w:val="24"/>
        </w:rPr>
      </w:pPr>
      <w:r w:rsidRPr="0090264B">
        <w:rPr>
          <w:noProof/>
          <w:sz w:val="24"/>
          <w:szCs w:val="24"/>
        </w:rPr>
        <w:drawing>
          <wp:inline distT="0" distB="0" distL="0" distR="0" wp14:anchorId="28DD699B" wp14:editId="3E933F84">
            <wp:extent cx="5273703" cy="5137354"/>
            <wp:effectExtent l="0" t="0" r="3175" b="6350"/>
            <wp:docPr id="13070065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6190" cy="5139777"/>
                    </a:xfrm>
                    <a:prstGeom prst="rect">
                      <a:avLst/>
                    </a:prstGeom>
                    <a:noFill/>
                    <a:ln>
                      <a:noFill/>
                    </a:ln>
                  </pic:spPr>
                </pic:pic>
              </a:graphicData>
            </a:graphic>
          </wp:inline>
        </w:drawing>
      </w:r>
    </w:p>
    <w:p w14:paraId="473EFDFE" w14:textId="77777777" w:rsidR="00FC1146" w:rsidRPr="0090264B" w:rsidRDefault="00FC1146" w:rsidP="00230E19">
      <w:pPr>
        <w:rPr>
          <w:rFonts w:ascii="Times New Roman" w:hAnsi="Times New Roman" w:cs="Times New Roman"/>
          <w:sz w:val="24"/>
          <w:szCs w:val="24"/>
        </w:rPr>
      </w:pPr>
    </w:p>
    <w:p w14:paraId="4095252E" w14:textId="77777777" w:rsidR="00FC1146" w:rsidRPr="0090264B" w:rsidRDefault="00FC1146" w:rsidP="00230E19">
      <w:pPr>
        <w:rPr>
          <w:rFonts w:ascii="Times New Roman" w:hAnsi="Times New Roman" w:cs="Times New Roman"/>
          <w:sz w:val="24"/>
          <w:szCs w:val="24"/>
        </w:rPr>
      </w:pPr>
    </w:p>
    <w:p w14:paraId="4BEA2606" w14:textId="77777777" w:rsidR="00FC1146" w:rsidRPr="0090264B" w:rsidRDefault="00FC1146" w:rsidP="00230E19">
      <w:pPr>
        <w:rPr>
          <w:rFonts w:ascii="Times New Roman" w:hAnsi="Times New Roman" w:cs="Times New Roman"/>
          <w:sz w:val="24"/>
          <w:szCs w:val="24"/>
        </w:rPr>
      </w:pPr>
    </w:p>
    <w:p w14:paraId="4CFF0127" w14:textId="77777777" w:rsidR="00FC1146" w:rsidRPr="0090264B" w:rsidRDefault="00FC1146" w:rsidP="00230E19">
      <w:pPr>
        <w:rPr>
          <w:rFonts w:ascii="Times New Roman" w:hAnsi="Times New Roman" w:cs="Times New Roman"/>
          <w:sz w:val="24"/>
          <w:szCs w:val="24"/>
        </w:rPr>
      </w:pPr>
    </w:p>
    <w:p w14:paraId="2CA62381" w14:textId="77777777" w:rsidR="00FC1146" w:rsidRPr="0090264B" w:rsidRDefault="00FC1146" w:rsidP="00230E19">
      <w:pPr>
        <w:rPr>
          <w:rFonts w:ascii="Times New Roman" w:hAnsi="Times New Roman" w:cs="Times New Roman"/>
          <w:sz w:val="24"/>
          <w:szCs w:val="24"/>
        </w:rPr>
      </w:pPr>
    </w:p>
    <w:p w14:paraId="5AACA70D" w14:textId="4138C4A1" w:rsidR="00230E19" w:rsidRPr="0090264B" w:rsidRDefault="00346508" w:rsidP="00230E19">
      <w:pPr>
        <w:pStyle w:val="Caption"/>
        <w:keepNext/>
        <w:rPr>
          <w:rFonts w:ascii="Times New Roman" w:hAnsi="Times New Roman" w:cs="Times New Roman"/>
          <w:i w:val="0"/>
          <w:iCs w:val="0"/>
          <w:color w:val="auto"/>
          <w:sz w:val="24"/>
          <w:szCs w:val="24"/>
        </w:rPr>
      </w:pPr>
      <w:r w:rsidRPr="0090264B">
        <w:rPr>
          <w:rFonts w:ascii="Times New Roman" w:hAnsi="Times New Roman" w:cs="Times New Roman"/>
          <w:b/>
          <w:bCs/>
          <w:i w:val="0"/>
          <w:iCs w:val="0"/>
          <w:color w:val="auto"/>
          <w:sz w:val="24"/>
          <w:szCs w:val="24"/>
        </w:rPr>
        <w:lastRenderedPageBreak/>
        <w:t>Suppl</w:t>
      </w:r>
      <w:r w:rsidR="00523CFA" w:rsidRPr="0090264B">
        <w:rPr>
          <w:rFonts w:ascii="Times New Roman" w:hAnsi="Times New Roman" w:cs="Times New Roman"/>
          <w:b/>
          <w:bCs/>
          <w:i w:val="0"/>
          <w:iCs w:val="0"/>
          <w:color w:val="auto"/>
          <w:sz w:val="24"/>
          <w:szCs w:val="24"/>
        </w:rPr>
        <w:t>e</w:t>
      </w:r>
      <w:r w:rsidRPr="0090264B">
        <w:rPr>
          <w:rFonts w:ascii="Times New Roman" w:hAnsi="Times New Roman" w:cs="Times New Roman"/>
          <w:b/>
          <w:bCs/>
          <w:i w:val="0"/>
          <w:iCs w:val="0"/>
          <w:color w:val="auto"/>
          <w:sz w:val="24"/>
          <w:szCs w:val="24"/>
        </w:rPr>
        <w:t xml:space="preserve">mentary </w:t>
      </w:r>
      <w:r w:rsidR="00230E19" w:rsidRPr="0090264B">
        <w:rPr>
          <w:rFonts w:ascii="Times New Roman" w:hAnsi="Times New Roman" w:cs="Times New Roman"/>
          <w:b/>
          <w:bCs/>
          <w:i w:val="0"/>
          <w:iCs w:val="0"/>
          <w:color w:val="auto"/>
          <w:sz w:val="24"/>
          <w:szCs w:val="24"/>
        </w:rPr>
        <w:t xml:space="preserve">Table </w:t>
      </w:r>
      <w:r w:rsidRPr="0090264B">
        <w:rPr>
          <w:rFonts w:ascii="Times New Roman" w:hAnsi="Times New Roman" w:cs="Times New Roman"/>
          <w:b/>
          <w:bCs/>
          <w:i w:val="0"/>
          <w:iCs w:val="0"/>
          <w:color w:val="auto"/>
          <w:sz w:val="24"/>
          <w:szCs w:val="24"/>
        </w:rPr>
        <w:t>S</w:t>
      </w:r>
      <w:r w:rsidR="00230E19" w:rsidRPr="0090264B">
        <w:rPr>
          <w:rFonts w:ascii="Times New Roman" w:hAnsi="Times New Roman" w:cs="Times New Roman"/>
          <w:b/>
          <w:bCs/>
          <w:i w:val="0"/>
          <w:iCs w:val="0"/>
          <w:color w:val="auto"/>
          <w:sz w:val="24"/>
          <w:szCs w:val="24"/>
        </w:rPr>
        <w:t>1</w:t>
      </w:r>
      <w:r w:rsidR="00230E19" w:rsidRPr="0090264B">
        <w:rPr>
          <w:rFonts w:ascii="Times New Roman" w:hAnsi="Times New Roman" w:cs="Times New Roman"/>
          <w:i w:val="0"/>
          <w:iCs w:val="0"/>
          <w:color w:val="auto"/>
          <w:sz w:val="24"/>
          <w:szCs w:val="24"/>
        </w:rPr>
        <w:t>. Summary of Genetic testing and treatment test Results of the patient.</w:t>
      </w:r>
    </w:p>
    <w:tbl>
      <w:tblPr>
        <w:tblW w:w="9598" w:type="dxa"/>
        <w:tblCellSpacing w:w="15" w:type="dxa"/>
        <w:tblCellMar>
          <w:top w:w="15" w:type="dxa"/>
          <w:left w:w="15" w:type="dxa"/>
          <w:bottom w:w="15" w:type="dxa"/>
          <w:right w:w="15" w:type="dxa"/>
        </w:tblCellMar>
        <w:tblLook w:val="04A0" w:firstRow="1" w:lastRow="0" w:firstColumn="1" w:lastColumn="0" w:noHBand="0" w:noVBand="1"/>
      </w:tblPr>
      <w:tblGrid>
        <w:gridCol w:w="1675"/>
        <w:gridCol w:w="3406"/>
        <w:gridCol w:w="1931"/>
        <w:gridCol w:w="2586"/>
      </w:tblGrid>
      <w:tr w:rsidR="0090264B" w:rsidRPr="0090264B" w14:paraId="5EB538BC" w14:textId="77777777" w:rsidTr="00202692">
        <w:trPr>
          <w:trHeight w:val="475"/>
          <w:tblHeader/>
          <w:tblCellSpacing w:w="15" w:type="dxa"/>
        </w:trPr>
        <w:tc>
          <w:tcPr>
            <w:tcW w:w="1630" w:type="dxa"/>
            <w:tcBorders>
              <w:top w:val="single" w:sz="4" w:space="0" w:color="auto"/>
              <w:bottom w:val="single" w:sz="4" w:space="0" w:color="auto"/>
            </w:tcBorders>
            <w:vAlign w:val="center"/>
            <w:hideMark/>
          </w:tcPr>
          <w:p w14:paraId="2C9177DD" w14:textId="77777777" w:rsidR="00230E19" w:rsidRPr="0090264B" w:rsidRDefault="00230E19" w:rsidP="00202692">
            <w:pPr>
              <w:widowControl/>
              <w:jc w:val="center"/>
              <w:rPr>
                <w:rFonts w:ascii="Times New Roman" w:eastAsia="Times New Roman" w:hAnsi="Times New Roman" w:cs="Times New Roman"/>
                <w:b/>
                <w:bCs/>
                <w:kern w:val="0"/>
                <w:sz w:val="20"/>
                <w:szCs w:val="20"/>
                <w14:ligatures w14:val="none"/>
              </w:rPr>
            </w:pPr>
            <w:r w:rsidRPr="0090264B">
              <w:rPr>
                <w:rFonts w:ascii="Times New Roman" w:eastAsia="Times New Roman" w:hAnsi="Times New Roman" w:cs="Times New Roman"/>
                <w:b/>
                <w:bCs/>
                <w:kern w:val="0"/>
                <w:sz w:val="20"/>
                <w:szCs w:val="20"/>
                <w14:ligatures w14:val="none"/>
              </w:rPr>
              <w:t>Test</w:t>
            </w:r>
          </w:p>
        </w:tc>
        <w:tc>
          <w:tcPr>
            <w:tcW w:w="3376" w:type="dxa"/>
            <w:tcBorders>
              <w:top w:val="single" w:sz="4" w:space="0" w:color="auto"/>
              <w:bottom w:val="single" w:sz="4" w:space="0" w:color="auto"/>
            </w:tcBorders>
            <w:vAlign w:val="center"/>
            <w:hideMark/>
          </w:tcPr>
          <w:p w14:paraId="63B02077" w14:textId="77777777" w:rsidR="00230E19" w:rsidRPr="0090264B" w:rsidRDefault="00230E19" w:rsidP="00202692">
            <w:pPr>
              <w:widowControl/>
              <w:jc w:val="center"/>
              <w:rPr>
                <w:rFonts w:ascii="Times New Roman" w:eastAsia="Times New Roman" w:hAnsi="Times New Roman" w:cs="Times New Roman"/>
                <w:b/>
                <w:bCs/>
                <w:kern w:val="0"/>
                <w:sz w:val="20"/>
                <w:szCs w:val="20"/>
                <w14:ligatures w14:val="none"/>
              </w:rPr>
            </w:pPr>
            <w:r w:rsidRPr="0090264B">
              <w:rPr>
                <w:rFonts w:ascii="Times New Roman" w:eastAsia="Times New Roman" w:hAnsi="Times New Roman" w:cs="Times New Roman"/>
                <w:b/>
                <w:bCs/>
                <w:kern w:val="0"/>
                <w:sz w:val="20"/>
                <w:szCs w:val="20"/>
                <w14:ligatures w14:val="none"/>
              </w:rPr>
              <w:t>Result</w:t>
            </w:r>
          </w:p>
        </w:tc>
        <w:tc>
          <w:tcPr>
            <w:tcW w:w="0" w:type="auto"/>
            <w:tcBorders>
              <w:top w:val="single" w:sz="4" w:space="0" w:color="auto"/>
              <w:bottom w:val="single" w:sz="4" w:space="0" w:color="auto"/>
            </w:tcBorders>
            <w:vAlign w:val="center"/>
            <w:hideMark/>
          </w:tcPr>
          <w:p w14:paraId="76DA647F" w14:textId="77777777" w:rsidR="00230E19" w:rsidRPr="0090264B" w:rsidRDefault="00230E19" w:rsidP="00202692">
            <w:pPr>
              <w:widowControl/>
              <w:jc w:val="center"/>
              <w:rPr>
                <w:rFonts w:ascii="Times New Roman" w:eastAsia="Times New Roman" w:hAnsi="Times New Roman" w:cs="Times New Roman"/>
                <w:b/>
                <w:bCs/>
                <w:kern w:val="0"/>
                <w:sz w:val="20"/>
                <w:szCs w:val="20"/>
                <w14:ligatures w14:val="none"/>
              </w:rPr>
            </w:pPr>
            <w:r w:rsidRPr="0090264B">
              <w:rPr>
                <w:rFonts w:ascii="Times New Roman" w:eastAsia="Times New Roman" w:hAnsi="Times New Roman" w:cs="Times New Roman"/>
                <w:b/>
                <w:bCs/>
                <w:kern w:val="0"/>
                <w:sz w:val="20"/>
                <w:szCs w:val="20"/>
                <w14:ligatures w14:val="none"/>
              </w:rPr>
              <w:t>Interpretation</w:t>
            </w:r>
          </w:p>
        </w:tc>
        <w:tc>
          <w:tcPr>
            <w:tcW w:w="0" w:type="auto"/>
            <w:tcBorders>
              <w:top w:val="single" w:sz="4" w:space="0" w:color="auto"/>
              <w:bottom w:val="single" w:sz="4" w:space="0" w:color="auto"/>
            </w:tcBorders>
            <w:vAlign w:val="center"/>
            <w:hideMark/>
          </w:tcPr>
          <w:p w14:paraId="334E523A" w14:textId="77777777" w:rsidR="00230E19" w:rsidRPr="0090264B" w:rsidRDefault="00230E19" w:rsidP="00202692">
            <w:pPr>
              <w:widowControl/>
              <w:jc w:val="center"/>
              <w:rPr>
                <w:rFonts w:ascii="Times New Roman" w:eastAsia="Times New Roman" w:hAnsi="Times New Roman" w:cs="Times New Roman"/>
                <w:b/>
                <w:bCs/>
                <w:kern w:val="0"/>
                <w:sz w:val="20"/>
                <w:szCs w:val="20"/>
                <w14:ligatures w14:val="none"/>
              </w:rPr>
            </w:pPr>
            <w:r w:rsidRPr="0090264B">
              <w:rPr>
                <w:rFonts w:ascii="Times New Roman" w:eastAsia="Times New Roman" w:hAnsi="Times New Roman" w:cs="Times New Roman"/>
                <w:b/>
                <w:bCs/>
                <w:kern w:val="0"/>
                <w:sz w:val="20"/>
                <w:szCs w:val="20"/>
                <w14:ligatures w14:val="none"/>
              </w:rPr>
              <w:t>Treatment Recommendations</w:t>
            </w:r>
          </w:p>
        </w:tc>
      </w:tr>
      <w:tr w:rsidR="0090264B" w:rsidRPr="0090264B" w14:paraId="3EC2735B" w14:textId="77777777" w:rsidTr="00202692">
        <w:trPr>
          <w:trHeight w:val="1646"/>
          <w:tblCellSpacing w:w="15" w:type="dxa"/>
        </w:trPr>
        <w:tc>
          <w:tcPr>
            <w:tcW w:w="1630" w:type="dxa"/>
            <w:vAlign w:val="center"/>
            <w:hideMark/>
          </w:tcPr>
          <w:p w14:paraId="694E70F1" w14:textId="77777777" w:rsidR="00230E19" w:rsidRPr="0090264B" w:rsidRDefault="00230E19" w:rsidP="00202692">
            <w:pPr>
              <w:widowControl/>
              <w:jc w:val="left"/>
              <w:rPr>
                <w:rFonts w:ascii="Times New Roman" w:eastAsia="Times New Roman" w:hAnsi="Times New Roman" w:cs="Times New Roman"/>
                <w:kern w:val="0"/>
                <w:sz w:val="20"/>
                <w:szCs w:val="20"/>
                <w14:ligatures w14:val="none"/>
              </w:rPr>
            </w:pPr>
            <w:r w:rsidRPr="0090264B">
              <w:rPr>
                <w:rFonts w:ascii="Times New Roman" w:eastAsia="Times New Roman" w:hAnsi="Times New Roman" w:cs="Times New Roman"/>
                <w:b/>
                <w:bCs/>
                <w:kern w:val="0"/>
                <w:sz w:val="20"/>
                <w:szCs w:val="20"/>
                <w14:ligatures w14:val="none"/>
              </w:rPr>
              <w:t>EGFR Gene Exon 21 Mutation</w:t>
            </w:r>
          </w:p>
        </w:tc>
        <w:tc>
          <w:tcPr>
            <w:tcW w:w="3376" w:type="dxa"/>
            <w:vAlign w:val="center"/>
            <w:hideMark/>
          </w:tcPr>
          <w:p w14:paraId="014FB5EE" w14:textId="77777777" w:rsidR="00230E19" w:rsidRPr="0090264B" w:rsidRDefault="00230E19" w:rsidP="00202692">
            <w:pPr>
              <w:widowControl/>
              <w:jc w:val="left"/>
              <w:rPr>
                <w:rFonts w:ascii="Times New Roman" w:eastAsia="Times New Roman" w:hAnsi="Times New Roman" w:cs="Times New Roman"/>
                <w:kern w:val="0"/>
                <w:sz w:val="20"/>
                <w:szCs w:val="20"/>
                <w14:ligatures w14:val="none"/>
              </w:rPr>
            </w:pPr>
            <w:r w:rsidRPr="0090264B">
              <w:rPr>
                <w:rFonts w:ascii="Times New Roman" w:eastAsia="Times New Roman" w:hAnsi="Times New Roman" w:cs="Times New Roman"/>
                <w:kern w:val="0"/>
                <w:sz w:val="20"/>
                <w:szCs w:val="20"/>
                <w14:ligatures w14:val="none"/>
              </w:rPr>
              <w:t>L858R Mutation</w:t>
            </w:r>
          </w:p>
        </w:tc>
        <w:tc>
          <w:tcPr>
            <w:tcW w:w="0" w:type="auto"/>
            <w:vAlign w:val="center"/>
            <w:hideMark/>
          </w:tcPr>
          <w:p w14:paraId="6A031FE9" w14:textId="77777777" w:rsidR="00230E19" w:rsidRPr="0090264B" w:rsidRDefault="00230E19" w:rsidP="00202692">
            <w:pPr>
              <w:widowControl/>
              <w:jc w:val="left"/>
              <w:rPr>
                <w:rFonts w:ascii="Times New Roman" w:eastAsia="Times New Roman" w:hAnsi="Times New Roman" w:cs="Times New Roman"/>
                <w:kern w:val="0"/>
                <w:sz w:val="20"/>
                <w:szCs w:val="20"/>
                <w14:ligatures w14:val="none"/>
              </w:rPr>
            </w:pPr>
            <w:r w:rsidRPr="0090264B">
              <w:rPr>
                <w:rFonts w:ascii="Times New Roman" w:eastAsia="Times New Roman" w:hAnsi="Times New Roman" w:cs="Times New Roman"/>
                <w:kern w:val="0"/>
                <w:sz w:val="20"/>
                <w:szCs w:val="20"/>
                <w14:ligatures w14:val="none"/>
              </w:rPr>
              <w:t>The patient carries the EGFR L858R mutation, a common mutation in NSCLC.</w:t>
            </w:r>
          </w:p>
        </w:tc>
        <w:tc>
          <w:tcPr>
            <w:tcW w:w="0" w:type="auto"/>
            <w:vAlign w:val="center"/>
            <w:hideMark/>
          </w:tcPr>
          <w:p w14:paraId="14EC0D2F" w14:textId="77777777" w:rsidR="00230E19" w:rsidRPr="0090264B" w:rsidRDefault="00230E19" w:rsidP="00202692">
            <w:pPr>
              <w:widowControl/>
              <w:jc w:val="left"/>
              <w:rPr>
                <w:rFonts w:ascii="Times New Roman" w:eastAsia="Times New Roman" w:hAnsi="Times New Roman" w:cs="Times New Roman"/>
                <w:kern w:val="0"/>
                <w:sz w:val="20"/>
                <w:szCs w:val="20"/>
                <w14:ligatures w14:val="none"/>
              </w:rPr>
            </w:pPr>
            <w:r w:rsidRPr="0090264B">
              <w:rPr>
                <w:rFonts w:ascii="Times New Roman" w:eastAsia="Times New Roman" w:hAnsi="Times New Roman" w:cs="Times New Roman"/>
                <w:b/>
                <w:bCs/>
                <w:kern w:val="0"/>
                <w:sz w:val="20"/>
                <w:szCs w:val="20"/>
                <w14:ligatures w14:val="none"/>
              </w:rPr>
              <w:t>First-line EGFR-TKIs</w:t>
            </w:r>
            <w:r w:rsidRPr="0090264B">
              <w:rPr>
                <w:rFonts w:ascii="Times New Roman" w:eastAsia="Times New Roman" w:hAnsi="Times New Roman" w:cs="Times New Roman"/>
                <w:kern w:val="0"/>
                <w:sz w:val="20"/>
                <w:szCs w:val="20"/>
                <w14:ligatures w14:val="none"/>
              </w:rPr>
              <w:t>: Gefitinib, Erlotinib, Afatinib, Osimertinib, Dacomitinib</w:t>
            </w:r>
            <w:r w:rsidRPr="0090264B">
              <w:rPr>
                <w:rFonts w:ascii="Times New Roman" w:eastAsia="Times New Roman" w:hAnsi="Times New Roman" w:cs="Times New Roman"/>
                <w:kern w:val="0"/>
                <w:sz w:val="20"/>
                <w:szCs w:val="20"/>
                <w14:ligatures w14:val="none"/>
              </w:rPr>
              <w:br/>
            </w:r>
            <w:r w:rsidRPr="0090264B">
              <w:rPr>
                <w:rFonts w:ascii="Times New Roman" w:eastAsia="Times New Roman" w:hAnsi="Times New Roman" w:cs="Times New Roman"/>
                <w:b/>
                <w:bCs/>
                <w:kern w:val="0"/>
                <w:sz w:val="20"/>
                <w:szCs w:val="20"/>
                <w14:ligatures w14:val="none"/>
              </w:rPr>
              <w:t>NMPA-approved treatments</w:t>
            </w:r>
            <w:r w:rsidRPr="0090264B">
              <w:rPr>
                <w:rFonts w:ascii="Times New Roman" w:eastAsia="Times New Roman" w:hAnsi="Times New Roman" w:cs="Times New Roman"/>
                <w:kern w:val="0"/>
                <w:sz w:val="20"/>
                <w:szCs w:val="20"/>
                <w14:ligatures w14:val="none"/>
              </w:rPr>
              <w:t>: Icotinib, Amitinib, Fumitib</w:t>
            </w:r>
          </w:p>
        </w:tc>
      </w:tr>
      <w:tr w:rsidR="0090264B" w:rsidRPr="0090264B" w14:paraId="7FA7A2C7" w14:textId="77777777" w:rsidTr="00202692">
        <w:trPr>
          <w:trHeight w:val="1417"/>
          <w:tblCellSpacing w:w="15" w:type="dxa"/>
        </w:trPr>
        <w:tc>
          <w:tcPr>
            <w:tcW w:w="1630" w:type="dxa"/>
            <w:vAlign w:val="center"/>
            <w:hideMark/>
          </w:tcPr>
          <w:p w14:paraId="44D03523" w14:textId="77777777" w:rsidR="00230E19" w:rsidRPr="0090264B" w:rsidRDefault="00230E19" w:rsidP="00202692">
            <w:pPr>
              <w:widowControl/>
              <w:jc w:val="left"/>
              <w:rPr>
                <w:rFonts w:ascii="Times New Roman" w:eastAsia="Times New Roman" w:hAnsi="Times New Roman" w:cs="Times New Roman"/>
                <w:kern w:val="0"/>
                <w:sz w:val="20"/>
                <w:szCs w:val="20"/>
                <w14:ligatures w14:val="none"/>
              </w:rPr>
            </w:pPr>
            <w:r w:rsidRPr="0090264B">
              <w:rPr>
                <w:rFonts w:ascii="Times New Roman" w:eastAsia="Times New Roman" w:hAnsi="Times New Roman" w:cs="Times New Roman"/>
                <w:b/>
                <w:bCs/>
                <w:kern w:val="0"/>
                <w:sz w:val="20"/>
                <w:szCs w:val="20"/>
                <w14:ligatures w14:val="none"/>
              </w:rPr>
              <w:t>Microsatellite Instability (MSI)</w:t>
            </w:r>
          </w:p>
        </w:tc>
        <w:tc>
          <w:tcPr>
            <w:tcW w:w="3376" w:type="dxa"/>
            <w:vAlign w:val="center"/>
            <w:hideMark/>
          </w:tcPr>
          <w:p w14:paraId="029359B5" w14:textId="77777777" w:rsidR="00230E19" w:rsidRPr="0090264B" w:rsidRDefault="00230E19" w:rsidP="00202692">
            <w:pPr>
              <w:widowControl/>
              <w:jc w:val="left"/>
              <w:rPr>
                <w:rFonts w:ascii="Times New Roman" w:eastAsia="Times New Roman" w:hAnsi="Times New Roman" w:cs="Times New Roman"/>
                <w:kern w:val="0"/>
                <w:sz w:val="20"/>
                <w:szCs w:val="20"/>
                <w14:ligatures w14:val="none"/>
              </w:rPr>
            </w:pPr>
            <w:r w:rsidRPr="0090264B">
              <w:rPr>
                <w:rFonts w:ascii="Times New Roman" w:eastAsia="Times New Roman" w:hAnsi="Times New Roman" w:cs="Times New Roman"/>
                <w:kern w:val="0"/>
                <w:sz w:val="20"/>
                <w:szCs w:val="20"/>
                <w14:ligatures w14:val="none"/>
              </w:rPr>
              <w:t>MSS (Microsatellite Stable)</w:t>
            </w:r>
          </w:p>
        </w:tc>
        <w:tc>
          <w:tcPr>
            <w:tcW w:w="0" w:type="auto"/>
            <w:vAlign w:val="center"/>
            <w:hideMark/>
          </w:tcPr>
          <w:p w14:paraId="69E52DFF" w14:textId="77777777" w:rsidR="00230E19" w:rsidRPr="0090264B" w:rsidRDefault="00230E19" w:rsidP="00202692">
            <w:pPr>
              <w:widowControl/>
              <w:jc w:val="left"/>
              <w:rPr>
                <w:rFonts w:ascii="Times New Roman" w:eastAsia="Times New Roman" w:hAnsi="Times New Roman" w:cs="Times New Roman"/>
                <w:kern w:val="0"/>
                <w:sz w:val="20"/>
                <w:szCs w:val="20"/>
                <w14:ligatures w14:val="none"/>
              </w:rPr>
            </w:pPr>
            <w:r w:rsidRPr="0090264B">
              <w:rPr>
                <w:rFonts w:ascii="Times New Roman" w:eastAsia="Times New Roman" w:hAnsi="Times New Roman" w:cs="Times New Roman"/>
                <w:kern w:val="0"/>
                <w:sz w:val="20"/>
                <w:szCs w:val="20"/>
                <w14:ligatures w14:val="none"/>
              </w:rPr>
              <w:t>The patient has MSS, which indicates a limited response to immune checkpoint inhibitors.</w:t>
            </w:r>
          </w:p>
        </w:tc>
        <w:tc>
          <w:tcPr>
            <w:tcW w:w="0" w:type="auto"/>
            <w:vAlign w:val="center"/>
            <w:hideMark/>
          </w:tcPr>
          <w:p w14:paraId="18228727" w14:textId="77777777" w:rsidR="00230E19" w:rsidRPr="0090264B" w:rsidRDefault="00230E19" w:rsidP="00202692">
            <w:pPr>
              <w:widowControl/>
              <w:jc w:val="left"/>
              <w:rPr>
                <w:rFonts w:ascii="Times New Roman" w:eastAsia="Times New Roman" w:hAnsi="Times New Roman" w:cs="Times New Roman"/>
                <w:kern w:val="0"/>
                <w:sz w:val="20"/>
                <w:szCs w:val="20"/>
                <w14:ligatures w14:val="none"/>
              </w:rPr>
            </w:pPr>
            <w:r w:rsidRPr="0090264B">
              <w:rPr>
                <w:rFonts w:ascii="Times New Roman" w:eastAsia="Times New Roman" w:hAnsi="Times New Roman" w:cs="Times New Roman"/>
                <w:kern w:val="0"/>
                <w:sz w:val="20"/>
                <w:szCs w:val="20"/>
                <w14:ligatures w14:val="none"/>
              </w:rPr>
              <w:t xml:space="preserve">Further assessment of </w:t>
            </w:r>
            <w:r w:rsidRPr="0090264B">
              <w:rPr>
                <w:rFonts w:ascii="Times New Roman" w:eastAsia="Times New Roman" w:hAnsi="Times New Roman" w:cs="Times New Roman"/>
                <w:b/>
                <w:bCs/>
                <w:kern w:val="0"/>
                <w:sz w:val="20"/>
                <w:szCs w:val="20"/>
                <w14:ligatures w14:val="none"/>
              </w:rPr>
              <w:t>PD-L1</w:t>
            </w:r>
            <w:r w:rsidRPr="0090264B">
              <w:rPr>
                <w:rFonts w:ascii="Times New Roman" w:eastAsia="Times New Roman" w:hAnsi="Times New Roman" w:cs="Times New Roman"/>
                <w:kern w:val="0"/>
                <w:sz w:val="20"/>
                <w:szCs w:val="20"/>
                <w14:ligatures w14:val="none"/>
              </w:rPr>
              <w:t xml:space="preserve"> expression and Tumor Mutational Burden is recommended to evaluate the potential benefit of immune therapy.</w:t>
            </w:r>
          </w:p>
        </w:tc>
      </w:tr>
      <w:tr w:rsidR="0090264B" w:rsidRPr="0090264B" w14:paraId="37FFEE9A" w14:textId="77777777" w:rsidTr="00202692">
        <w:trPr>
          <w:trHeight w:val="941"/>
          <w:tblCellSpacing w:w="15" w:type="dxa"/>
        </w:trPr>
        <w:tc>
          <w:tcPr>
            <w:tcW w:w="1630" w:type="dxa"/>
            <w:vAlign w:val="center"/>
            <w:hideMark/>
          </w:tcPr>
          <w:p w14:paraId="5D1CB4A9" w14:textId="77777777" w:rsidR="00230E19" w:rsidRPr="0090264B" w:rsidRDefault="00230E19" w:rsidP="00202692">
            <w:pPr>
              <w:widowControl/>
              <w:jc w:val="left"/>
              <w:rPr>
                <w:rFonts w:ascii="Times New Roman" w:eastAsia="Times New Roman" w:hAnsi="Times New Roman" w:cs="Times New Roman"/>
                <w:kern w:val="0"/>
                <w:sz w:val="20"/>
                <w:szCs w:val="20"/>
                <w14:ligatures w14:val="none"/>
              </w:rPr>
            </w:pPr>
            <w:r w:rsidRPr="0090264B">
              <w:rPr>
                <w:rFonts w:ascii="Times New Roman" w:eastAsia="Times New Roman" w:hAnsi="Times New Roman" w:cs="Times New Roman"/>
                <w:b/>
                <w:bCs/>
                <w:kern w:val="0"/>
                <w:sz w:val="20"/>
                <w:szCs w:val="20"/>
                <w14:ligatures w14:val="none"/>
              </w:rPr>
              <w:t>Preferred Chemotherapy Drugs</w:t>
            </w:r>
          </w:p>
        </w:tc>
        <w:tc>
          <w:tcPr>
            <w:tcW w:w="3376" w:type="dxa"/>
            <w:vAlign w:val="center"/>
            <w:hideMark/>
          </w:tcPr>
          <w:p w14:paraId="314BA7B7" w14:textId="77777777" w:rsidR="00230E19" w:rsidRPr="0090264B" w:rsidRDefault="00230E19" w:rsidP="00202692">
            <w:pPr>
              <w:widowControl/>
              <w:jc w:val="left"/>
              <w:rPr>
                <w:rFonts w:ascii="Times New Roman" w:eastAsia="Times New Roman" w:hAnsi="Times New Roman" w:cs="Times New Roman"/>
                <w:kern w:val="0"/>
                <w:sz w:val="20"/>
                <w:szCs w:val="20"/>
                <w14:ligatures w14:val="none"/>
              </w:rPr>
            </w:pPr>
            <w:r w:rsidRPr="0090264B">
              <w:rPr>
                <w:rFonts w:ascii="Times New Roman" w:eastAsia="Times New Roman" w:hAnsi="Times New Roman" w:cs="Times New Roman"/>
                <w:kern w:val="0"/>
                <w:sz w:val="20"/>
                <w:szCs w:val="20"/>
                <w14:ligatures w14:val="none"/>
              </w:rPr>
              <w:t>Cisplatin, Docetaxel</w:t>
            </w:r>
          </w:p>
        </w:tc>
        <w:tc>
          <w:tcPr>
            <w:tcW w:w="0" w:type="auto"/>
            <w:vAlign w:val="center"/>
            <w:hideMark/>
          </w:tcPr>
          <w:p w14:paraId="3E6DD5AC" w14:textId="77777777" w:rsidR="00230E19" w:rsidRPr="0090264B" w:rsidRDefault="00230E19" w:rsidP="00202692">
            <w:pPr>
              <w:widowControl/>
              <w:jc w:val="left"/>
              <w:rPr>
                <w:rFonts w:ascii="Times New Roman" w:eastAsia="Times New Roman" w:hAnsi="Times New Roman" w:cs="Times New Roman"/>
                <w:kern w:val="0"/>
                <w:sz w:val="20"/>
                <w:szCs w:val="20"/>
                <w14:ligatures w14:val="none"/>
              </w:rPr>
            </w:pPr>
            <w:r w:rsidRPr="0090264B">
              <w:rPr>
                <w:rFonts w:ascii="Times New Roman" w:eastAsia="Times New Roman" w:hAnsi="Times New Roman" w:cs="Times New Roman"/>
                <w:kern w:val="0"/>
                <w:sz w:val="20"/>
                <w:szCs w:val="20"/>
                <w14:ligatures w14:val="none"/>
              </w:rPr>
              <w:t>These are preferred chemotherapy agents for NSCLC treatment.</w:t>
            </w:r>
          </w:p>
        </w:tc>
        <w:tc>
          <w:tcPr>
            <w:tcW w:w="0" w:type="auto"/>
            <w:vAlign w:val="center"/>
            <w:hideMark/>
          </w:tcPr>
          <w:p w14:paraId="16AAF82F" w14:textId="77777777" w:rsidR="00230E19" w:rsidRPr="0090264B" w:rsidRDefault="00230E19" w:rsidP="00202692">
            <w:pPr>
              <w:widowControl/>
              <w:jc w:val="left"/>
              <w:rPr>
                <w:rFonts w:ascii="Times New Roman" w:eastAsia="Times New Roman" w:hAnsi="Times New Roman" w:cs="Times New Roman"/>
                <w:kern w:val="0"/>
                <w:sz w:val="20"/>
                <w:szCs w:val="20"/>
                <w14:ligatures w14:val="none"/>
              </w:rPr>
            </w:pPr>
            <w:r w:rsidRPr="0090264B">
              <w:rPr>
                <w:rFonts w:ascii="Times New Roman" w:eastAsia="Times New Roman" w:hAnsi="Times New Roman" w:cs="Times New Roman"/>
                <w:kern w:val="0"/>
                <w:sz w:val="20"/>
                <w:szCs w:val="20"/>
                <w14:ligatures w14:val="none"/>
              </w:rPr>
              <w:t>Use as first-line chemotherapy.</w:t>
            </w:r>
          </w:p>
        </w:tc>
      </w:tr>
      <w:tr w:rsidR="0090264B" w:rsidRPr="0090264B" w14:paraId="5C61DA4A" w14:textId="77777777" w:rsidTr="00202692">
        <w:trPr>
          <w:trHeight w:val="2121"/>
          <w:tblCellSpacing w:w="15" w:type="dxa"/>
        </w:trPr>
        <w:tc>
          <w:tcPr>
            <w:tcW w:w="1630" w:type="dxa"/>
            <w:tcBorders>
              <w:bottom w:val="single" w:sz="4" w:space="0" w:color="auto"/>
            </w:tcBorders>
            <w:vAlign w:val="center"/>
            <w:hideMark/>
          </w:tcPr>
          <w:p w14:paraId="70716761" w14:textId="77777777" w:rsidR="00230E19" w:rsidRPr="0090264B" w:rsidRDefault="00230E19" w:rsidP="00202692">
            <w:pPr>
              <w:widowControl/>
              <w:jc w:val="left"/>
              <w:rPr>
                <w:rFonts w:ascii="Times New Roman" w:eastAsia="Times New Roman" w:hAnsi="Times New Roman" w:cs="Times New Roman"/>
                <w:kern w:val="0"/>
                <w:sz w:val="20"/>
                <w:szCs w:val="20"/>
                <w14:ligatures w14:val="none"/>
              </w:rPr>
            </w:pPr>
            <w:r w:rsidRPr="0090264B">
              <w:rPr>
                <w:rFonts w:ascii="Times New Roman" w:eastAsia="Times New Roman" w:hAnsi="Times New Roman" w:cs="Times New Roman"/>
                <w:b/>
                <w:bCs/>
                <w:kern w:val="0"/>
                <w:sz w:val="20"/>
                <w:szCs w:val="20"/>
                <w14:ligatures w14:val="none"/>
              </w:rPr>
              <w:t>Alternative Chemotherapy Drugs</w:t>
            </w:r>
          </w:p>
        </w:tc>
        <w:tc>
          <w:tcPr>
            <w:tcW w:w="3376" w:type="dxa"/>
            <w:tcBorders>
              <w:bottom w:val="single" w:sz="4" w:space="0" w:color="auto"/>
            </w:tcBorders>
            <w:vAlign w:val="center"/>
            <w:hideMark/>
          </w:tcPr>
          <w:p w14:paraId="4997E17C" w14:textId="77777777" w:rsidR="00230E19" w:rsidRPr="0090264B" w:rsidRDefault="00230E19" w:rsidP="00202692">
            <w:pPr>
              <w:widowControl/>
              <w:jc w:val="left"/>
              <w:rPr>
                <w:rFonts w:ascii="Times New Roman" w:eastAsia="Times New Roman" w:hAnsi="Times New Roman" w:cs="Times New Roman"/>
                <w:kern w:val="0"/>
                <w:sz w:val="20"/>
                <w:szCs w:val="20"/>
                <w14:ligatures w14:val="none"/>
              </w:rPr>
            </w:pPr>
            <w:r w:rsidRPr="0090264B">
              <w:rPr>
                <w:rFonts w:ascii="Times New Roman" w:eastAsia="Times New Roman" w:hAnsi="Times New Roman" w:cs="Times New Roman"/>
                <w:kern w:val="0"/>
                <w:sz w:val="20"/>
                <w:szCs w:val="20"/>
                <w14:ligatures w14:val="none"/>
              </w:rPr>
              <w:t>Oxaliplatin, Vincristine, Cyclophosphamide, Leucovorin, Raltitrexed, Gemcitabine, Fluorouracil, Capecitabine, Tegafur, Methotrexate, Pemetrexed, Vinorelbine, Paclitaxel, Doxorubicin, Epirubicin, Pirubicin, Mitomycin, Nedaplatin, Lobaplatin</w:t>
            </w:r>
          </w:p>
        </w:tc>
        <w:tc>
          <w:tcPr>
            <w:tcW w:w="0" w:type="auto"/>
            <w:tcBorders>
              <w:bottom w:val="single" w:sz="4" w:space="0" w:color="auto"/>
            </w:tcBorders>
            <w:vAlign w:val="center"/>
            <w:hideMark/>
          </w:tcPr>
          <w:p w14:paraId="62B22597" w14:textId="77777777" w:rsidR="00230E19" w:rsidRPr="0090264B" w:rsidRDefault="00230E19" w:rsidP="00202692">
            <w:pPr>
              <w:widowControl/>
              <w:jc w:val="left"/>
              <w:rPr>
                <w:rFonts w:ascii="Times New Roman" w:eastAsia="Times New Roman" w:hAnsi="Times New Roman" w:cs="Times New Roman"/>
                <w:kern w:val="0"/>
                <w:sz w:val="20"/>
                <w:szCs w:val="20"/>
                <w14:ligatures w14:val="none"/>
              </w:rPr>
            </w:pPr>
            <w:r w:rsidRPr="0090264B">
              <w:rPr>
                <w:rFonts w:ascii="Times New Roman" w:eastAsia="Times New Roman" w:hAnsi="Times New Roman" w:cs="Times New Roman"/>
                <w:kern w:val="0"/>
                <w:sz w:val="20"/>
                <w:szCs w:val="20"/>
                <w14:ligatures w14:val="none"/>
              </w:rPr>
              <w:t>These chemotherapy agents can be considered if preferred drugs are contraindicated or ineffective.</w:t>
            </w:r>
          </w:p>
        </w:tc>
        <w:tc>
          <w:tcPr>
            <w:tcW w:w="0" w:type="auto"/>
            <w:tcBorders>
              <w:bottom w:val="single" w:sz="4" w:space="0" w:color="auto"/>
            </w:tcBorders>
            <w:vAlign w:val="center"/>
            <w:hideMark/>
          </w:tcPr>
          <w:p w14:paraId="6758FFFF" w14:textId="77777777" w:rsidR="00230E19" w:rsidRPr="0090264B" w:rsidRDefault="00230E19" w:rsidP="00202692">
            <w:pPr>
              <w:widowControl/>
              <w:jc w:val="left"/>
              <w:rPr>
                <w:rFonts w:ascii="Times New Roman" w:eastAsia="Times New Roman" w:hAnsi="Times New Roman" w:cs="Times New Roman"/>
                <w:kern w:val="0"/>
                <w:sz w:val="20"/>
                <w:szCs w:val="20"/>
                <w14:ligatures w14:val="none"/>
              </w:rPr>
            </w:pPr>
            <w:r w:rsidRPr="0090264B">
              <w:rPr>
                <w:rFonts w:ascii="Times New Roman" w:eastAsia="Times New Roman" w:hAnsi="Times New Roman" w:cs="Times New Roman"/>
                <w:kern w:val="0"/>
                <w:sz w:val="20"/>
                <w:szCs w:val="20"/>
                <w14:ligatures w14:val="none"/>
              </w:rPr>
              <w:t>Consider as backup options for chemotherapy based on patient tolerance and specific clinical needs.</w:t>
            </w:r>
          </w:p>
        </w:tc>
      </w:tr>
    </w:tbl>
    <w:p w14:paraId="31001E01" w14:textId="77777777" w:rsidR="00230E19" w:rsidRPr="0090264B" w:rsidRDefault="00230E19" w:rsidP="00230E19">
      <w:pPr>
        <w:widowControl/>
        <w:spacing w:after="100" w:afterAutospacing="1"/>
        <w:rPr>
          <w:rStyle w:val="a0"/>
          <w:rFonts w:ascii="Times New Roman" w:hAnsi="Times New Roman" w:cs="Times New Roman"/>
          <w:color w:val="auto"/>
          <w:sz w:val="20"/>
          <w:szCs w:val="20"/>
        </w:rPr>
      </w:pPr>
      <w:r w:rsidRPr="0090264B">
        <w:rPr>
          <w:rStyle w:val="a0"/>
          <w:rFonts w:ascii="Times New Roman" w:hAnsi="Times New Roman" w:cs="Times New Roman"/>
          <w:color w:val="auto"/>
          <w:sz w:val="20"/>
          <w:szCs w:val="20"/>
        </w:rPr>
        <w:t>NMPA: National Medical Products Administration; TKIs: Tyrosine Kinase Inhibitors; PD-L1: Programmed Death-Ligand 1</w:t>
      </w:r>
    </w:p>
    <w:p w14:paraId="463D03A0" w14:textId="77777777" w:rsidR="00230E19" w:rsidRPr="0090264B" w:rsidRDefault="00230E19" w:rsidP="00751667">
      <w:pPr>
        <w:spacing w:line="480" w:lineRule="auto"/>
        <w:rPr>
          <w:rFonts w:ascii="Times New Roman" w:hAnsi="Times New Roman" w:cs="Times New Roman"/>
        </w:rPr>
      </w:pPr>
    </w:p>
    <w:sectPr w:rsidR="00230E19" w:rsidRPr="0090264B">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6AA040" w14:textId="77777777" w:rsidR="00952CC5" w:rsidRDefault="00952CC5" w:rsidP="006E28DF">
      <w:r>
        <w:separator/>
      </w:r>
    </w:p>
  </w:endnote>
  <w:endnote w:type="continuationSeparator" w:id="0">
    <w:p w14:paraId="63B8E05C" w14:textId="77777777" w:rsidR="00952CC5" w:rsidRDefault="00952CC5" w:rsidP="006E2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D3363" w14:textId="77777777" w:rsidR="006E28DF" w:rsidRDefault="006E28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8824809"/>
      <w:docPartObj>
        <w:docPartGallery w:val="Page Numbers (Bottom of Page)"/>
        <w:docPartUnique/>
      </w:docPartObj>
    </w:sdtPr>
    <w:sdtEndPr>
      <w:rPr>
        <w:noProof/>
      </w:rPr>
    </w:sdtEndPr>
    <w:sdtContent>
      <w:p w14:paraId="576BB9FA" w14:textId="2A590952" w:rsidR="006E28DF" w:rsidRDefault="006E28D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E8F666" w14:textId="77777777" w:rsidR="006E28DF" w:rsidRDefault="006E28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BE84B" w14:textId="77777777" w:rsidR="006E28DF" w:rsidRDefault="006E28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DE8CC9" w14:textId="77777777" w:rsidR="00952CC5" w:rsidRDefault="00952CC5" w:rsidP="006E28DF">
      <w:r>
        <w:separator/>
      </w:r>
    </w:p>
  </w:footnote>
  <w:footnote w:type="continuationSeparator" w:id="0">
    <w:p w14:paraId="1D7E0FED" w14:textId="77777777" w:rsidR="00952CC5" w:rsidRDefault="00952CC5" w:rsidP="006E28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EB7B1" w14:textId="77777777" w:rsidR="006E28DF" w:rsidRDefault="006E28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36955" w14:textId="77777777" w:rsidR="006E28DF" w:rsidRDefault="006E28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72142" w14:textId="77777777" w:rsidR="006E28DF" w:rsidRDefault="006E28D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C0ABKW5mamRkYWBko6SsGpxcWZ+XkgBSa1AA8zViIsAAAA"/>
  </w:docVars>
  <w:rsids>
    <w:rsidRoot w:val="00CA1BF9"/>
    <w:rsid w:val="00131214"/>
    <w:rsid w:val="0015062F"/>
    <w:rsid w:val="002033C6"/>
    <w:rsid w:val="00230E19"/>
    <w:rsid w:val="002932A2"/>
    <w:rsid w:val="00346508"/>
    <w:rsid w:val="00381B05"/>
    <w:rsid w:val="004F450B"/>
    <w:rsid w:val="00523CFA"/>
    <w:rsid w:val="005B7C3E"/>
    <w:rsid w:val="006E28DF"/>
    <w:rsid w:val="00751667"/>
    <w:rsid w:val="007E4C7D"/>
    <w:rsid w:val="008B7F15"/>
    <w:rsid w:val="0090264B"/>
    <w:rsid w:val="00952CC5"/>
    <w:rsid w:val="00A318E0"/>
    <w:rsid w:val="00A35A41"/>
    <w:rsid w:val="00A53DAB"/>
    <w:rsid w:val="00AB0B5C"/>
    <w:rsid w:val="00BC0457"/>
    <w:rsid w:val="00CA1BF9"/>
    <w:rsid w:val="00D11B86"/>
    <w:rsid w:val="00EC0853"/>
    <w:rsid w:val="00EC6621"/>
    <w:rsid w:val="00EF5ED6"/>
    <w:rsid w:val="00FC11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72D53B"/>
  <w15:chartTrackingRefBased/>
  <w15:docId w15:val="{44927C2D-817D-400F-A6FE-D6E0AA40B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C7D"/>
    <w:pPr>
      <w:widowControl w:val="0"/>
      <w:spacing w:after="0" w:line="240" w:lineRule="auto"/>
      <w:jc w:val="both"/>
    </w:pPr>
    <w:rPr>
      <w:sz w:val="21"/>
      <w:szCs w:val="22"/>
    </w:rPr>
  </w:style>
  <w:style w:type="paragraph" w:styleId="Heading1">
    <w:name w:val="heading 1"/>
    <w:basedOn w:val="Normal"/>
    <w:next w:val="Normal"/>
    <w:link w:val="Heading1Char"/>
    <w:uiPriority w:val="9"/>
    <w:qFormat/>
    <w:rsid w:val="00CA1BF9"/>
    <w:pPr>
      <w:keepNext/>
      <w:keepLines/>
      <w:widowControl/>
      <w:spacing w:before="360" w:after="80" w:line="278" w:lineRule="auto"/>
      <w:jc w:val="left"/>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A1BF9"/>
    <w:pPr>
      <w:keepNext/>
      <w:keepLines/>
      <w:widowControl/>
      <w:spacing w:before="160" w:after="80" w:line="278" w:lineRule="auto"/>
      <w:jc w:val="left"/>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A1BF9"/>
    <w:pPr>
      <w:keepNext/>
      <w:keepLines/>
      <w:widowControl/>
      <w:spacing w:before="160" w:after="80" w:line="278" w:lineRule="auto"/>
      <w:jc w:val="left"/>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A1BF9"/>
    <w:pPr>
      <w:keepNext/>
      <w:keepLines/>
      <w:widowControl/>
      <w:spacing w:before="80" w:after="40" w:line="278" w:lineRule="auto"/>
      <w:jc w:val="left"/>
      <w:outlineLvl w:val="3"/>
    </w:pPr>
    <w:rPr>
      <w:rFonts w:eastAsiaTheme="majorEastAsia" w:cstheme="majorBidi"/>
      <w:i/>
      <w:iCs/>
      <w:color w:val="2F5496" w:themeColor="accent1" w:themeShade="BF"/>
      <w:sz w:val="24"/>
      <w:szCs w:val="24"/>
    </w:rPr>
  </w:style>
  <w:style w:type="paragraph" w:styleId="Heading5">
    <w:name w:val="heading 5"/>
    <w:basedOn w:val="Normal"/>
    <w:next w:val="Normal"/>
    <w:link w:val="Heading5Char"/>
    <w:uiPriority w:val="9"/>
    <w:semiHidden/>
    <w:unhideWhenUsed/>
    <w:qFormat/>
    <w:rsid w:val="00CA1BF9"/>
    <w:pPr>
      <w:keepNext/>
      <w:keepLines/>
      <w:widowControl/>
      <w:spacing w:before="80" w:after="40" w:line="278" w:lineRule="auto"/>
      <w:jc w:val="left"/>
      <w:outlineLvl w:val="4"/>
    </w:pPr>
    <w:rPr>
      <w:rFonts w:eastAsiaTheme="majorEastAsia" w:cstheme="majorBidi"/>
      <w:color w:val="2F5496" w:themeColor="accent1" w:themeShade="BF"/>
      <w:sz w:val="24"/>
      <w:szCs w:val="24"/>
    </w:rPr>
  </w:style>
  <w:style w:type="paragraph" w:styleId="Heading6">
    <w:name w:val="heading 6"/>
    <w:basedOn w:val="Normal"/>
    <w:next w:val="Normal"/>
    <w:link w:val="Heading6Char"/>
    <w:uiPriority w:val="9"/>
    <w:semiHidden/>
    <w:unhideWhenUsed/>
    <w:qFormat/>
    <w:rsid w:val="00CA1BF9"/>
    <w:pPr>
      <w:keepNext/>
      <w:keepLines/>
      <w:widowControl/>
      <w:spacing w:before="40" w:line="278" w:lineRule="auto"/>
      <w:jc w:val="left"/>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CA1BF9"/>
    <w:pPr>
      <w:keepNext/>
      <w:keepLines/>
      <w:widowControl/>
      <w:spacing w:before="40" w:line="278" w:lineRule="auto"/>
      <w:jc w:val="left"/>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CA1BF9"/>
    <w:pPr>
      <w:keepNext/>
      <w:keepLines/>
      <w:widowControl/>
      <w:spacing w:line="278" w:lineRule="auto"/>
      <w:jc w:val="left"/>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CA1BF9"/>
    <w:pPr>
      <w:keepNext/>
      <w:keepLines/>
      <w:widowControl/>
      <w:spacing w:line="278" w:lineRule="auto"/>
      <w:jc w:val="left"/>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1BF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A1BF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A1BF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A1BF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A1BF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A1B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1B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1B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1BF9"/>
    <w:rPr>
      <w:rFonts w:eastAsiaTheme="majorEastAsia" w:cstheme="majorBidi"/>
      <w:color w:val="272727" w:themeColor="text1" w:themeTint="D8"/>
    </w:rPr>
  </w:style>
  <w:style w:type="paragraph" w:styleId="Title">
    <w:name w:val="Title"/>
    <w:basedOn w:val="Normal"/>
    <w:next w:val="Normal"/>
    <w:link w:val="TitleChar"/>
    <w:uiPriority w:val="10"/>
    <w:qFormat/>
    <w:rsid w:val="00CA1BF9"/>
    <w:pPr>
      <w:widowControl/>
      <w:spacing w:after="80"/>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1B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1BF9"/>
    <w:pPr>
      <w:widowControl/>
      <w:numPr>
        <w:ilvl w:val="1"/>
      </w:numPr>
      <w:spacing w:after="160" w:line="278" w:lineRule="auto"/>
      <w:jc w:val="left"/>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1B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1BF9"/>
    <w:pPr>
      <w:widowControl/>
      <w:spacing w:before="160" w:after="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CA1BF9"/>
    <w:rPr>
      <w:i/>
      <w:iCs/>
      <w:color w:val="404040" w:themeColor="text1" w:themeTint="BF"/>
    </w:rPr>
  </w:style>
  <w:style w:type="paragraph" w:styleId="ListParagraph">
    <w:name w:val="List Paragraph"/>
    <w:basedOn w:val="Normal"/>
    <w:uiPriority w:val="34"/>
    <w:qFormat/>
    <w:rsid w:val="00CA1BF9"/>
    <w:pPr>
      <w:widowControl/>
      <w:spacing w:after="160" w:line="278" w:lineRule="auto"/>
      <w:ind w:left="720"/>
      <w:contextualSpacing/>
      <w:jc w:val="left"/>
    </w:pPr>
    <w:rPr>
      <w:sz w:val="24"/>
      <w:szCs w:val="24"/>
    </w:rPr>
  </w:style>
  <w:style w:type="character" w:styleId="IntenseEmphasis">
    <w:name w:val="Intense Emphasis"/>
    <w:basedOn w:val="DefaultParagraphFont"/>
    <w:uiPriority w:val="21"/>
    <w:qFormat/>
    <w:rsid w:val="00CA1BF9"/>
    <w:rPr>
      <w:i/>
      <w:iCs/>
      <w:color w:val="2F5496" w:themeColor="accent1" w:themeShade="BF"/>
    </w:rPr>
  </w:style>
  <w:style w:type="paragraph" w:styleId="IntenseQuote">
    <w:name w:val="Intense Quote"/>
    <w:basedOn w:val="Normal"/>
    <w:next w:val="Normal"/>
    <w:link w:val="IntenseQuoteChar"/>
    <w:uiPriority w:val="30"/>
    <w:qFormat/>
    <w:rsid w:val="00CA1BF9"/>
    <w:pPr>
      <w:widowControl/>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sz w:val="24"/>
      <w:szCs w:val="24"/>
    </w:rPr>
  </w:style>
  <w:style w:type="character" w:customStyle="1" w:styleId="IntenseQuoteChar">
    <w:name w:val="Intense Quote Char"/>
    <w:basedOn w:val="DefaultParagraphFont"/>
    <w:link w:val="IntenseQuote"/>
    <w:uiPriority w:val="30"/>
    <w:rsid w:val="00CA1BF9"/>
    <w:rPr>
      <w:i/>
      <w:iCs/>
      <w:color w:val="2F5496" w:themeColor="accent1" w:themeShade="BF"/>
    </w:rPr>
  </w:style>
  <w:style w:type="character" w:styleId="IntenseReference">
    <w:name w:val="Intense Reference"/>
    <w:basedOn w:val="DefaultParagraphFont"/>
    <w:uiPriority w:val="32"/>
    <w:qFormat/>
    <w:rsid w:val="00CA1BF9"/>
    <w:rPr>
      <w:b/>
      <w:bCs/>
      <w:smallCaps/>
      <w:color w:val="2F5496" w:themeColor="accent1" w:themeShade="BF"/>
      <w:spacing w:val="5"/>
    </w:rPr>
  </w:style>
  <w:style w:type="character" w:styleId="Strong">
    <w:name w:val="Strong"/>
    <w:basedOn w:val="DefaultParagraphFont"/>
    <w:uiPriority w:val="22"/>
    <w:qFormat/>
    <w:rsid w:val="007E4C7D"/>
    <w:rPr>
      <w:b/>
      <w:bCs/>
    </w:rPr>
  </w:style>
  <w:style w:type="paragraph" w:customStyle="1" w:styleId="a">
    <w:name w:val="草稿文字"/>
    <w:basedOn w:val="Normal"/>
    <w:link w:val="a0"/>
    <w:qFormat/>
    <w:rsid w:val="00230E19"/>
    <w:pPr>
      <w:widowControl/>
      <w:jc w:val="left"/>
    </w:pPr>
    <w:rPr>
      <w:rFonts w:ascii="Microsoft YaHei" w:eastAsia="Microsoft YaHei" w:hAnsi="Microsoft YaHei" w:cs="SimSun"/>
      <w:color w:val="00CC00"/>
      <w:kern w:val="0"/>
      <w:szCs w:val="21"/>
      <w14:ligatures w14:val="none"/>
    </w:rPr>
  </w:style>
  <w:style w:type="character" w:customStyle="1" w:styleId="a0">
    <w:name w:val="草稿文字 字符"/>
    <w:basedOn w:val="DefaultParagraphFont"/>
    <w:link w:val="a"/>
    <w:qFormat/>
    <w:rsid w:val="00230E19"/>
    <w:rPr>
      <w:rFonts w:ascii="Microsoft YaHei" w:eastAsia="Microsoft YaHei" w:hAnsi="Microsoft YaHei" w:cs="SimSun"/>
      <w:color w:val="00CC00"/>
      <w:kern w:val="0"/>
      <w:sz w:val="21"/>
      <w:szCs w:val="21"/>
      <w14:ligatures w14:val="none"/>
    </w:rPr>
  </w:style>
  <w:style w:type="paragraph" w:styleId="Caption">
    <w:name w:val="caption"/>
    <w:basedOn w:val="Normal"/>
    <w:next w:val="Normal"/>
    <w:uiPriority w:val="35"/>
    <w:unhideWhenUsed/>
    <w:qFormat/>
    <w:rsid w:val="00230E19"/>
    <w:pPr>
      <w:spacing w:after="200"/>
    </w:pPr>
    <w:rPr>
      <w:i/>
      <w:iCs/>
      <w:color w:val="44546A" w:themeColor="text2"/>
      <w:sz w:val="18"/>
      <w:szCs w:val="18"/>
    </w:rPr>
  </w:style>
  <w:style w:type="paragraph" w:styleId="Header">
    <w:name w:val="header"/>
    <w:basedOn w:val="Normal"/>
    <w:link w:val="HeaderChar"/>
    <w:uiPriority w:val="99"/>
    <w:unhideWhenUsed/>
    <w:rsid w:val="006E28DF"/>
    <w:pPr>
      <w:tabs>
        <w:tab w:val="center" w:pos="4680"/>
        <w:tab w:val="right" w:pos="9360"/>
      </w:tabs>
    </w:pPr>
  </w:style>
  <w:style w:type="character" w:customStyle="1" w:styleId="HeaderChar">
    <w:name w:val="Header Char"/>
    <w:basedOn w:val="DefaultParagraphFont"/>
    <w:link w:val="Header"/>
    <w:uiPriority w:val="99"/>
    <w:rsid w:val="006E28DF"/>
    <w:rPr>
      <w:sz w:val="21"/>
      <w:szCs w:val="22"/>
    </w:rPr>
  </w:style>
  <w:style w:type="paragraph" w:styleId="Footer">
    <w:name w:val="footer"/>
    <w:basedOn w:val="Normal"/>
    <w:link w:val="FooterChar"/>
    <w:uiPriority w:val="99"/>
    <w:unhideWhenUsed/>
    <w:rsid w:val="006E28DF"/>
    <w:pPr>
      <w:tabs>
        <w:tab w:val="center" w:pos="4680"/>
        <w:tab w:val="right" w:pos="9360"/>
      </w:tabs>
    </w:pPr>
  </w:style>
  <w:style w:type="character" w:customStyle="1" w:styleId="FooterChar">
    <w:name w:val="Footer Char"/>
    <w:basedOn w:val="DefaultParagraphFont"/>
    <w:link w:val="Footer"/>
    <w:uiPriority w:val="99"/>
    <w:rsid w:val="006E28DF"/>
    <w:rPr>
      <w:sz w:val="21"/>
      <w:szCs w:val="22"/>
    </w:rPr>
  </w:style>
  <w:style w:type="character" w:styleId="Hyperlink">
    <w:name w:val="Hyperlink"/>
    <w:basedOn w:val="DefaultParagraphFont"/>
    <w:uiPriority w:val="99"/>
    <w:unhideWhenUsed/>
    <w:rsid w:val="00EC662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mailto:764609577@qq.com"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6</Pages>
  <Words>521</Words>
  <Characters>3309</Characters>
  <Application>Microsoft Office Word</Application>
  <DocSecurity>0</DocSecurity>
  <Lines>183</Lines>
  <Paragraphs>87</Paragraphs>
  <ScaleCrop>false</ScaleCrop>
  <Company/>
  <LinksUpToDate>false</LinksUpToDate>
  <CharactersWithSpaces>3743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Giri Mohan</dc:creator>
  <cp:keywords/>
  <dc:description/>
  <cp:lastModifiedBy>Giri Mohan</cp:lastModifiedBy>
  <cp:revision>15</cp:revision>
  <dcterms:created xsi:type="dcterms:W3CDTF">2025-04-26T23:31:00Z</dcterms:created>
  <dcterms:modified xsi:type="dcterms:W3CDTF">2025-04-28T08:42:00Z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7629b1a76955c4e305c07e00ca3b38b5bbd78bb26a5ef145c69d2ca4b313e8cd</vt:lpwstr>
  </property>
</Properties>
</file>