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77777777" w:rsidR="00654E8F" w:rsidRPr="001549D3" w:rsidRDefault="00654E8F" w:rsidP="002115DF">
      <w:pPr>
        <w:pStyle w:val="SupplementaryMaterial"/>
        <w:spacing w:before="120"/>
        <w:rPr>
          <w:b w:val="0"/>
        </w:rPr>
      </w:pPr>
      <w:r w:rsidRPr="001549D3">
        <w:t>Supplementary Material</w:t>
      </w:r>
    </w:p>
    <w:p w14:paraId="29026311" w14:textId="4D235B84" w:rsidR="00EA3D3C" w:rsidRDefault="00654E8F" w:rsidP="002115DF">
      <w:pPr>
        <w:pStyle w:val="Heading1"/>
        <w:spacing w:before="120"/>
      </w:pPr>
      <w:r w:rsidRPr="00994A3D">
        <w:t xml:space="preserve">Supplementary </w:t>
      </w:r>
      <w:r w:rsidR="00EE530E">
        <w:t xml:space="preserve">Materials and </w:t>
      </w:r>
      <w:r w:rsidR="00696024">
        <w:t>Methods</w:t>
      </w:r>
    </w:p>
    <w:p w14:paraId="16CF03E3" w14:textId="77777777" w:rsidR="00212C3C" w:rsidRPr="00212C3C" w:rsidRDefault="00212C3C" w:rsidP="002115DF">
      <w:pPr>
        <w:pStyle w:val="Heading2"/>
        <w:spacing w:before="120"/>
        <w:rPr>
          <w:bCs/>
          <w:color w:val="000000" w:themeColor="text1"/>
        </w:rPr>
      </w:pPr>
      <w:r w:rsidRPr="00212C3C">
        <w:rPr>
          <w:bCs/>
          <w:color w:val="000000" w:themeColor="text1"/>
        </w:rPr>
        <w:t>Choice of TCR framework and creation of TCR yeast display libraries</w:t>
      </w:r>
    </w:p>
    <w:p w14:paraId="1ED4CCB2" w14:textId="2F8A6710" w:rsidR="00212C3C" w:rsidRPr="00850EB0" w:rsidRDefault="00212C3C" w:rsidP="002115DF">
      <w:pPr>
        <w:rPr>
          <w:color w:val="000000" w:themeColor="text1"/>
        </w:rPr>
      </w:pPr>
      <w:r w:rsidRPr="00850EB0">
        <w:rPr>
          <w:color w:val="000000" w:themeColor="text1"/>
        </w:rPr>
        <w:t xml:space="preserve">The TCR framework used throughout this study is a patient-derived A6 TCR clone that recognizes the Human T-lymphotropic virus 1 (HTLV-1)-derived </w:t>
      </w:r>
      <w:r w:rsidRPr="00850EB0">
        <w:rPr>
          <w:i/>
          <w:iCs/>
          <w:color w:val="000000" w:themeColor="text1"/>
        </w:rPr>
        <w:t xml:space="preserve">Tax </w:t>
      </w:r>
      <w:r w:rsidRPr="00850EB0">
        <w:rPr>
          <w:color w:val="000000" w:themeColor="text1"/>
        </w:rPr>
        <w:t>peptide</w:t>
      </w:r>
      <w:r>
        <w:rPr>
          <w:rFonts w:eastAsiaTheme="minorHAnsi" w:hint="eastAsia"/>
          <w:color w:val="000000" w:themeColor="text1"/>
          <w:lang w:eastAsia="ko-KR"/>
        </w:rPr>
        <w:t xml:space="preserve"> </w:t>
      </w:r>
      <w:r>
        <w:rPr>
          <w:rFonts w:eastAsiaTheme="minorHAnsi"/>
          <w:color w:val="000000" w:themeColor="text1"/>
          <w:lang w:eastAsia="ko-KR"/>
        </w:rPr>
        <w:fldChar w:fldCharType="begin"/>
      </w:r>
      <w:r>
        <w:rPr>
          <w:rFonts w:eastAsiaTheme="minorHAnsi"/>
          <w:color w:val="000000" w:themeColor="text1"/>
          <w:lang w:eastAsia="ko-KR"/>
        </w:rPr>
        <w:instrText xml:space="preserve"> ADDIN ZOTERO_ITEM CSL_CITATION {"citationID":"0pBMFxWo","properties":{"formattedCitation":"(1\\uc0\\u8211{}3)","plainCitation":"(1–3)","noteIndex":0},"citationItems":[{"id":27,"uris":["http://zotero.org/users/local/ts3Tfi2r/items/B2PFA9EL"],"itemData":{"id":27,"type":"article-journal","abstract":"The three-dimensional structure of a human alphabeta T cell receptor (TCR), B7, bound to the HLA-A2 molecule/HTLV-1 Tax peptide complex was determined by x-ray crystallography. Although different from the A6 TCR, previously studied, in 16 of the 17 residues that contact HLA-A2/Tax, the B7 TCR binds in a similar diagonal manner, only slightly tipped and rotated, relative to the A6 TCR. The structure explains data from functional assays on the specificity differences between the B7 and A6 TCRs for agonist, partial agonist, and null peptides. The existence of a structurally similar diagonal binding mode for TCRs favors mechanisms based on the formation of geometrically defined supramolecular assemblies for initiating signaling.","container-title":"Immunity","DOI":"10.1016/s1074-7613(00)80546-4","ISSN":"1074-7613","issue":"4","journalAbbreviation":"Immunity","language":"eng","note":"PMID: 9586631","page":"403-411","source":"PubMed","title":"Two human T cell receptors bind in a similar diagonal mode to the HLA-A2/Tax peptide complex using different TCR amino acids","volume":"8","author":[{"family":"Ding","given":"Y. H."},{"family":"Smith","given":"K. J."},{"family":"Garboczi","given":"D. N."},{"family":"Utz","given":"U."},{"family":"Biddison","given":"W. E."},{"family":"Wiley","given":"D. C."}],"issued":{"date-parts":[["1998",4]]}}},{"id":35,"uris":["http://zotero.org/users/local/ts3Tfi2r/items/GT5RZIJI"],"itemData":{"id":35,"type":"article-journal","abstract":"Recognition by a T-cell antigen receptor (TCR) of peptide complexed with a major histocompatibility complex (MHC) molecule occurs through variable loops in the TCR structure which bury almost all the available peptide and a much larger area of the MHC molecule. The TCR fits diagonally across the MHC peptide-binding site in a surface feature common to all class I and class II MHC molecules, providing evidence that the nature of binding is general. A broadly applicable binding mode has implications for the mechanism of repertoire selection and the magnitude of alloreactions.","container-title":"Nature","DOI":"10.1038/384134a0","ISSN":"0028-0836","issue":"6605","journalAbbreviation":"Nature","language":"eng","note":"PMID: 8906788","page":"134-141","source":"PubMed","title":"Structure of the complex between human T-cell receptor, viral peptide and HLA-A2","volume":"384","author":[{"family":"Garboczi","given":"D. N."},{"family":"Ghosh","given":"P."},{"family":"Utz","given":"U."},{"family":"Fan","given":"Q. R."},{"family":"Biddison","given":"W. E."},{"family":"Wiley","given":"D. C."}],"issued":{"date-parts":[["1996",11,14]]}}},{"id":42,"uris":["http://zotero.org/users/local/ts3Tfi2r/items/XSZMKTV4"],"itemData":{"id":42,"type":"article-journal","abstract":"The crystal structures of two human TCRs specific for a HTLV-I Tax peptide bound to HLA-A2 were recently determined, for the first time allowing a functional comparison of TCRs for which the MHC/peptide/TCR structures are known. Extensive amino acid substitutions show that the native Tax residues are optimal at each peptide position. A prominent feature of the TCR contact surface is a deep pocket that accommodates a tyrosine at position 5 of the peptide. For one of these TCRs, this pocket is highly specific for aromatic residues. In the other TCR structure, this pocket is larger, allowing many different residues to be accommodated. The CTL clones also show major differences in the specificity for several other peptide residues, including side chains that are not directly contacted by the TCR. Despite the specificity of these clones, peptides that are distinct at five or six positions from Tax11-19 induce CTL activity, indicating that substantial changes of the peptide surface are tolerated. Human peptides with limited sequence homology to Tax11-19 represent partial TCR agonists for these CTL clones. The distinct functional properties of these CTL clones highlight structural features that determine TCR specificity and cross-reactivity for MHC-bound peptides.","container-title":"Journal of Immunology (Baltimore, Md.: 1950)","ISSN":"0022-1767","issue":"9","journalAbbreviation":"J Immunol","language":"eng","note":"PMID: 10228016","page":"5389-5397","source":"PubMed","title":"Peptide recognition by two HLA-A2/Tax11-19-specific T cell clones in relationship to their MHC/peptide/TCR crystal structures","volume":"162","author":[{"family":"Hausmann","given":"S."},{"family":"Biddison","given":"W. E."},{"family":"Smith","given":"K. J."},{"family":"Ding","given":"Y. H."},{"family":"Garboczi","given":"D. N."},{"family":"Utz","given":"U."},{"family":"Wiley","given":"D. C."},{"family":"Wucherpfennig","given":"K. W."}],"issued":{"date-parts":[["1999",5,1]]}}}],"schema":"https://github.com/citation-style-language/schema/raw/master/csl-citation.json"} </w:instrText>
      </w:r>
      <w:r>
        <w:rPr>
          <w:rFonts w:eastAsiaTheme="minorHAnsi"/>
          <w:color w:val="000000" w:themeColor="text1"/>
          <w:lang w:eastAsia="ko-KR"/>
        </w:rPr>
        <w:fldChar w:fldCharType="separate"/>
      </w:r>
      <w:r w:rsidRPr="00212C3C">
        <w:rPr>
          <w:rFonts w:cs="Times New Roman"/>
          <w:color w:val="000000"/>
          <w:szCs w:val="24"/>
        </w:rPr>
        <w:t>(1–3)</w:t>
      </w:r>
      <w:r>
        <w:rPr>
          <w:rFonts w:eastAsiaTheme="minorHAnsi"/>
          <w:color w:val="000000" w:themeColor="text1"/>
          <w:lang w:eastAsia="ko-KR"/>
        </w:rPr>
        <w:fldChar w:fldCharType="end"/>
      </w:r>
      <w:r w:rsidRPr="00850EB0">
        <w:rPr>
          <w:color w:val="000000" w:themeColor="text1"/>
        </w:rPr>
        <w:t>. The framework sequence was expressed as a single chain TCR (</w:t>
      </w:r>
      <w:proofErr w:type="spellStart"/>
      <w:r w:rsidRPr="00850EB0">
        <w:rPr>
          <w:color w:val="000000" w:themeColor="text1"/>
        </w:rPr>
        <w:t>scTv</w:t>
      </w:r>
      <w:proofErr w:type="spellEnd"/>
      <w:r w:rsidRPr="00850EB0">
        <w:rPr>
          <w:color w:val="000000" w:themeColor="text1"/>
        </w:rPr>
        <w:t>) as previously described</w:t>
      </w:r>
      <w:r>
        <w:rPr>
          <w:color w:val="000000" w:themeColor="text1"/>
        </w:rPr>
        <w:t xml:space="preserve"> </w:t>
      </w:r>
      <w:r>
        <w:rPr>
          <w:color w:val="000000" w:themeColor="text1"/>
        </w:rPr>
        <w:fldChar w:fldCharType="begin"/>
      </w:r>
      <w:r>
        <w:rPr>
          <w:color w:val="000000" w:themeColor="text1"/>
        </w:rPr>
        <w:instrText xml:space="preserve"> ADDIN ZOTERO_ITEM CSL_CITATION {"citationID":"jen1DYi2","properties":{"formattedCitation":"(4)","plainCitation":"(4)","noteIndex":0},"citationItems":[{"id":17,"uris":["http://zotero.org/users/local/ts3Tfi2r/items/QVLJG5PZ"],"itemData":{"id":17,"type":"article-journal","abstract":"Single-chain antibody fragments (scFv), consisting of two linked variable regions (V(H) and V(L)), are a versatile format for engineering and as potential antigen-specific therapeutics. Although the analogous format for T cell receptors (TCRs), consisting of two linked V regions (Vα and Vβ; referred to here as scTv), could provide similar opportunities, all wild-type scTv proteins examined to date are unstable. This obstacle has prevented scTv fragments from being widely used for engineering or therapeutics. To further explore whether some stable human scTv fragments could be expressed, we used a yeast system in which display of properly folded domains correlates with ability to express the folded scTv in soluble form. We discovered that, unexpectedly, scTv fragments that contained the human Vα2 region (IMGT: TRAV12 family) were displayed and properly associated with different Vβ regions. Furthermore, a single polymorphic residue (Ser(α49)) in the framework region conferred additional thermal stability. These stabilized Vα2-containing scTv fragments could be expressed at high levels in Escherichia coli, and used to stain target cells that expressed the specific pep-HLA-A2 complexes. Thus, the scTv fragments can serve as a platform for engineering TCRs with diverse specificities, and possibly for therapeutic or diagnostic applications.","container-title":"Protein engineering, design &amp; selection: PEDS","DOI":"10.1093/protein/gzq113","ISSN":"1741-0134","issue":"4","journalAbbreviation":"Protein Eng Des Sel","language":"eng","note":"PMID: 21159619\nPMCID: PMC3049343","page":"361-372","source":"PubMed","title":"Identification and engineering of human variable regions that allow expression of stable single-chain T cell receptors","volume":"24","author":[{"family":"Aggen","given":"David H."},{"family":"Chervin","given":"Adam S."},{"family":"Insaidoo","given":"Francis K."},{"family":"Piepenbrink","given":"Kurt H."},{"family":"Baker","given":"Brian M."},{"family":"Kranz","given":"David M."}],"issued":{"date-parts":[["2011",4]]}}}],"schema":"https://github.com/citation-style-language/schema/raw/master/csl-citation.json"} </w:instrText>
      </w:r>
      <w:r>
        <w:rPr>
          <w:color w:val="000000" w:themeColor="text1"/>
        </w:rPr>
        <w:fldChar w:fldCharType="separate"/>
      </w:r>
      <w:r>
        <w:rPr>
          <w:noProof/>
          <w:color w:val="000000" w:themeColor="text1"/>
        </w:rPr>
        <w:t>(4)</w:t>
      </w:r>
      <w:r>
        <w:rPr>
          <w:color w:val="000000" w:themeColor="text1"/>
        </w:rPr>
        <w:fldChar w:fldCharType="end"/>
      </w:r>
      <w:r>
        <w:rPr>
          <w:color w:val="000000" w:themeColor="text1"/>
        </w:rPr>
        <w:t xml:space="preserve">. </w:t>
      </w:r>
      <w:r w:rsidRPr="00850EB0">
        <w:rPr>
          <w:color w:val="000000" w:themeColor="text1"/>
        </w:rPr>
        <w:t>Briefly, the conventional pCT302 vector is implemented with an aga2 leader peptide sequence and N and C terminal expression tags, hemagglutinin tag (HA) and Flag epitope polypeptide tag, respectively</w:t>
      </w:r>
      <w:r>
        <w:rPr>
          <w:color w:val="000000" w:themeColor="text1"/>
        </w:rPr>
        <w:t xml:space="preserve"> </w:t>
      </w:r>
      <w:r>
        <w:rPr>
          <w:color w:val="000000" w:themeColor="text1"/>
        </w:rPr>
        <w:fldChar w:fldCharType="begin"/>
      </w:r>
      <w:r>
        <w:rPr>
          <w:color w:val="000000" w:themeColor="text1"/>
        </w:rPr>
        <w:instrText xml:space="preserve"> ADDIN ZOTERO_ITEM CSL_CITATION {"citationID":"XZNBJet4","properties":{"formattedCitation":"(5,6)","plainCitation":"(5,6)","noteIndex":0},"citationItems":[{"id":80,"uris":["http://zotero.org/users/local/ts3Tfi2r/items/VBZFDD8Y"],"itemData":{"id":80,"type":"article-journal","abstract":"Epitope tagging is a valuable tool for quick detection, isolation, and analysis of protein-protein interaction, without prior knowledge of the target protein. The FLAG epitope tag, one of the most widely used tags, is an eight amino acid peptide that can be detected by anti-FLAG monoclonal antibody. In the present study, we have examined the detection sensitivity of a protein fused to three tandem FLAG epitopes by Western blot analysis, immunoprecipitation, and immunohistochemical analysis using anti-FLAG M2 antibody. We find that the triple FLAG epitope significantly enhances the sensitivity of detection of fusion protein expressed in mammalian cells.","container-title":"Molecular Biotechnology","DOI":"10.1385/MB:19:3:313","ISSN":"1073-6085","issue":"3","journalAbbreviation":"Mol Biotechnol","language":"eng","note":"PMID: 11721627","page":"313-321","source":"PubMed","title":"Multiple tandem epitope tagging for enhanced detection of protein expressed in mammalian cells","volume":"19","author":[{"family":"Zhang","given":"L."},{"family":"Hernan","given":"R."},{"family":"Brizzard","given":"B."}],"issued":{"date-parts":[["2001",11]]}}},{"id":54,"uris":["http://zotero.org/users/local/ts3Tfi2r/items/6FFTKHE9"],"itemData":{"id":54,"type":"article-journal","abstract":"A small hydrophilic peptide of eight amino acids (AspTyrLysAspAspAspAspLys) was engineered onto the N-terminus of a variety of recombinant lymphokines for the purpose of aiding in their detection and purification from yeast supernatants or E. coli extracts. An antibody specific for the first four amino acids of this sequence was used as a detection reagent and for immunoaffinity purification of products under mild conditions. Because of the small size of the peptide moiety and its hydrophilic nature, the proteins were unaffected by its presence and retained a high level of biological activity. In addition, it was possible to remove the peptide via an enzymatic cleavage procedure using enterokinase.","container-title":"Bio/Technology","DOI":"10.1038/nbt1088-1204","ISSN":"1546-1696","issue":"10","journalAbbreviation":"Nat Biotechnol","language":"en","license":"1988 Nature Publishing Company","note":"publisher: Nature Publishing Group","page":"1204-1210","source":"www.nature.com","title":"A Short Polypeptide Marker Sequence Useful for Recombinant Protein Identification and Purification","volume":"6","author":[{"family":"Hopp","given":"Thomas P."},{"family":"Prickett","given":"Kathryn S."},{"family":"Price","given":"Virginia L."},{"family":"Libby","given":"Randell T."},{"family":"March","given":"Carl J."},{"family":"Pat Cerretti","given":"Douglas"},{"family":"Urdal","given":"David L."},{"family":"Conlon","given":"Paul J."}],"issued":{"date-parts":[["1988",10]]}}}],"schema":"https://github.com/citation-style-language/schema/raw/master/csl-citation.json"} </w:instrText>
      </w:r>
      <w:r>
        <w:rPr>
          <w:color w:val="000000" w:themeColor="text1"/>
        </w:rPr>
        <w:fldChar w:fldCharType="separate"/>
      </w:r>
      <w:r>
        <w:rPr>
          <w:noProof/>
          <w:color w:val="000000" w:themeColor="text1"/>
        </w:rPr>
        <w:t>(5,6)</w:t>
      </w:r>
      <w:r>
        <w:rPr>
          <w:color w:val="000000" w:themeColor="text1"/>
        </w:rPr>
        <w:fldChar w:fldCharType="end"/>
      </w:r>
      <w:r w:rsidRPr="00850EB0">
        <w:rPr>
          <w:color w:val="000000" w:themeColor="text1"/>
        </w:rPr>
        <w:t>.</w:t>
      </w:r>
    </w:p>
    <w:p w14:paraId="64BD891A" w14:textId="510D3F28" w:rsidR="00212C3C" w:rsidRDefault="00212C3C" w:rsidP="002115DF">
      <w:pPr>
        <w:rPr>
          <w:color w:val="000000" w:themeColor="text1"/>
        </w:rPr>
      </w:pPr>
      <w:r w:rsidRPr="00850EB0">
        <w:rPr>
          <w:color w:val="000000" w:themeColor="text1"/>
        </w:rPr>
        <w:t xml:space="preserve">We used </w:t>
      </w:r>
      <w:proofErr w:type="spellStart"/>
      <w:r w:rsidRPr="00850EB0">
        <w:rPr>
          <w:color w:val="000000" w:themeColor="text1"/>
        </w:rPr>
        <w:t>Garboczi</w:t>
      </w:r>
      <w:proofErr w:type="spellEnd"/>
      <w:r w:rsidRPr="00850EB0">
        <w:rPr>
          <w:color w:val="000000" w:themeColor="text1"/>
        </w:rPr>
        <w:t xml:space="preserve"> et al.’s </w:t>
      </w:r>
      <w:r>
        <w:rPr>
          <w:color w:val="000000" w:themeColor="text1"/>
        </w:rPr>
        <w:fldChar w:fldCharType="begin"/>
      </w:r>
      <w:r>
        <w:rPr>
          <w:color w:val="000000" w:themeColor="text1"/>
        </w:rPr>
        <w:instrText xml:space="preserve"> ADDIN ZOTERO_ITEM CSL_CITATION {"citationID":"ny4NK8K7","properties":{"formattedCitation":"(2)","plainCitation":"(2)","noteIndex":0},"citationItems":[{"id":35,"uris":["http://zotero.org/users/local/ts3Tfi2r/items/GT5RZIJI"],"itemData":{"id":35,"type":"article-journal","abstract":"Recognition by a T-cell antigen receptor (TCR) of peptide complexed with a major histocompatibility complex (MHC) molecule occurs through variable loops in the TCR structure which bury almost all the available peptide and a much larger area of the MHC molecule. The TCR fits diagonally across the MHC peptide-binding site in a surface feature common to all class I and class II MHC molecules, providing evidence that the nature of binding is general. A broadly applicable binding mode has implications for the mechanism of repertoire selection and the magnitude of alloreactions.","container-title":"Nature","DOI":"10.1038/384134a0","ISSN":"0028-0836","issue":"6605","journalAbbreviation":"Nature","language":"eng","note":"PMID: 8906788","page":"134-141","source":"PubMed","title":"Structure of the complex between human T-cell receptor, viral peptide and HLA-A2","volume":"384","author":[{"family":"Garboczi","given":"D. N."},{"family":"Ghosh","given":"P."},{"family":"Utz","given":"U."},{"family":"Fan","given":"Q. R."},{"family":"Biddison","given":"W. E."},{"family":"Wiley","given":"D. C."}],"issued":{"date-parts":[["1996",11,14]]}}}],"schema":"https://github.com/citation-style-language/schema/raw/master/csl-citation.json"} </w:instrText>
      </w:r>
      <w:r>
        <w:rPr>
          <w:color w:val="000000" w:themeColor="text1"/>
        </w:rPr>
        <w:fldChar w:fldCharType="separate"/>
      </w:r>
      <w:r>
        <w:rPr>
          <w:noProof/>
          <w:color w:val="000000" w:themeColor="text1"/>
        </w:rPr>
        <w:t>(2)</w:t>
      </w:r>
      <w:r>
        <w:rPr>
          <w:color w:val="000000" w:themeColor="text1"/>
        </w:rPr>
        <w:fldChar w:fldCharType="end"/>
      </w:r>
      <w:r w:rsidRPr="00850EB0">
        <w:rPr>
          <w:color w:val="000000" w:themeColor="text1"/>
        </w:rPr>
        <w:t xml:space="preserve"> crystal structure (PDB: 1AO7) to identify residues along the CDR3α and CDR3β that make the most contacts with </w:t>
      </w:r>
      <w:r w:rsidRPr="00850EB0">
        <w:rPr>
          <w:i/>
          <w:iCs/>
          <w:color w:val="000000" w:themeColor="text1"/>
        </w:rPr>
        <w:t xml:space="preserve">Tax </w:t>
      </w:r>
      <w:r w:rsidRPr="00850EB0">
        <w:rPr>
          <w:color w:val="000000" w:themeColor="text1"/>
        </w:rPr>
        <w:t xml:space="preserve">peptide. </w:t>
      </w:r>
      <w:r>
        <w:rPr>
          <w:color w:val="000000" w:themeColor="text1"/>
        </w:rPr>
        <w:t xml:space="preserve">The </w:t>
      </w:r>
      <w:r w:rsidRPr="00850EB0">
        <w:rPr>
          <w:color w:val="000000" w:themeColor="text1"/>
        </w:rPr>
        <w:t xml:space="preserve">positions 99-101 in CDR3α and positions 98-100 in CDR3β </w:t>
      </w:r>
      <w:r>
        <w:rPr>
          <w:color w:val="000000" w:themeColor="text1"/>
        </w:rPr>
        <w:t xml:space="preserve">were </w:t>
      </w:r>
      <w:r w:rsidRPr="00850EB0">
        <w:rPr>
          <w:color w:val="000000" w:themeColor="text1"/>
        </w:rPr>
        <w:t xml:space="preserve">randomized simultaneously via oligonucleotides </w:t>
      </w:r>
      <w:r>
        <w:rPr>
          <w:color w:val="000000" w:themeColor="text1"/>
        </w:rPr>
        <w:t>with</w:t>
      </w:r>
      <w:r w:rsidRPr="00850EB0">
        <w:rPr>
          <w:color w:val="000000" w:themeColor="text1"/>
        </w:rPr>
        <w:t xml:space="preserve"> uniform </w:t>
      </w:r>
      <w:r>
        <w:rPr>
          <w:color w:val="000000" w:themeColor="text1"/>
        </w:rPr>
        <w:t xml:space="preserve">amino acid </w:t>
      </w:r>
      <w:r w:rsidRPr="00850EB0">
        <w:rPr>
          <w:color w:val="000000" w:themeColor="text1"/>
        </w:rPr>
        <w:t>distribution</w:t>
      </w:r>
      <w:r>
        <w:rPr>
          <w:color w:val="000000" w:themeColor="text1"/>
        </w:rPr>
        <w:t>,</w:t>
      </w:r>
      <w:r w:rsidRPr="00850EB0">
        <w:rPr>
          <w:color w:val="000000" w:themeColor="text1"/>
        </w:rPr>
        <w:t xml:space="preserve"> excluding cysteines that could form disulfide bonds</w:t>
      </w:r>
      <w:r>
        <w:rPr>
          <w:color w:val="000000" w:themeColor="text1"/>
        </w:rPr>
        <w:t>,</w:t>
      </w:r>
      <w:r w:rsidRPr="00850EB0">
        <w:rPr>
          <w:color w:val="000000" w:themeColor="text1"/>
        </w:rPr>
        <w:t xml:space="preserve"> from Ella Biosciences. The final TCR library had the size of 19</w:t>
      </w:r>
      <w:r w:rsidRPr="00850EB0">
        <w:rPr>
          <w:color w:val="000000" w:themeColor="text1"/>
          <w:vertAlign w:val="superscript"/>
        </w:rPr>
        <w:t xml:space="preserve">6 </w:t>
      </w:r>
      <w:r w:rsidRPr="00850EB0">
        <w:rPr>
          <w:color w:val="000000" w:themeColor="text1"/>
        </w:rPr>
        <w:t>(~47 million). The DNA constructs were created via randomized oligos inserted into the yeast display vector pCT302 and electroporated into the RJY100 yeast strain as previously described</w:t>
      </w:r>
      <w:r>
        <w:rPr>
          <w:color w:val="000000" w:themeColor="text1"/>
        </w:rPr>
        <w:t xml:space="preserve"> </w:t>
      </w:r>
      <w:r>
        <w:rPr>
          <w:color w:val="000000" w:themeColor="text1"/>
        </w:rPr>
        <w:fldChar w:fldCharType="begin"/>
      </w:r>
      <w:r>
        <w:rPr>
          <w:color w:val="000000" w:themeColor="text1"/>
        </w:rPr>
        <w:instrText xml:space="preserve"> ADDIN ZOTERO_ITEM CSL_CITATION {"citationID":"X5Wozn1Z","properties":{"formattedCitation":"(7\\uc0\\u8211{}10)","plainCitation":"(7–10)","noteIndex":0},"citationItems":[{"id":73,"uris":["http://zotero.org/users/local/ts3Tfi2r/items/JNKJAD5T"],"itemData":{"id":73,"type":"article-journal","abstract":"Display technologies such as yeast and phage display offer powerful alternatives to traditional immunization-based antibody discovery, but require conversion of displayed proteins into soluble form prior to downstream characterization. Here we utilize amber suppression to implement a yeast-based switchable display/secretion system that enables the immediate production of soluble, antibody-like reagents at the end of screening efforts. Model selections in the switchable format remain efficient, and library screening in the switchable format yields renewable sources of affinity reagents exhibiting nanomolar binding affinities. These results confirm that this system provides a seamless link between display-based screening and the production and evaluation of soluble forms of candidate binding proteins. Switchable display/secretion libraries provide a cloning-free, accessible approach to affinity reagent generation.","container-title":"Protein engineering, design &amp; selection: PEDS","DOI":"10.1093/protein/gzv043","ISSN":"1741-0134","issue":"10","journalAbbreviation":"Protein Eng Des Sel","language":"eng","note":"PMID: 26333274\nPMCID: PMC4596280","page":"317-325","source":"PubMed","title":"A switchable yeast display/secretion system","volume":"28","author":[{"family":"Van Deventer","given":"James A."},{"family":"Kelly","given":"Ryan L."},{"family":"Rajan","given":"Saravanan"},{"family":"Wittrup","given":"K. Dane"},{"family":"Sidhu","given":"Sachdev S."}],"issued":{"date-parts":[["2015",10]]}}},{"id":76,"uris":["http://zotero.org/users/local/ts3Tfi2r/items/83HRVLBY"],"itemData":{"id":76,"type":"article-journal","abstract":"Antibodies play key roles as reagents, diagnostics, and therapeutics in numerous biological and biomedical research settings. Although many antibodies are commercially available, oftentimes, specific applications require the development of antibodies with customized properties. Yeast surface display is a robust, versatile, and quantitative method for generating these antibodies and is accessible to single-investigator laboratories. This protocol details the key aspects of yeast surface display library construction and screening.","container-title":"Methods in Molecular Biology (Clifton, N.J.)","DOI":"10.1007/978-1-62703-992-5_10","ISSN":"1940-6029","journalAbbreviation":"Methods Mol Biol","language":"eng","note":"PMID: 24515465","page":"151-181","source":"PubMed","title":"Yeast surface display for antibody isolation: library construction, library screening, and affinity maturation","title-short":"Yeast surface display for antibody isolation","volume":"1131","author":[{"family":"Van Deventer","given":"James A."},{"family":"Wittrup","given":"Karl Dane"}],"issued":{"date-parts":[["2014"]]}}},{"id":22,"uris":["http://zotero.org/users/local/ts3Tfi2r/items/TJ4HSIGS"],"itemData":{"id":22,"type":"article-journal","abstract":"This protocol describes the process of isolating and engineering antibodies or proteins for increased affinity and stability using yeast surface display. Single-chain antibody fragments (scFvs) are first isolated from an existing nonimmune human library displayed on the yeast surface using magnetic-activated cell sorting selection followed by selection using flow cytometry. This enriched population is then mutagenized, and successive rounds of random mutagenesis and flow cytometry selection are done to attain desired scFv properties through directed evolution. Labeling strategies for weakly binding scFvs are also described, as well as procedures for characterizing and 'titrating' scFv clones displayed on yeast. The ultimate result of following this protocol is a panel of scFvs with increased stability and affinity for an antigen of interest.","container-title":"Nature Protocols","DOI":"10.1038/nprot.2006.94","ISSN":"1750-2799","issue":"2","journalAbbreviation":"Nat Protoc","language":"eng","note":"PMID: 17406305","page":"755-768","source":"PubMed","title":"Isolating and engineering human antibodies using yeast surface display","volume":"1","author":[{"family":"Chao","given":"Ginger"},{"family":"Lau","given":"Wai L."},{"family":"Hackel","given":"Benjamin J."},{"family":"Sazinsky","given":"Stephen L."},{"family":"Lippow","given":"Shaun M."},{"family":"Wittrup","given":"K. Dane"}],"issued":{"date-parts":[["2006"]]}}},{"id":12,"uris":["http://zotero.org/users/local/ts3Tfi2r/items/J9ZDTBL3"],"itemData":{"id":12,"type":"article-journal","abstract":"T cell receptor (TCR) engagement of peptide-major histocompatibility complex (MHC) is essential to adaptive immunity, but it is unknown if TCR signaling responses are influenced by the binding topology of the TCR-peptide-MHC complex. We developed yeast-displayed peptide-MHC libraries that enabled us to identify new peptide sequences reactive with a single TCR. Structural analysis showed that four peptides bound to the TCR with distinct 3-dimensional (3D) and 2D affinities, using entirely different binding chemistries. Three of the peptides that shared a common docking mode, where key TCR-MHC germline interactions are preserved, induced TCR signaling. The fourth peptide failed to induce signaling, and was recognized in a substantially different TCR-MHC binding mode that apparently exceeded geometric tolerances compatible with signaling. We suggest that the ‘stereotypical’ TCR-MHC docking paradigm evolved from productive signaling geometries, and that TCR signaling can be modulated by peptides that are recognized in alternative TCR-pMHC binding orientations.","container-title":"Immunity","DOI":"10.1016/j.immuni.2011.09.013","ISSN":"1074-7613","issue":"5","journalAbbreviation":"Immunity","note":"PMID: 22101157\nPMCID: PMC3253265","page":"681-693","source":"PubMed Central","title":"T cell receptor signaling is limited by docking geometry to peptide-Major Histocompatibility Complex","volume":"35","author":[{"family":"Adams","given":"Jarrett J."},{"family":"Narayanan","given":"Samanthi"},{"family":"Liu","given":"Baoyu"},{"family":"Birnbaum","given":"Michael E."},{"family":"Kruse","given":"Andrew"},{"family":"Bowerman","given":"Natalie A."},{"family":"Chen","given":"Wei"},{"family":"Levin","given":"Aron M."},{"family":"Connolly","given":"Janet M."},{"family":"Zhu","given":"Cheng"},{"family":"Kranz","given":"David M."},{"family":"Garcia","given":"K. Christopher"}],"issued":{"date-parts":[["2011",11,23]]}}}],"schema":"https://github.com/citation-style-language/schema/raw/master/csl-citation.json"} </w:instrText>
      </w:r>
      <w:r>
        <w:rPr>
          <w:color w:val="000000" w:themeColor="text1"/>
        </w:rPr>
        <w:fldChar w:fldCharType="separate"/>
      </w:r>
      <w:r w:rsidRPr="00212C3C">
        <w:rPr>
          <w:rFonts w:cs="Times New Roman"/>
          <w:color w:val="000000"/>
          <w:szCs w:val="24"/>
        </w:rPr>
        <w:t>(7–10)</w:t>
      </w:r>
      <w:r>
        <w:rPr>
          <w:color w:val="000000" w:themeColor="text1"/>
        </w:rPr>
        <w:fldChar w:fldCharType="end"/>
      </w:r>
      <w:r w:rsidRPr="00850EB0">
        <w:rPr>
          <w:color w:val="000000" w:themeColor="text1"/>
        </w:rPr>
        <w:t>. We focus on CDR3 as its chains are the main drivers of peptide specificity, while CDR1 and CDR2 improve the MHC affinity alone</w:t>
      </w:r>
      <w:r>
        <w:rPr>
          <w:color w:val="000000" w:themeColor="text1"/>
        </w:rPr>
        <w:t xml:space="preserve"> </w:t>
      </w:r>
      <w:r>
        <w:rPr>
          <w:color w:val="000000" w:themeColor="text1"/>
        </w:rPr>
        <w:fldChar w:fldCharType="begin"/>
      </w:r>
      <w:r w:rsidR="00CD4197">
        <w:rPr>
          <w:color w:val="000000" w:themeColor="text1"/>
        </w:rPr>
        <w:instrText xml:space="preserve"> ADDIN ZOTERO_ITEM CSL_CITATION {"citationID":"JzBT5uLu","properties":{"formattedCitation":"(11\\uc0\\u8211{}13)","plainCitation":"(11–13)","noteIndex":0},"citationItems":[{"id":67,"uris":["http://zotero.org/users/local/ts3Tfi2r/items/U3LBG5QT"],"itemData":{"id":67,"type":"article-journal","abstract":"Binding of a T-cell receptor (TCR) to a peptide/major histocompatibility complex is the key interaction involved in antigen specificity of T cells. The recognition involves up to six complementarity determining regions (CDR) of the TCR. Efforts to examine the structural basis of these interactions and to exploit them in adoptive T-cell therapies has required the isolation of specific T-cell clones and their clonotypic TCRs. Here we describe a strategy using in vitro-directed evolution of a single TCR to change its peptide specificity, thereby avoiding the need to isolate T-cell clones. The human TCR A6, which recognizes the viral peptide Tax/HLA-A2, was converted to TCR variants that recognized the cancer peptide MART1/HLA-A2. Mutational studies and molecular dynamics simulations identified CDR residues that were predicted to be important in the specificity switch. Thus, in vitro engineering strategies alone can be used to discover TCRs with desired specificities.","container-title":"Nature Communications","DOI":"10.1038/ncomms6223","ISSN":"2041-1723","journalAbbreviation":"Nat Commun","language":"eng","note":"PMID: 25376839\nPMCID: PMC4225554","page":"5223","source":"PubMed","title":"Changing the peptide specificity of a human T-cell receptor by directed evolution","volume":"5","author":[{"family":"Smith","given":"Sheena N."},{"family":"Wang","given":"Yuhang"},{"family":"Baylon","given":"Javier L."},{"family":"Singh","given":"Nishant K."},{"family":"Baker","given":"Brian M."},{"family":"Tajkhorshid","given":"Emad"},{"family":"Kranz","given":"David M."}],"issued":{"date-parts":[["2014",11,7]]}}},{"id":32,"uris":["http://zotero.org/users/local/ts3Tfi2r/items/JS79BKFB"],"itemData":{"id":32,"type":"article-journal","abstract":"It has recently become possible to simultaneously assay T-cell specificity with respect to large sets of antigens and the T-cell receptor sequence in high-throughput single-cell experiments. Leveraging this new type of data, we propose and benchmark a collection of deep learning architectures to model T-cell specificity in single cells. In agreement with previous results, we found that models that treat antigens as categorical outcome variables outperform those that model the TCR and antigen sequence jointly. Moreover, we show that variability in single-cell immune repertoire screens can be mitigated by modeling cell-specific covariates. Lastly, we demonstrate that the number of bound pMHC complexes can be predicted in a continuous fashion providing a gateway to disentangle cell-to-dextramer binding strength and receptor-to-pMHC affinity. We provide these models in the Python package TcellMatch to allow imputation of antigen specificities in single-cell RNA-seq studies on T cells without the need for MHC staining.","container-title":"Molecular Systems Biology","DOI":"10.15252/msb.20199416","ISSN":"1744-4292","issue":"8","journalAbbreviation":"Mol Syst Biol","language":"eng","note":"PMID: 32779888\nPMCID: PMC7418512","page":"e9416","source":"PubMed","title":"Predicting antigen specificity of single T cells based on TCR CDR3 regions","volume":"16","author":[{"family":"Fischer","given":"David S."},{"family":"Wu","given":"Yihan"},{"family":"Schubert","given":"Benjamin"},{"family":"Theis","given":"Fabian J."}],"issued":{"date-parts":[["2020",8]]}}},{"id":70,"uris":["http://zotero.org/users/local/ts3Tfi2r/items/7929LIE4"],"itemData":{"id":70,"type":"article-journal","abstract":"INTRODUCTION: Predicting the binding specificity of T Cell Receptors (TCR) to MHC-peptide complexes (pMHCs) is essential for the development of repertoire-based biomarkers. This affinity may be affected by different components of the TCR, the peptide, and the MHC allele. Historically, the main element used in TCR-peptide binding prediction was the Complementarity Determining Region 3 (CDR3) of the beta chain. However, recently the contribution of other components, such as the alpha chain and the other V gene CDRs has been suggested. We use a highly accurate novel deep learning-based TCR-peptide binding predictor to assess the contribution of each component to the binding.\nMETHODS: We have previously developed ERGO-I (pEptide tcR matchinG predictiOn), a sequence-based T-cell receptor (TCR)-peptide binding predictor that employs natural language processing (NLP) -based methods. We improved it to create ERGO-II by adding the CDR3 alpha segment, the MHC typing, V and J genes, and T cell type (CD4+ or CD8+) as to the predictor. We then estimate the contribution of each component to the prediction.\nRESULTS AND DISCUSSION: ERGO-II provides for the first time high accuracy prediction of TCR-peptide for previously unseen peptides. For most tested peptides and all measures of binding prediction accuracy, the main contribution was from the beta chain CDR3 sequence, followed by the beta chain V and J and the alpha chain, in that order. The MHC allele was the least contributing component. ERGO-II is accessible as a webserver at http://tcr2.cs.biu.ac.il/ and as a standalone code at https://github.com/IdoSpringer/ERGO-II.","container-title":"Frontiers in Immunology","DOI":"10.3389/fimmu.2021.664514","ISSN":"1664-3224","journalAbbreviation":"Front Immunol","language":"eng","note":"PMID: 33981311\nPMCID: PMC8107833","page":"664514","source":"PubMed","title":"Contribution of T Cell Receptor Alpha and Beta CDR3, MHC Typing, V and J Genes to Peptide Binding Prediction","volume":"12","author":[{"family":"Springer","given":"Ido"},{"family":"Tickotsky","given":"Nili"},{"family":"Louzoun","given":"Yoram"}],"issued":{"date-parts":[["2021"]]}}}],"schema":"https://github.com/citation-style-language/schema/raw/master/csl-citation.json"} </w:instrText>
      </w:r>
      <w:r>
        <w:rPr>
          <w:color w:val="000000" w:themeColor="text1"/>
        </w:rPr>
        <w:fldChar w:fldCharType="separate"/>
      </w:r>
      <w:r w:rsidR="00CD4197" w:rsidRPr="00CD4197">
        <w:rPr>
          <w:rFonts w:cs="Times New Roman"/>
          <w:color w:val="000000"/>
          <w:szCs w:val="24"/>
        </w:rPr>
        <w:t>(11–13)</w:t>
      </w:r>
      <w:r>
        <w:rPr>
          <w:color w:val="000000" w:themeColor="text1"/>
        </w:rPr>
        <w:fldChar w:fldCharType="end"/>
      </w:r>
      <w:r>
        <w:rPr>
          <w:color w:val="000000" w:themeColor="text1"/>
        </w:rPr>
        <w:t xml:space="preserve">. </w:t>
      </w:r>
    </w:p>
    <w:p w14:paraId="7D93C222" w14:textId="79E07889" w:rsidR="00CD6A19" w:rsidRPr="00F76C37" w:rsidRDefault="00CD6A19" w:rsidP="00CD6A19">
      <w:pPr>
        <w:pStyle w:val="Heading2"/>
        <w:rPr>
          <w:color w:val="EE0000"/>
        </w:rPr>
      </w:pPr>
      <w:r w:rsidRPr="00F76C37">
        <w:rPr>
          <w:color w:val="EE0000"/>
        </w:rPr>
        <w:t xml:space="preserve">Verifying TCR reactivity to selected </w:t>
      </w:r>
      <w:proofErr w:type="spellStart"/>
      <w:r w:rsidRPr="00F76C37">
        <w:rPr>
          <w:color w:val="EE0000"/>
        </w:rPr>
        <w:t>pMHC</w:t>
      </w:r>
      <w:proofErr w:type="spellEnd"/>
      <w:r w:rsidRPr="00F76C37">
        <w:rPr>
          <w:color w:val="EE0000"/>
        </w:rPr>
        <w:t xml:space="preserve"> </w:t>
      </w:r>
      <w:r w:rsidR="00186DE6" w:rsidRPr="00F76C37">
        <w:rPr>
          <w:color w:val="EE0000"/>
        </w:rPr>
        <w:t>m</w:t>
      </w:r>
      <w:r w:rsidRPr="00F76C37">
        <w:rPr>
          <w:color w:val="EE0000"/>
        </w:rPr>
        <w:t>onomers</w:t>
      </w:r>
    </w:p>
    <w:p w14:paraId="4043A167" w14:textId="2E0A9414" w:rsidR="00CD6A19" w:rsidRPr="00F76C37" w:rsidRDefault="00CD6A19" w:rsidP="002115DF">
      <w:pPr>
        <w:rPr>
          <w:color w:val="EE0000"/>
        </w:rPr>
      </w:pPr>
      <w:r w:rsidRPr="00F76C37">
        <w:rPr>
          <w:color w:val="EE0000"/>
        </w:rPr>
        <w:t xml:space="preserve">We chose a subset of TCRs enriched across selections with a range of predicted cross-reactivities to </w:t>
      </w:r>
      <w:proofErr w:type="spellStart"/>
      <w:r w:rsidRPr="00F76C37">
        <w:rPr>
          <w:color w:val="EE0000"/>
        </w:rPr>
        <w:t>pMHC</w:t>
      </w:r>
      <w:proofErr w:type="spellEnd"/>
      <w:r w:rsidRPr="00F76C37">
        <w:rPr>
          <w:color w:val="EE0000"/>
        </w:rPr>
        <w:t xml:space="preserve"> monomers. The </w:t>
      </w:r>
      <w:r w:rsidR="000774D3" w:rsidRPr="00F76C37">
        <w:rPr>
          <w:color w:val="EE0000"/>
        </w:rPr>
        <w:t>eight</w:t>
      </w:r>
      <w:r w:rsidRPr="00F76C37">
        <w:rPr>
          <w:color w:val="EE0000"/>
        </w:rPr>
        <w:t xml:space="preserve"> TCRs described in </w:t>
      </w:r>
      <w:r w:rsidR="002B388C" w:rsidRPr="00F76C37">
        <w:rPr>
          <w:color w:val="EE0000"/>
        </w:rPr>
        <w:t>Extended Data Figure 2</w:t>
      </w:r>
      <w:r w:rsidR="000774D3" w:rsidRPr="00F76C37">
        <w:rPr>
          <w:color w:val="EE0000"/>
        </w:rPr>
        <w:t>C</w:t>
      </w:r>
      <w:commentRangeStart w:id="0"/>
      <w:r w:rsidRPr="00F76C37">
        <w:rPr>
          <w:color w:val="EE0000"/>
        </w:rPr>
        <w:t xml:space="preserve"> </w:t>
      </w:r>
      <w:commentRangeEnd w:id="0"/>
      <w:r w:rsidRPr="00F76C37">
        <w:rPr>
          <w:rStyle w:val="CommentReference"/>
          <w:color w:val="EE0000"/>
        </w:rPr>
        <w:commentReference w:id="0"/>
      </w:r>
      <w:r w:rsidRPr="00F76C37">
        <w:rPr>
          <w:color w:val="EE0000"/>
        </w:rPr>
        <w:t xml:space="preserve">were expressed as individual clones on yeast and surface expression of the construct was assessed via flow cytometry by antibody staining the Flag epitope tag (Cell Signaling Technology, clone D6W5B). </w:t>
      </w:r>
      <w:proofErr w:type="spellStart"/>
      <w:r w:rsidRPr="00F76C37">
        <w:rPr>
          <w:color w:val="EE0000"/>
        </w:rPr>
        <w:t>pMHC</w:t>
      </w:r>
      <w:proofErr w:type="spellEnd"/>
      <w:r w:rsidRPr="00F76C37">
        <w:rPr>
          <w:color w:val="EE0000"/>
        </w:rPr>
        <w:t xml:space="preserve"> tetramers were generated by incubating 5-fold molar excess of </w:t>
      </w:r>
      <w:proofErr w:type="spellStart"/>
      <w:r w:rsidRPr="00F76C37">
        <w:rPr>
          <w:color w:val="EE0000"/>
        </w:rPr>
        <w:t>pMHC</w:t>
      </w:r>
      <w:proofErr w:type="spellEnd"/>
      <w:r w:rsidRPr="00F76C37">
        <w:rPr>
          <w:color w:val="EE0000"/>
        </w:rPr>
        <w:t xml:space="preserve"> monomer with streptavidin–Alexa Fluor 647 (SAV-647) made in-house. Yeast</w:t>
      </w:r>
      <w:r w:rsidR="0093057B" w:rsidRPr="00F76C37">
        <w:rPr>
          <w:color w:val="EE0000"/>
        </w:rPr>
        <w:t>s</w:t>
      </w:r>
      <w:r w:rsidRPr="00F76C37">
        <w:rPr>
          <w:color w:val="EE0000"/>
        </w:rPr>
        <w:t xml:space="preserve"> were then stained with different concentrations of the </w:t>
      </w:r>
      <w:proofErr w:type="spellStart"/>
      <w:r w:rsidRPr="00F76C37">
        <w:rPr>
          <w:color w:val="EE0000"/>
        </w:rPr>
        <w:t>pMHC</w:t>
      </w:r>
      <w:proofErr w:type="spellEnd"/>
      <w:r w:rsidRPr="00F76C37">
        <w:rPr>
          <w:color w:val="EE0000"/>
        </w:rPr>
        <w:t xml:space="preserve"> tetramers ranging from 0.01nM - 200nM for 1 hour at 4</w:t>
      </w:r>
      <w:r w:rsidR="00C21A53" w:rsidRPr="00F76C37">
        <w:rPr>
          <w:color w:val="EE0000"/>
        </w:rPr>
        <w:t xml:space="preserve"> </w:t>
      </w:r>
      <w:r w:rsidR="00B4244F" w:rsidRPr="00F76C37">
        <w:rPr>
          <w:color w:val="EE0000"/>
        </w:rPr>
        <w:t>°</w:t>
      </w:r>
      <w:r w:rsidRPr="00F76C37">
        <w:rPr>
          <w:color w:val="EE0000"/>
        </w:rPr>
        <w:t xml:space="preserve">C (we report tetramer concentration as the concentration of SAV-647). Following staining, cells were washed and fixed in 2% paraformaldehyde (PFA). Fixed cells were analyzed by flow cytometry. </w:t>
      </w:r>
      <w:r w:rsidR="00A047AA" w:rsidRPr="00F76C37">
        <w:rPr>
          <w:color w:val="EE0000"/>
        </w:rPr>
        <w:t>The t</w:t>
      </w:r>
      <w:r w:rsidRPr="00F76C37">
        <w:rPr>
          <w:color w:val="EE0000"/>
        </w:rPr>
        <w:t>etramer binding was quantified by median fluorescence intensity (MFI) and plotted against tetramer concentration to generate titration curves.</w:t>
      </w:r>
      <w:r w:rsidR="0083480F" w:rsidRPr="00F76C37">
        <w:rPr>
          <w:color w:val="EE0000"/>
        </w:rPr>
        <w:t xml:space="preserve"> </w:t>
      </w:r>
    </w:p>
    <w:p w14:paraId="1BDF1799" w14:textId="1CF2E875" w:rsidR="00212C3C" w:rsidRPr="00DE6E2F" w:rsidRDefault="00212C3C" w:rsidP="002115DF">
      <w:pPr>
        <w:rPr>
          <w:b/>
          <w:bCs/>
          <w:color w:val="000000" w:themeColor="text1"/>
        </w:rPr>
      </w:pPr>
      <w:r>
        <w:rPr>
          <w:b/>
          <w:bCs/>
          <w:color w:val="000000" w:themeColor="text1"/>
        </w:rPr>
        <w:t>1.</w:t>
      </w:r>
      <w:r w:rsidR="00CD6A19">
        <w:rPr>
          <w:b/>
          <w:bCs/>
          <w:color w:val="000000" w:themeColor="text1"/>
        </w:rPr>
        <w:t>3</w:t>
      </w:r>
      <w:r>
        <w:rPr>
          <w:b/>
          <w:bCs/>
          <w:color w:val="000000" w:themeColor="text1"/>
        </w:rPr>
        <w:tab/>
      </w:r>
      <w:r w:rsidRPr="00850EB0">
        <w:rPr>
          <w:b/>
          <w:bCs/>
          <w:color w:val="000000" w:themeColor="text1"/>
        </w:rPr>
        <w:t xml:space="preserve">Selection of peptide targets and production of </w:t>
      </w:r>
      <w:proofErr w:type="spellStart"/>
      <w:r w:rsidRPr="00850EB0">
        <w:rPr>
          <w:b/>
          <w:bCs/>
          <w:color w:val="000000" w:themeColor="text1"/>
        </w:rPr>
        <w:t>pMHC</w:t>
      </w:r>
      <w:proofErr w:type="spellEnd"/>
      <w:r w:rsidRPr="00850EB0">
        <w:rPr>
          <w:b/>
          <w:bCs/>
          <w:color w:val="000000" w:themeColor="text1"/>
        </w:rPr>
        <w:t xml:space="preserve"> monomer targets</w:t>
      </w:r>
    </w:p>
    <w:p w14:paraId="58990712" w14:textId="57EAE445" w:rsidR="00212C3C" w:rsidRPr="00850EB0" w:rsidRDefault="00212C3C" w:rsidP="002115DF">
      <w:pPr>
        <w:rPr>
          <w:color w:val="000000" w:themeColor="text1"/>
        </w:rPr>
      </w:pPr>
      <w:r w:rsidRPr="00850EB0">
        <w:rPr>
          <w:color w:val="000000" w:themeColor="text1"/>
        </w:rPr>
        <w:t xml:space="preserve">Along with </w:t>
      </w:r>
      <w:r w:rsidRPr="00850EB0">
        <w:rPr>
          <w:i/>
          <w:iCs/>
          <w:color w:val="000000" w:themeColor="text1"/>
        </w:rPr>
        <w:t>Tax</w:t>
      </w:r>
      <w:r w:rsidRPr="00850EB0">
        <w:rPr>
          <w:color w:val="000000" w:themeColor="text1"/>
        </w:rPr>
        <w:t xml:space="preserve"> peptide that is the cognate antigen for our A6 TCR framework, we selected additional peptide targets that serve as representative self-peptide off-targets. A previous </w:t>
      </w:r>
      <w:r w:rsidRPr="00850EB0">
        <w:rPr>
          <w:i/>
          <w:iCs/>
          <w:color w:val="000000" w:themeColor="text1"/>
        </w:rPr>
        <w:t xml:space="preserve">in vitro </w:t>
      </w:r>
      <w:r w:rsidRPr="00850EB0">
        <w:rPr>
          <w:color w:val="000000" w:themeColor="text1"/>
        </w:rPr>
        <w:t>cell lysis study</w:t>
      </w:r>
      <w:r>
        <w:rPr>
          <w:color w:val="000000" w:themeColor="text1"/>
        </w:rPr>
        <w:t xml:space="preserve"> </w:t>
      </w:r>
      <w:r>
        <w:rPr>
          <w:color w:val="000000" w:themeColor="text1"/>
        </w:rPr>
        <w:fldChar w:fldCharType="begin"/>
      </w:r>
      <w:r w:rsidR="00550A48">
        <w:rPr>
          <w:color w:val="000000" w:themeColor="text1"/>
        </w:rPr>
        <w:instrText xml:space="preserve"> ADDIN ZOTERO_ITEM CSL_CITATION {"citationID":"LWAHvJoj","properties":{"formattedCitation":"(3)","plainCitation":"(3)","noteIndex":0},"citationItems":[{"id":42,"uris":["http://zotero.org/users/local/ts3Tfi2r/items/XSZMKTV4"],"itemData":{"id":42,"type":"article-journal","abstract":"The crystal structures of two human TCRs specific for a HTLV-I Tax peptide bound to HLA-A2 were recently determined, for the first time allowing a functional comparison of TCRs for which the MHC/peptide/TCR structures are known. Extensive amino acid substitutions show that the native Tax residues are optimal at each peptide position. A prominent feature of the TCR contact surface is a deep pocket that accommodates a tyrosine at position 5 of the peptide. For one of these TCRs, this pocket is highly specific for aromatic residues. In the other TCR structure, this pocket is larger, allowing many different residues to be accommodated. The CTL clones also show major differences in the specificity for several other peptide residues, including side chains that are not directly contacted by the TCR. Despite the specificity of these clones, peptides that are distinct at five or six positions from Tax11-19 induce CTL activity, indicating that substantial changes of the peptide surface are tolerated. Human peptides with limited sequence homology to Tax11-19 represent partial TCR agonists for these CTL clones. The distinct functional properties of these CTL clones highlight structural features that determine TCR specificity and cross-reactivity for MHC-bound peptides.","container-title":"Journal of Immunology (Baltimore, Md.: 1950)","ISSN":"0022-1767","issue":"9","journalAbbreviation":"J Immunol","language":"eng","note":"PMID: 10228016","page":"5389-5397","source":"PubMed","title":"Peptide recognition by two HLA-A2/Tax11-19-specific T cell clones in relationship to their MHC/peptide/TCR crystal structures","volume":"162","author":[{"family":"Hausmann","given":"S."},{"family":"Biddison","given":"W. E."},{"family":"Smith","given":"K. J."},{"family":"Ding","given":"Y. H."},{"family":"Garboczi","given":"D. N."},{"family":"Utz","given":"U."},{"family":"Wiley","given":"D. C."},{"family":"Wucherpfennig","given":"K. W."}],"issued":{"date-parts":[["1999",5,1]]}}}],"schema":"https://github.com/citation-style-language/schema/raw/master/csl-citation.json"} </w:instrText>
      </w:r>
      <w:r>
        <w:rPr>
          <w:color w:val="000000" w:themeColor="text1"/>
        </w:rPr>
        <w:fldChar w:fldCharType="separate"/>
      </w:r>
      <w:r w:rsidR="00550A48">
        <w:rPr>
          <w:noProof/>
          <w:color w:val="000000" w:themeColor="text1"/>
        </w:rPr>
        <w:t>(3)</w:t>
      </w:r>
      <w:r>
        <w:rPr>
          <w:color w:val="000000" w:themeColor="text1"/>
        </w:rPr>
        <w:fldChar w:fldCharType="end"/>
      </w:r>
      <w:r w:rsidRPr="00850EB0">
        <w:rPr>
          <w:color w:val="000000" w:themeColor="text1"/>
        </w:rPr>
        <w:t xml:space="preserve"> reported six peptides (HUD, BENE, phosphofructokinase, tyrosine kinase, Tax Mutant TM10, and homeobox) that are also recognized by the native (DSW/LAG) A6 TCR (Figure 1C). We ran seven sets of parallel selections against </w:t>
      </w:r>
      <w:r w:rsidRPr="00850EB0">
        <w:rPr>
          <w:i/>
          <w:iCs/>
          <w:color w:val="000000" w:themeColor="text1"/>
        </w:rPr>
        <w:t>Tax</w:t>
      </w:r>
      <w:r w:rsidRPr="00850EB0">
        <w:rPr>
          <w:color w:val="000000" w:themeColor="text1"/>
        </w:rPr>
        <w:t xml:space="preserve"> and these six peptides. </w:t>
      </w:r>
    </w:p>
    <w:p w14:paraId="01B12A1D" w14:textId="5B93F78A" w:rsidR="00212C3C" w:rsidRPr="00850EB0" w:rsidRDefault="00212C3C" w:rsidP="002115DF">
      <w:pPr>
        <w:rPr>
          <w:color w:val="000000" w:themeColor="text1"/>
        </w:rPr>
      </w:pPr>
      <w:r w:rsidRPr="00850EB0">
        <w:rPr>
          <w:color w:val="000000" w:themeColor="text1"/>
        </w:rPr>
        <w:t xml:space="preserve">The </w:t>
      </w:r>
      <w:proofErr w:type="spellStart"/>
      <w:r w:rsidRPr="00850EB0">
        <w:rPr>
          <w:color w:val="000000" w:themeColor="text1"/>
        </w:rPr>
        <w:t>pMHC</w:t>
      </w:r>
      <w:proofErr w:type="spellEnd"/>
      <w:r w:rsidRPr="00850EB0">
        <w:rPr>
          <w:color w:val="000000" w:themeColor="text1"/>
        </w:rPr>
        <w:t xml:space="preserve"> reagents were produced in a single chain trimer format as previously described </w:t>
      </w:r>
      <w:r>
        <w:rPr>
          <w:color w:val="000000" w:themeColor="text1"/>
        </w:rPr>
        <w:fldChar w:fldCharType="begin"/>
      </w:r>
      <w:r w:rsidR="00550A48">
        <w:rPr>
          <w:color w:val="000000" w:themeColor="text1"/>
        </w:rPr>
        <w:instrText xml:space="preserve"> ADDIN ZOTERO_ITEM CSL_CITATION {"citationID":"IWo54XfW","properties":{"formattedCitation":"(14)","plainCitation":"(14)","noteIndex":0},"citationItems":[{"id":39,"uris":["http://zotero.org/users/local/ts3Tfi2r/items/K4NT558W"],"itemData":{"id":39,"type":"article-journal","abstract":"Major histocompatibility complex (MHC) class I molecules can be engineered as single chain trimers (SCTs) that sequentially incorporate all three subunits of the fully assembled proteins, namely peptide, β2 microglobulin, and heavy chain. SCTs have been made with many different MHC-peptide complexes and are used as novel diagnostic and therapeutic reagents, as well as probes for diverse biological questions. Here, we review the recent and diverse applications of SCTs. These applications include new approaches to enumerate disease-related T cells, DNA vaccines, eliciting responses to pre-assembled MHC-peptide complexes, and unique probes of lymphocyte development and activation. Future applications of SCTs will be driven by their further engineering and the ever-expanding identification of disease-related peptides using chemical, genetic and computational approaches.","container-title":"Trends in Immunology","DOI":"10.1016/j.it.2010.07.003","ISSN":"1471-4981","issue":"10","journalAbbreviation":"Trends Immunol","language":"eng","note":"PMID: 20832361\nPMCID: PMC2949479","page":"363-369","source":"PubMed","title":"Basic and translational applications of engineered MHC class I proteins","volume":"31","author":[{"family":"Hansen","given":"Ted H."},{"family":"Connolly","given":"Janet M."},{"family":"Gould","given":"Keith G."},{"family":"Fremont","given":"Daved H."}],"issued":{"date-parts":[["2010",10]]}}}],"schema":"https://github.com/citation-style-language/schema/raw/master/csl-citation.json"} </w:instrText>
      </w:r>
      <w:r>
        <w:rPr>
          <w:color w:val="000000" w:themeColor="text1"/>
        </w:rPr>
        <w:fldChar w:fldCharType="separate"/>
      </w:r>
      <w:r w:rsidR="00550A48">
        <w:rPr>
          <w:noProof/>
          <w:color w:val="000000" w:themeColor="text1"/>
        </w:rPr>
        <w:t>(14)</w:t>
      </w:r>
      <w:r>
        <w:rPr>
          <w:color w:val="000000" w:themeColor="text1"/>
        </w:rPr>
        <w:fldChar w:fldCharType="end"/>
      </w:r>
      <w:r w:rsidRPr="00850EB0">
        <w:rPr>
          <w:color w:val="000000" w:themeColor="text1"/>
        </w:rPr>
        <w:t xml:space="preserve">. Briefly, each component of the expression system is linked via GS linkers and are in the following order, signal peptide (for excretion), peptide, human </w:t>
      </w:r>
      <w:r w:rsidR="00CB289A">
        <w:rPr>
          <w:color w:val="000000" w:themeColor="text1"/>
        </w:rPr>
        <w:t>b</w:t>
      </w:r>
      <w:r w:rsidRPr="00850EB0">
        <w:rPr>
          <w:color w:val="000000" w:themeColor="text1"/>
        </w:rPr>
        <w:t>2</w:t>
      </w:r>
      <w:r w:rsidR="00CB289A">
        <w:rPr>
          <w:color w:val="000000" w:themeColor="text1"/>
        </w:rPr>
        <w:t>m</w:t>
      </w:r>
      <w:r w:rsidRPr="00850EB0">
        <w:rPr>
          <w:color w:val="000000" w:themeColor="text1"/>
        </w:rPr>
        <w:t xml:space="preserve">, HLA:A*0201, </w:t>
      </w:r>
      <w:proofErr w:type="spellStart"/>
      <w:r w:rsidRPr="00850EB0">
        <w:rPr>
          <w:color w:val="000000" w:themeColor="text1"/>
        </w:rPr>
        <w:t>AviTag</w:t>
      </w:r>
      <w:proofErr w:type="spellEnd"/>
      <w:r w:rsidRPr="00850EB0">
        <w:rPr>
          <w:color w:val="000000" w:themeColor="text1"/>
        </w:rPr>
        <w:t xml:space="preserve"> for </w:t>
      </w:r>
      <w:proofErr w:type="spellStart"/>
      <w:r w:rsidRPr="00850EB0">
        <w:rPr>
          <w:color w:val="000000" w:themeColor="text1"/>
        </w:rPr>
        <w:t>biotinylation</w:t>
      </w:r>
      <w:proofErr w:type="spellEnd"/>
      <w:r w:rsidRPr="00850EB0">
        <w:rPr>
          <w:color w:val="000000" w:themeColor="text1"/>
        </w:rPr>
        <w:t xml:space="preserve"> </w:t>
      </w:r>
      <w:r>
        <w:rPr>
          <w:color w:val="000000" w:themeColor="text1"/>
        </w:rPr>
        <w:fldChar w:fldCharType="begin"/>
      </w:r>
      <w:r w:rsidR="00550A48">
        <w:rPr>
          <w:color w:val="000000" w:themeColor="text1"/>
        </w:rPr>
        <w:instrText xml:space="preserve"> ADDIN ZOTERO_ITEM CSL_CITATION {"citationID":"W4QqTHfG","properties":{"formattedCitation":"(15)","plainCitation":"(15)","noteIndex":0},"citationItems":[{"id":30,"uris":["http://zotero.org/users/local/ts3Tfi2r/items/6486HP23"],"itemData":{"id":30,"type":"article-journal","abstract":"The binding between biotin and streptavidin or avidin is one of the strongest known non-covalent biological interactions. The (strept)avidin-biotin interaction has been widely used for decades in biological research and biotechnology. Therefore labeling of purified proteins by biotin is a powerful way to achieve protein capture, immobilization, and functionalization, as well as multimerizing or bridging molecules. Chemical biotinylation often generates heterogeneous products, which may have impaired function. Enzymatic biotinylation with E. coli biotin ligase (BirA) is highly specific in covalently attaching biotin to the 15 amino acid AviTag peptide, giving a homogeneous product with high yield. AviTag can conveniently be added genetically at the N-terminus, C-terminus, or in exposed loops of a target protein. We describe here procedures for AviTag insertion by inverse PCR, purification of BirA fused to glutathione-S-transferase (GST-BirA) from E. coli, BirA biotinylation of purified protein, and gel-shift analysis by SDS-PAGE to quantify the extent of biotinylation.","container-title":"Methods in Molecular Biology (Clifton, N.J.)","DOI":"10.1007/978-1-4939-2272-7_12","ISSN":"1940-6029","journalAbbreviation":"Methods Mol Biol","language":"eng","note":"PMID: 25560075\nPMCID: PMC4304673","page":"171-184","source":"PubMed","title":"Site-specific biotinylation of purified proteins using BirA","volume":"1266","author":[{"family":"Fairhead","given":"Michael"},{"family":"Howarth","given":"Mark"}],"issued":{"date-parts":[["2015"]]}}}],"schema":"https://github.com/citation-style-language/schema/raw/master/csl-citation.json"} </w:instrText>
      </w:r>
      <w:r>
        <w:rPr>
          <w:color w:val="000000" w:themeColor="text1"/>
        </w:rPr>
        <w:fldChar w:fldCharType="separate"/>
      </w:r>
      <w:r w:rsidR="00550A48">
        <w:rPr>
          <w:noProof/>
          <w:color w:val="000000" w:themeColor="text1"/>
        </w:rPr>
        <w:t>(15)</w:t>
      </w:r>
      <w:r>
        <w:rPr>
          <w:color w:val="000000" w:themeColor="text1"/>
        </w:rPr>
        <w:fldChar w:fldCharType="end"/>
      </w:r>
      <w:r>
        <w:rPr>
          <w:color w:val="000000" w:themeColor="text1"/>
        </w:rPr>
        <w:t xml:space="preserve"> </w:t>
      </w:r>
      <w:r w:rsidRPr="00850EB0">
        <w:rPr>
          <w:color w:val="000000" w:themeColor="text1"/>
        </w:rPr>
        <w:t xml:space="preserve">and 8x His for purification. This construct was cloned into the pVL1393 insect cell expression </w:t>
      </w:r>
      <w:r w:rsidRPr="00850EB0">
        <w:rPr>
          <w:color w:val="000000" w:themeColor="text1"/>
        </w:rPr>
        <w:lastRenderedPageBreak/>
        <w:t xml:space="preserve">plasmid and expressed in </w:t>
      </w:r>
      <w:r w:rsidR="00CB289A">
        <w:rPr>
          <w:color w:val="000000" w:themeColor="text1"/>
        </w:rPr>
        <w:t>s</w:t>
      </w:r>
      <w:r w:rsidRPr="00850EB0">
        <w:rPr>
          <w:color w:val="000000" w:themeColor="text1"/>
        </w:rPr>
        <w:t xml:space="preserve">f9 and </w:t>
      </w:r>
      <w:r w:rsidR="00CB289A">
        <w:rPr>
          <w:color w:val="000000" w:themeColor="text1"/>
        </w:rPr>
        <w:t>h</w:t>
      </w:r>
      <w:r w:rsidRPr="00850EB0">
        <w:rPr>
          <w:color w:val="000000" w:themeColor="text1"/>
        </w:rPr>
        <w:t xml:space="preserve">i5 insect cells for production. The resulting product was size-separated via FLPC, biotinylated, and validated via a streptavidin shift assay. </w:t>
      </w:r>
    </w:p>
    <w:p w14:paraId="4DA5170A" w14:textId="7D04AE7A" w:rsidR="00DC55A4" w:rsidRPr="00947DB3" w:rsidRDefault="00DC55A4" w:rsidP="00CD6A19">
      <w:pPr>
        <w:pStyle w:val="Heading2"/>
        <w:numPr>
          <w:ilvl w:val="1"/>
          <w:numId w:val="22"/>
        </w:numPr>
      </w:pPr>
      <w:r w:rsidRPr="00947DB3">
        <w:t>Choice of TCR framework and creation of TCR yeast display libraries</w:t>
      </w:r>
    </w:p>
    <w:p w14:paraId="3390157E" w14:textId="34D5D6A3" w:rsidR="00DC55A4" w:rsidRPr="00850EB0" w:rsidRDefault="00DC55A4" w:rsidP="002115DF">
      <w:pPr>
        <w:rPr>
          <w:color w:val="000000" w:themeColor="text1"/>
        </w:rPr>
      </w:pPr>
      <w:r w:rsidRPr="00850EB0">
        <w:rPr>
          <w:color w:val="000000" w:themeColor="text1"/>
        </w:rPr>
        <w:t xml:space="preserve">The TCR framework used throughout this study is a patient-derived A6 TCR clone that recognizes the Human T-lymphotropic virus 1 (HTLV-1)-derived </w:t>
      </w:r>
      <w:r w:rsidRPr="00850EB0">
        <w:rPr>
          <w:i/>
          <w:iCs/>
          <w:color w:val="000000" w:themeColor="text1"/>
        </w:rPr>
        <w:t xml:space="preserve">Tax </w:t>
      </w:r>
      <w:r w:rsidRPr="00850EB0">
        <w:rPr>
          <w:color w:val="000000" w:themeColor="text1"/>
        </w:rPr>
        <w:t>peptide</w:t>
      </w:r>
      <w:r>
        <w:rPr>
          <w:color w:val="000000" w:themeColor="text1"/>
        </w:rPr>
        <w:t xml:space="preserve"> </w:t>
      </w:r>
      <w:r>
        <w:rPr>
          <w:color w:val="000000" w:themeColor="text1"/>
        </w:rPr>
        <w:fldChar w:fldCharType="begin"/>
      </w:r>
      <w:r w:rsidR="00212C3C">
        <w:rPr>
          <w:color w:val="000000" w:themeColor="text1"/>
        </w:rPr>
        <w:instrText xml:space="preserve"> ADDIN ZOTERO_ITEM CSL_CITATION {"citationID":"llBK740S","properties":{"formattedCitation":"(1\\uc0\\u8211{}3)","plainCitation":"(1–3)","noteIndex":0},"citationItems":[{"id":27,"uris":["http://zotero.org/users/local/ts3Tfi2r/items/B2PFA9EL"],"itemData":{"id":27,"type":"article-journal","abstract":"The three-dimensional structure of a human alphabeta T cell receptor (TCR), B7, bound to the HLA-A2 molecule/HTLV-1 Tax peptide complex was determined by x-ray crystallography. Although different from the A6 TCR, previously studied, in 16 of the 17 residues that contact HLA-A2/Tax, the B7 TCR binds in a similar diagonal manner, only slightly tipped and rotated, relative to the A6 TCR. The structure explains data from functional assays on the specificity differences between the B7 and A6 TCRs for agonist, partial agonist, and null peptides. The existence of a structurally similar diagonal binding mode for TCRs favors mechanisms based on the formation of geometrically defined supramolecular assemblies for initiating signaling.","container-title":"Immunity","DOI":"10.1016/s1074-7613(00)80546-4","ISSN":"1074-7613","issue":"4","journalAbbreviation":"Immunity","language":"eng","note":"PMID: 9586631","page":"403-411","source":"PubMed","title":"Two human T cell receptors bind in a similar diagonal mode to the HLA-A2/Tax peptide complex using different TCR amino acids","volume":"8","author":[{"family":"Ding","given":"Y. H."},{"family":"Smith","given":"K. J."},{"family":"Garboczi","given":"D. N."},{"family":"Utz","given":"U."},{"family":"Biddison","given":"W. E."},{"family":"Wiley","given":"D. C."}],"issued":{"date-parts":[["1998",4]]}}},{"id":35,"uris":["http://zotero.org/users/local/ts3Tfi2r/items/GT5RZIJI"],"itemData":{"id":35,"type":"article-journal","abstract":"Recognition by a T-cell antigen receptor (TCR) of peptide complexed with a major histocompatibility complex (MHC) molecule occurs through variable loops in the TCR structure which bury almost all the available peptide and a much larger area of the MHC molecule. The TCR fits diagonally across the MHC peptide-binding site in a surface feature common to all class I and class II MHC molecules, providing evidence that the nature of binding is general. A broadly applicable binding mode has implications for the mechanism of repertoire selection and the magnitude of alloreactions.","container-title":"Nature","DOI":"10.1038/384134a0","ISSN":"0028-0836","issue":"6605","journalAbbreviation":"Nature","language":"eng","note":"PMID: 8906788","page":"134-141","source":"PubMed","title":"Structure of the complex between human T-cell receptor, viral peptide and HLA-A2","volume":"384","author":[{"family":"Garboczi","given":"D. N."},{"family":"Ghosh","given":"P."},{"family":"Utz","given":"U."},{"family":"Fan","given":"Q. R."},{"family":"Biddison","given":"W. E."},{"family":"Wiley","given":"D. C."}],"issued":{"date-parts":[["1996",11,14]]}}},{"id":42,"uris":["http://zotero.org/users/local/ts3Tfi2r/items/XSZMKTV4"],"itemData":{"id":42,"type":"article-journal","abstract":"The crystal structures of two human TCRs specific for a HTLV-I Tax peptide bound to HLA-A2 were recently determined, for the first time allowing a functional comparison of TCRs for which the MHC/peptide/TCR structures are known. Extensive amino acid substitutions show that the native Tax residues are optimal at each peptide position. A prominent feature of the TCR contact surface is a deep pocket that accommodates a tyrosine at position 5 of the peptide. For one of these TCRs, this pocket is highly specific for aromatic residues. In the other TCR structure, this pocket is larger, allowing many different residues to be accommodated. The CTL clones also show major differences in the specificity for several other peptide residues, including side chains that are not directly contacted by the TCR. Despite the specificity of these clones, peptides that are distinct at five or six positions from Tax11-19 induce CTL activity, indicating that substantial changes of the peptide surface are tolerated. Human peptides with limited sequence homology to Tax11-19 represent partial TCR agonists for these CTL clones. The distinct functional properties of these CTL clones highlight structural features that determine TCR specificity and cross-reactivity for MHC-bound peptides.","container-title":"Journal of Immunology (Baltimore, Md.: 1950)","ISSN":"0022-1767","issue":"9","journalAbbreviation":"J Immunol","language":"eng","note":"PMID: 10228016","page":"5389-5397","source":"PubMed","title":"Peptide recognition by two HLA-A2/Tax11-19-specific T cell clones in relationship to their MHC/peptide/TCR crystal structures","volume":"162","author":[{"family":"Hausmann","given":"S."},{"family":"Biddison","given":"W. E."},{"family":"Smith","given":"K. J."},{"family":"Ding","given":"Y. H."},{"family":"Garboczi","given":"D. N."},{"family":"Utz","given":"U."},{"family":"Wiley","given":"D. C."},{"family":"Wucherpfennig","given":"K. W."}],"issued":{"date-parts":[["1999",5,1]]}}}],"schema":"https://github.com/citation-style-language/schema/raw/master/csl-citation.json"} </w:instrText>
      </w:r>
      <w:r>
        <w:rPr>
          <w:color w:val="000000" w:themeColor="text1"/>
        </w:rPr>
        <w:fldChar w:fldCharType="separate"/>
      </w:r>
      <w:r w:rsidR="00212C3C" w:rsidRPr="00212C3C">
        <w:rPr>
          <w:rFonts w:cs="Times New Roman"/>
          <w:color w:val="000000"/>
          <w:szCs w:val="24"/>
        </w:rPr>
        <w:t>(1–3)</w:t>
      </w:r>
      <w:r>
        <w:rPr>
          <w:color w:val="000000" w:themeColor="text1"/>
        </w:rPr>
        <w:fldChar w:fldCharType="end"/>
      </w:r>
      <w:r w:rsidRPr="00850EB0">
        <w:rPr>
          <w:color w:val="000000" w:themeColor="text1"/>
        </w:rPr>
        <w:t>. The framework sequence was expressed as a single chain TCR (</w:t>
      </w:r>
      <w:proofErr w:type="spellStart"/>
      <w:r w:rsidRPr="00850EB0">
        <w:rPr>
          <w:color w:val="000000" w:themeColor="text1"/>
        </w:rPr>
        <w:t>scTv</w:t>
      </w:r>
      <w:proofErr w:type="spellEnd"/>
      <w:r w:rsidRPr="00850EB0">
        <w:rPr>
          <w:color w:val="000000" w:themeColor="text1"/>
        </w:rPr>
        <w:t>) as previously described</w:t>
      </w:r>
      <w:r>
        <w:rPr>
          <w:color w:val="000000" w:themeColor="text1"/>
        </w:rPr>
        <w:t xml:space="preserve"> </w:t>
      </w:r>
      <w:r>
        <w:rPr>
          <w:color w:val="000000" w:themeColor="text1"/>
        </w:rPr>
        <w:fldChar w:fldCharType="begin"/>
      </w:r>
      <w:r w:rsidR="00212C3C">
        <w:rPr>
          <w:color w:val="000000" w:themeColor="text1"/>
        </w:rPr>
        <w:instrText xml:space="preserve"> ADDIN ZOTERO_ITEM CSL_CITATION {"citationID":"hGr6xzGJ","properties":{"formattedCitation":"(4)","plainCitation":"(4)","noteIndex":0},"citationItems":[{"id":17,"uris":["http://zotero.org/users/local/ts3Tfi2r/items/QVLJG5PZ"],"itemData":{"id":17,"type":"article-journal","abstract":"Single-chain antibody fragments (scFv), consisting of two linked variable regions (V(H) and V(L)), are a versatile format for engineering and as potential antigen-specific therapeutics. Although the analogous format for T cell receptors (TCRs), consisting of two linked V regions (Vα and Vβ; referred to here as scTv), could provide similar opportunities, all wild-type scTv proteins examined to date are unstable. This obstacle has prevented scTv fragments from being widely used for engineering or therapeutics. To further explore whether some stable human scTv fragments could be expressed, we used a yeast system in which display of properly folded domains correlates with ability to express the folded scTv in soluble form. We discovered that, unexpectedly, scTv fragments that contained the human Vα2 region (IMGT: TRAV12 family) were displayed and properly associated with different Vβ regions. Furthermore, a single polymorphic residue (Ser(α49)) in the framework region conferred additional thermal stability. These stabilized Vα2-containing scTv fragments could be expressed at high levels in Escherichia coli, and used to stain target cells that expressed the specific pep-HLA-A2 complexes. Thus, the scTv fragments can serve as a platform for engineering TCRs with diverse specificities, and possibly for therapeutic or diagnostic applications.","container-title":"Protein engineering, design &amp; selection: PEDS","DOI":"10.1093/protein/gzq113","ISSN":"1741-0134","issue":"4","journalAbbreviation":"Protein Eng Des Sel","language":"eng","note":"PMID: 21159619\nPMCID: PMC3049343","page":"361-372","source":"PubMed","title":"Identification and engineering of human variable regions that allow expression of stable single-chain T cell receptors","volume":"24","author":[{"family":"Aggen","given":"David H."},{"family":"Chervin","given":"Adam S."},{"family":"Insaidoo","given":"Francis K."},{"family":"Piepenbrink","given":"Kurt H."},{"family":"Baker","given":"Brian M."},{"family":"Kranz","given":"David M."}],"issued":{"date-parts":[["2011",4]]}}}],"schema":"https://github.com/citation-style-language/schema/raw/master/csl-citation.json"} </w:instrText>
      </w:r>
      <w:r>
        <w:rPr>
          <w:color w:val="000000" w:themeColor="text1"/>
        </w:rPr>
        <w:fldChar w:fldCharType="separate"/>
      </w:r>
      <w:r w:rsidR="00212C3C">
        <w:rPr>
          <w:noProof/>
          <w:color w:val="000000" w:themeColor="text1"/>
        </w:rPr>
        <w:t>(4)</w:t>
      </w:r>
      <w:r>
        <w:rPr>
          <w:color w:val="000000" w:themeColor="text1"/>
        </w:rPr>
        <w:fldChar w:fldCharType="end"/>
      </w:r>
      <w:r>
        <w:rPr>
          <w:color w:val="000000" w:themeColor="text1"/>
        </w:rPr>
        <w:t xml:space="preserve">. </w:t>
      </w:r>
      <w:r w:rsidRPr="00850EB0">
        <w:rPr>
          <w:color w:val="000000" w:themeColor="text1"/>
        </w:rPr>
        <w:t>Briefly, the conventional pCT302 vector is implemented with an aga2 leader peptide sequence and N and C terminal expression tags, hemagglutinin tag (HA) and Flag epitope polypeptide tag, respectively</w:t>
      </w:r>
      <w:r>
        <w:rPr>
          <w:color w:val="000000" w:themeColor="text1"/>
        </w:rPr>
        <w:t xml:space="preserve"> </w:t>
      </w:r>
      <w:r>
        <w:rPr>
          <w:color w:val="000000" w:themeColor="text1"/>
        </w:rPr>
        <w:fldChar w:fldCharType="begin"/>
      </w:r>
      <w:r w:rsidR="00212C3C">
        <w:rPr>
          <w:color w:val="000000" w:themeColor="text1"/>
        </w:rPr>
        <w:instrText xml:space="preserve"> ADDIN ZOTERO_ITEM CSL_CITATION {"citationID":"TR4eNeTS","properties":{"formattedCitation":"(5,6)","plainCitation":"(5,6)","noteIndex":0},"citationItems":[{"id":80,"uris":["http://zotero.org/users/local/ts3Tfi2r/items/VBZFDD8Y"],"itemData":{"id":80,"type":"article-journal","abstract":"Epitope tagging is a valuable tool for quick detection, isolation, and analysis of protein-protein interaction, without prior knowledge of the target protein. The FLAG epitope tag, one of the most widely used tags, is an eight amino acid peptide that can be detected by anti-FLAG monoclonal antibody. In the present study, we have examined the detection sensitivity of a protein fused to three tandem FLAG epitopes by Western blot analysis, immunoprecipitation, and immunohistochemical analysis using anti-FLAG M2 antibody. We find that the triple FLAG epitope significantly enhances the sensitivity of detection of fusion protein expressed in mammalian cells.","container-title":"Molecular Biotechnology","DOI":"10.1385/MB:19:3:313","ISSN":"1073-6085","issue":"3","journalAbbreviation":"Mol Biotechnol","language":"eng","note":"PMID: 11721627","page":"313-321","source":"PubMed","title":"Multiple tandem epitope tagging for enhanced detection of protein expressed in mammalian cells","volume":"19","author":[{"family":"Zhang","given":"L."},{"family":"Hernan","given":"R."},{"family":"Brizzard","given":"B."}],"issued":{"date-parts":[["2001",11]]}}},{"id":54,"uris":["http://zotero.org/users/local/ts3Tfi2r/items/6FFTKHE9"],"itemData":{"id":54,"type":"article-journal","abstract":"A small hydrophilic peptide of eight amino acids (AspTyrLysAspAspAspAspLys) was engineered onto the N-terminus of a variety of recombinant lymphokines for the purpose of aiding in their detection and purification from yeast supernatants or E. coli extracts. An antibody specific for the first four amino acids of this sequence was used as a detection reagent and for immunoaffinity purification of products under mild conditions. Because of the small size of the peptide moiety and its hydrophilic nature, the proteins were unaffected by its presence and retained a high level of biological activity. In addition, it was possible to remove the peptide via an enzymatic cleavage procedure using enterokinase.","container-title":"Bio/Technology","DOI":"10.1038/nbt1088-1204","ISSN":"1546-1696","issue":"10","journalAbbreviation":"Nat Biotechnol","language":"en","license":"1988 Nature Publishing Company","note":"publisher: Nature Publishing Group","page":"1204-1210","source":"www.nature.com","title":"A Short Polypeptide Marker Sequence Useful for Recombinant Protein Identification and Purification","volume":"6","author":[{"family":"Hopp","given":"Thomas P."},{"family":"Prickett","given":"Kathryn S."},{"family":"Price","given":"Virginia L."},{"family":"Libby","given":"Randell T."},{"family":"March","given":"Carl J."},{"family":"Pat Cerretti","given":"Douglas"},{"family":"Urdal","given":"David L."},{"family":"Conlon","given":"Paul J."}],"issued":{"date-parts":[["1988",10]]}}}],"schema":"https://github.com/citation-style-language/schema/raw/master/csl-citation.json"} </w:instrText>
      </w:r>
      <w:r>
        <w:rPr>
          <w:color w:val="000000" w:themeColor="text1"/>
        </w:rPr>
        <w:fldChar w:fldCharType="separate"/>
      </w:r>
      <w:r w:rsidR="00212C3C">
        <w:rPr>
          <w:noProof/>
          <w:color w:val="000000" w:themeColor="text1"/>
        </w:rPr>
        <w:t>(5,6)</w:t>
      </w:r>
      <w:r>
        <w:rPr>
          <w:color w:val="000000" w:themeColor="text1"/>
        </w:rPr>
        <w:fldChar w:fldCharType="end"/>
      </w:r>
      <w:r w:rsidRPr="00850EB0">
        <w:rPr>
          <w:color w:val="000000" w:themeColor="text1"/>
        </w:rPr>
        <w:t>.</w:t>
      </w:r>
    </w:p>
    <w:p w14:paraId="6ECE0C02" w14:textId="0C0017DE" w:rsidR="00DC55A4" w:rsidRPr="00212C3C" w:rsidRDefault="00DC55A4" w:rsidP="002115DF">
      <w:pPr>
        <w:rPr>
          <w:color w:val="000000" w:themeColor="text1"/>
        </w:rPr>
      </w:pPr>
      <w:r w:rsidRPr="00850EB0">
        <w:rPr>
          <w:color w:val="000000" w:themeColor="text1"/>
        </w:rPr>
        <w:t xml:space="preserve">We used </w:t>
      </w:r>
      <w:proofErr w:type="spellStart"/>
      <w:r w:rsidRPr="00850EB0">
        <w:rPr>
          <w:color w:val="000000" w:themeColor="text1"/>
        </w:rPr>
        <w:t>Garboczi</w:t>
      </w:r>
      <w:proofErr w:type="spellEnd"/>
      <w:r w:rsidRPr="00850EB0">
        <w:rPr>
          <w:color w:val="000000" w:themeColor="text1"/>
        </w:rPr>
        <w:t xml:space="preserve"> et al.’s </w:t>
      </w:r>
      <w:r>
        <w:rPr>
          <w:color w:val="000000" w:themeColor="text1"/>
        </w:rPr>
        <w:fldChar w:fldCharType="begin"/>
      </w:r>
      <w:r w:rsidR="00212C3C">
        <w:rPr>
          <w:color w:val="000000" w:themeColor="text1"/>
        </w:rPr>
        <w:instrText xml:space="preserve"> ADDIN ZOTERO_ITEM CSL_CITATION {"citationID":"FCnbhH2r","properties":{"formattedCitation":"(2)","plainCitation":"(2)","noteIndex":0},"citationItems":[{"id":35,"uris":["http://zotero.org/users/local/ts3Tfi2r/items/GT5RZIJI"],"itemData":{"id":35,"type":"article-journal","abstract":"Recognition by a T-cell antigen receptor (TCR) of peptide complexed with a major histocompatibility complex (MHC) molecule occurs through variable loops in the TCR structure which bury almost all the available peptide and a much larger area of the MHC molecule. The TCR fits diagonally across the MHC peptide-binding site in a surface feature common to all class I and class II MHC molecules, providing evidence that the nature of binding is general. A broadly applicable binding mode has implications for the mechanism of repertoire selection and the magnitude of alloreactions.","container-title":"Nature","DOI":"10.1038/384134a0","ISSN":"0028-0836","issue":"6605","journalAbbreviation":"Nature","language":"eng","note":"PMID: 8906788","page":"134-141","source":"PubMed","title":"Structure of the complex between human T-cell receptor, viral peptide and HLA-A2","volume":"384","author":[{"family":"Garboczi","given":"D. N."},{"family":"Ghosh","given":"P."},{"family":"Utz","given":"U."},{"family":"Fan","given":"Q. R."},{"family":"Biddison","given":"W. E."},{"family":"Wiley","given":"D. C."}],"issued":{"date-parts":[["1996",11,14]]}}}],"schema":"https://github.com/citation-style-language/schema/raw/master/csl-citation.json"} </w:instrText>
      </w:r>
      <w:r>
        <w:rPr>
          <w:color w:val="000000" w:themeColor="text1"/>
        </w:rPr>
        <w:fldChar w:fldCharType="separate"/>
      </w:r>
      <w:r w:rsidR="00212C3C">
        <w:rPr>
          <w:noProof/>
          <w:color w:val="000000" w:themeColor="text1"/>
        </w:rPr>
        <w:t>(2)</w:t>
      </w:r>
      <w:r>
        <w:rPr>
          <w:color w:val="000000" w:themeColor="text1"/>
        </w:rPr>
        <w:fldChar w:fldCharType="end"/>
      </w:r>
      <w:r w:rsidRPr="00850EB0">
        <w:rPr>
          <w:color w:val="000000" w:themeColor="text1"/>
        </w:rPr>
        <w:t xml:space="preserve"> crystal structure (PDB: 1AO7) to identify residues along the CDR3α and CDR3β that make the most contacts with </w:t>
      </w:r>
      <w:r w:rsidRPr="00850EB0">
        <w:rPr>
          <w:i/>
          <w:iCs/>
          <w:color w:val="000000" w:themeColor="text1"/>
        </w:rPr>
        <w:t xml:space="preserve">Tax </w:t>
      </w:r>
      <w:r w:rsidRPr="00850EB0">
        <w:rPr>
          <w:color w:val="000000" w:themeColor="text1"/>
        </w:rPr>
        <w:t xml:space="preserve">peptide. </w:t>
      </w:r>
      <w:r>
        <w:rPr>
          <w:color w:val="000000" w:themeColor="text1"/>
        </w:rPr>
        <w:t xml:space="preserve">The </w:t>
      </w:r>
      <w:r w:rsidRPr="00850EB0">
        <w:rPr>
          <w:color w:val="000000" w:themeColor="text1"/>
        </w:rPr>
        <w:t xml:space="preserve">positions 99-101 in CDR3α and positions 98-100 in CDR3β </w:t>
      </w:r>
      <w:r>
        <w:rPr>
          <w:color w:val="000000" w:themeColor="text1"/>
        </w:rPr>
        <w:t xml:space="preserve">were </w:t>
      </w:r>
      <w:r w:rsidRPr="00850EB0">
        <w:rPr>
          <w:color w:val="000000" w:themeColor="text1"/>
        </w:rPr>
        <w:t xml:space="preserve">randomized simultaneously via oligonucleotides </w:t>
      </w:r>
      <w:r>
        <w:rPr>
          <w:color w:val="000000" w:themeColor="text1"/>
        </w:rPr>
        <w:t>with</w:t>
      </w:r>
      <w:r w:rsidRPr="00850EB0">
        <w:rPr>
          <w:color w:val="000000" w:themeColor="text1"/>
        </w:rPr>
        <w:t xml:space="preserve"> uniform </w:t>
      </w:r>
      <w:r>
        <w:rPr>
          <w:color w:val="000000" w:themeColor="text1"/>
        </w:rPr>
        <w:t xml:space="preserve">amino acid </w:t>
      </w:r>
      <w:r w:rsidRPr="00850EB0">
        <w:rPr>
          <w:color w:val="000000" w:themeColor="text1"/>
        </w:rPr>
        <w:t>distribution</w:t>
      </w:r>
      <w:r>
        <w:rPr>
          <w:color w:val="000000" w:themeColor="text1"/>
        </w:rPr>
        <w:t>,</w:t>
      </w:r>
      <w:r w:rsidRPr="00850EB0">
        <w:rPr>
          <w:color w:val="000000" w:themeColor="text1"/>
        </w:rPr>
        <w:t xml:space="preserve"> excluding cysteines that could form disulfide bonds</w:t>
      </w:r>
      <w:r>
        <w:rPr>
          <w:color w:val="000000" w:themeColor="text1"/>
        </w:rPr>
        <w:t>,</w:t>
      </w:r>
      <w:r w:rsidRPr="00850EB0">
        <w:rPr>
          <w:color w:val="000000" w:themeColor="text1"/>
        </w:rPr>
        <w:t xml:space="preserve"> from Ella Biosciences. The final TCR library had the size of 19</w:t>
      </w:r>
      <w:r w:rsidRPr="00850EB0">
        <w:rPr>
          <w:color w:val="000000" w:themeColor="text1"/>
          <w:vertAlign w:val="superscript"/>
        </w:rPr>
        <w:t xml:space="preserve">6 </w:t>
      </w:r>
      <w:r w:rsidRPr="00850EB0">
        <w:rPr>
          <w:color w:val="000000" w:themeColor="text1"/>
        </w:rPr>
        <w:t>(~47 million). The DNA constructs were created via randomized oligos inserted into the yeast display vector pCT302 and electroporated into the RJY100 yeast strain as previously described</w:t>
      </w:r>
      <w:r>
        <w:rPr>
          <w:color w:val="000000" w:themeColor="text1"/>
        </w:rPr>
        <w:t xml:space="preserve"> </w:t>
      </w:r>
      <w:r>
        <w:rPr>
          <w:color w:val="000000" w:themeColor="text1"/>
        </w:rPr>
        <w:fldChar w:fldCharType="begin"/>
      </w:r>
      <w:r w:rsidR="00212C3C">
        <w:rPr>
          <w:color w:val="000000" w:themeColor="text1"/>
        </w:rPr>
        <w:instrText xml:space="preserve"> ADDIN ZOTERO_ITEM CSL_CITATION {"citationID":"HamiTvbf","properties":{"formattedCitation":"(7\\uc0\\u8211{}10)","plainCitation":"(7–10)","noteIndex":0},"citationItems":[{"id":73,"uris":["http://zotero.org/users/local/ts3Tfi2r/items/JNKJAD5T"],"itemData":{"id":73,"type":"article-journal","abstract":"Display technologies such as yeast and phage display offer powerful alternatives to traditional immunization-based antibody discovery, but require conversion of displayed proteins into soluble form prior to downstream characterization. Here we utilize amber suppression to implement a yeast-based switchable display/secretion system that enables the immediate production of soluble, antibody-like reagents at the end of screening efforts. Model selections in the switchable format remain efficient, and library screening in the switchable format yields renewable sources of affinity reagents exhibiting nanomolar binding affinities. These results confirm that this system provides a seamless link between display-based screening and the production and evaluation of soluble forms of candidate binding proteins. Switchable display/secretion libraries provide a cloning-free, accessible approach to affinity reagent generation.","container-title":"Protein engineering, design &amp; selection: PEDS","DOI":"10.1093/protein/gzv043","ISSN":"1741-0134","issue":"10","journalAbbreviation":"Protein Eng Des Sel","language":"eng","note":"PMID: 26333274\nPMCID: PMC4596280","page":"317-325","source":"PubMed","title":"A switchable yeast display/secretion system","volume":"28","author":[{"family":"Van Deventer","given":"James A."},{"family":"Kelly","given":"Ryan L."},{"family":"Rajan","given":"Saravanan"},{"family":"Wittrup","given":"K. Dane"},{"family":"Sidhu","given":"Sachdev S."}],"issued":{"date-parts":[["2015",10]]}}},{"id":76,"uris":["http://zotero.org/users/local/ts3Tfi2r/items/83HRVLBY"],"itemData":{"id":76,"type":"article-journal","abstract":"Antibodies play key roles as reagents, diagnostics, and therapeutics in numerous biological and biomedical research settings. Although many antibodies are commercially available, oftentimes, specific applications require the development of antibodies with customized properties. Yeast surface display is a robust, versatile, and quantitative method for generating these antibodies and is accessible to single-investigator laboratories. This protocol details the key aspects of yeast surface display library construction and screening.","container-title":"Methods in Molecular Biology (Clifton, N.J.)","DOI":"10.1007/978-1-62703-992-5_10","ISSN":"1940-6029","journalAbbreviation":"Methods Mol Biol","language":"eng","note":"PMID: 24515465","page":"151-181","source":"PubMed","title":"Yeast surface display for antibody isolation: library construction, library screening, and affinity maturation","title-short":"Yeast surface display for antibody isolation","volume":"1131","author":[{"family":"Van Deventer","given":"James A."},{"family":"Wittrup","given":"Karl Dane"}],"issued":{"date-parts":[["2014"]]}}},{"id":22,"uris":["http://zotero.org/users/local/ts3Tfi2r/items/TJ4HSIGS"],"itemData":{"id":22,"type":"article-journal","abstract":"This protocol describes the process of isolating and engineering antibodies or proteins for increased affinity and stability using yeast surface display. Single-chain antibody fragments (scFvs) are first isolated from an existing nonimmune human library displayed on the yeast surface using magnetic-activated cell sorting selection followed by selection using flow cytometry. This enriched population is then mutagenized, and successive rounds of random mutagenesis and flow cytometry selection are done to attain desired scFv properties through directed evolution. Labeling strategies for weakly binding scFvs are also described, as well as procedures for characterizing and 'titrating' scFv clones displayed on yeast. The ultimate result of following this protocol is a panel of scFvs with increased stability and affinity for an antigen of interest.","container-title":"Nature Protocols","DOI":"10.1038/nprot.2006.94","ISSN":"1750-2799","issue":"2","journalAbbreviation":"Nat Protoc","language":"eng","note":"PMID: 17406305","page":"755-768","source":"PubMed","title":"Isolating and engineering human antibodies using yeast surface display","volume":"1","author":[{"family":"Chao","given":"Ginger"},{"family":"Lau","given":"Wai L."},{"family":"Hackel","given":"Benjamin J."},{"family":"Sazinsky","given":"Stephen L."},{"family":"Lippow","given":"Shaun M."},{"family":"Wittrup","given":"K. Dane"}],"issued":{"date-parts":[["2006"]]}}},{"id":12,"uris":["http://zotero.org/users/local/ts3Tfi2r/items/J9ZDTBL3"],"itemData":{"id":12,"type":"article-journal","abstract":"T cell receptor (TCR) engagement of peptide-major histocompatibility complex (MHC) is essential to adaptive immunity, but it is unknown if TCR signaling responses are influenced by the binding topology of the TCR-peptide-MHC complex. We developed yeast-displayed peptide-MHC libraries that enabled us to identify new peptide sequences reactive with a single TCR. Structural analysis showed that four peptides bound to the TCR with distinct 3-dimensional (3D) and 2D affinities, using entirely different binding chemistries. Three of the peptides that shared a common docking mode, where key TCR-MHC germline interactions are preserved, induced TCR signaling. The fourth peptide failed to induce signaling, and was recognized in a substantially different TCR-MHC binding mode that apparently exceeded geometric tolerances compatible with signaling. We suggest that the ‘stereotypical’ TCR-MHC docking paradigm evolved from productive signaling geometries, and that TCR signaling can be modulated by peptides that are recognized in alternative TCR-pMHC binding orientations.","container-title":"Immunity","DOI":"10.1016/j.immuni.2011.09.013","ISSN":"1074-7613","issue":"5","journalAbbreviation":"Immunity","note":"PMID: 22101157\nPMCID: PMC3253265","page":"681-693","source":"PubMed Central","title":"T cell receptor signaling is limited by docking geometry to peptide-Major Histocompatibility Complex","volume":"35","author":[{"family":"Adams","given":"Jarrett J."},{"family":"Narayanan","given":"Samanthi"},{"family":"Liu","given":"Baoyu"},{"family":"Birnbaum","given":"Michael E."},{"family":"Kruse","given":"Andrew"},{"family":"Bowerman","given":"Natalie A."},{"family":"Chen","given":"Wei"},{"family":"Levin","given":"Aron M."},{"family":"Connolly","given":"Janet M."},{"family":"Zhu","given":"Cheng"},{"family":"Kranz","given":"David M."},{"family":"Garcia","given":"K. Christopher"}],"issued":{"date-parts":[["2011",11,23]]}}}],"schema":"https://github.com/citation-style-language/schema/raw/master/csl-citation.json"} </w:instrText>
      </w:r>
      <w:r>
        <w:rPr>
          <w:color w:val="000000" w:themeColor="text1"/>
        </w:rPr>
        <w:fldChar w:fldCharType="separate"/>
      </w:r>
      <w:r w:rsidR="00212C3C" w:rsidRPr="00212C3C">
        <w:rPr>
          <w:rFonts w:cs="Times New Roman"/>
          <w:color w:val="000000"/>
          <w:szCs w:val="24"/>
        </w:rPr>
        <w:t>(7–10)</w:t>
      </w:r>
      <w:r>
        <w:rPr>
          <w:color w:val="000000" w:themeColor="text1"/>
        </w:rPr>
        <w:fldChar w:fldCharType="end"/>
      </w:r>
      <w:r w:rsidRPr="00850EB0">
        <w:rPr>
          <w:color w:val="000000" w:themeColor="text1"/>
        </w:rPr>
        <w:t>. We focus on CDR3 as its chains are the main drivers of peptide specificity, while CDR1 and CDR2 improve the MHC affinity alone</w:t>
      </w:r>
      <w:r>
        <w:rPr>
          <w:color w:val="000000" w:themeColor="text1"/>
        </w:rPr>
        <w:t xml:space="preserve"> </w:t>
      </w:r>
      <w:r>
        <w:rPr>
          <w:color w:val="000000" w:themeColor="text1"/>
        </w:rPr>
        <w:fldChar w:fldCharType="begin"/>
      </w:r>
      <w:r w:rsidR="00212C3C">
        <w:rPr>
          <w:color w:val="000000" w:themeColor="text1"/>
        </w:rPr>
        <w:instrText xml:space="preserve"> ADDIN ZOTERO_ITEM CSL_CITATION {"citationID":"p4PCM1fU","properties":{"formattedCitation":"(11\\uc0\\u8211{}13)","plainCitation":"(11–13)","noteIndex":0},"citationItems":[{"id":67,"uris":["http://zotero.org/users/local/ts3Tfi2r/items/U3LBG5QT"],"itemData":{"id":67,"type":"article-journal","abstract":"Binding of a T-cell receptor (TCR) to a peptide/major histocompatibility complex is the key interaction involved in antigen specificity of T cells. The recognition involves up to six complementarity determining regions (CDR) of the TCR. Efforts to examine the structural basis of these interactions and to exploit them in adoptive T-cell therapies has required the isolation of specific T-cell clones and their clonotypic TCRs. Here we describe a strategy using in vitro-directed evolution of a single TCR to change its peptide specificity, thereby avoiding the need to isolate T-cell clones. The human TCR A6, which recognizes the viral peptide Tax/HLA-A2, was converted to TCR variants that recognized the cancer peptide MART1/HLA-A2. Mutational studies and molecular dynamics simulations identified CDR residues that were predicted to be important in the specificity switch. Thus, in vitro engineering strategies alone can be used to discover TCRs with desired specificities.","container-title":"Nature Communications","DOI":"10.1038/ncomms6223","ISSN":"2041-1723","journalAbbreviation":"Nat Commun","language":"eng","note":"PMID: 25376839\nPMCID: PMC4225554","page":"5223","source":"PubMed","title":"Changing the peptide specificity of a human T-cell receptor by directed evolution","volume":"5","author":[{"family":"Smith","given":"Sheena N."},{"family":"Wang","given":"Yuhang"},{"family":"Baylon","given":"Javier L."},{"family":"Singh","given":"Nishant K."},{"family":"Baker","given":"Brian M."},{"family":"Tajkhorshid","given":"Emad"},{"family":"Kranz","given":"David M."}],"issued":{"date-parts":[["2014",11,7]]}}},{"id":32,"uris":["http://zotero.org/users/local/ts3Tfi2r/items/JS79BKFB"],"itemData":{"id":32,"type":"article-journal","abstract":"It has recently become possible to simultaneously assay T-cell specificity with respect to large sets of antigens and the T-cell receptor sequence in high-throughput single-cell experiments. Leveraging this new type of data, we propose and benchmark a collection of deep learning architectures to model T-cell specificity in single cells. In agreement with previous results, we found that models that treat antigens as categorical outcome variables outperform those that model the TCR and antigen sequence jointly. Moreover, we show that variability in single-cell immune repertoire screens can be mitigated by modeling cell-specific covariates. Lastly, we demonstrate that the number of bound pMHC complexes can be predicted in a continuous fashion providing a gateway to disentangle cell-to-dextramer binding strength and receptor-to-pMHC affinity. We provide these models in the Python package TcellMatch to allow imputation of antigen specificities in single-cell RNA-seq studies on T cells without the need for MHC staining.","container-title":"Molecular Systems Biology","DOI":"10.15252/msb.20199416","ISSN":"1744-4292","issue":"8","journalAbbreviation":"Mol Syst Biol","language":"eng","note":"PMID: 32779888\nPMCID: PMC7418512","page":"e9416","source":"PubMed","title":"Predicting antigen specificity of single T cells based on TCR CDR3 regions","volume":"16","author":[{"family":"Fischer","given":"David S."},{"family":"Wu","given":"Yihan"},{"family":"Schubert","given":"Benjamin"},{"family":"Theis","given":"Fabian J."}],"issued":{"date-parts":[["2020",8]]}}},{"id":70,"uris":["http://zotero.org/users/local/ts3Tfi2r/items/7929LIE4"],"itemData":{"id":70,"type":"article-journal","abstract":"INTRODUCTION: Predicting the binding specificity of T Cell Receptors (TCR) to MHC-peptide complexes (pMHCs) is essential for the development of repertoire-based biomarkers. This affinity may be affected by different components of the TCR, the peptide, and the MHC allele. Historically, the main element used in TCR-peptide binding prediction was the Complementarity Determining Region 3 (CDR3) of the beta chain. However, recently the contribution of other components, such as the alpha chain and the other V gene CDRs has been suggested. We use a highly accurate novel deep learning-based TCR-peptide binding predictor to assess the contribution of each component to the binding.\nMETHODS: We have previously developed ERGO-I (pEptide tcR matchinG predictiOn), a sequence-based T-cell receptor (TCR)-peptide binding predictor that employs natural language processing (NLP) -based methods. We improved it to create ERGO-II by adding the CDR3 alpha segment, the MHC typing, V and J genes, and T cell type (CD4+ or CD8+) as to the predictor. We then estimate the contribution of each component to the prediction.\nRESULTS AND DISCUSSION: ERGO-II provides for the first time high accuracy prediction of TCR-peptide for previously unseen peptides. For most tested peptides and all measures of binding prediction accuracy, the main contribution was from the beta chain CDR3 sequence, followed by the beta chain V and J and the alpha chain, in that order. The MHC allele was the least contributing component. ERGO-II is accessible as a webserver at http://tcr2.cs.biu.ac.il/ and as a standalone code at https://github.com/IdoSpringer/ERGO-II.","container-title":"Frontiers in Immunology","DOI":"10.3389/fimmu.2021.664514","ISSN":"1664-3224","journalAbbreviation":"Front Immunol","language":"eng","note":"PMID: 33981311\nPMCID: PMC8107833","page":"664514","source":"PubMed","title":"Contribution of T Cell Receptor Alpha and Beta CDR3, MHC Typing, V and J Genes to Peptide Binding Prediction","volume":"12","author":[{"family":"Springer","given":"Ido"},{"family":"Tickotsky","given":"Nili"},{"family":"Louzoun","given":"Yoram"}],"issued":{"date-parts":[["2021"]]}}}],"schema":"https://github.com/citation-style-language/schema/raw/master/csl-citation.json"} </w:instrText>
      </w:r>
      <w:r>
        <w:rPr>
          <w:color w:val="000000" w:themeColor="text1"/>
        </w:rPr>
        <w:fldChar w:fldCharType="separate"/>
      </w:r>
      <w:r w:rsidR="00212C3C" w:rsidRPr="00212C3C">
        <w:rPr>
          <w:rFonts w:cs="Times New Roman"/>
          <w:color w:val="000000"/>
          <w:szCs w:val="24"/>
        </w:rPr>
        <w:t>(11–13)</w:t>
      </w:r>
      <w:r>
        <w:rPr>
          <w:color w:val="000000" w:themeColor="text1"/>
        </w:rPr>
        <w:fldChar w:fldCharType="end"/>
      </w:r>
      <w:r>
        <w:rPr>
          <w:color w:val="000000" w:themeColor="text1"/>
        </w:rPr>
        <w:t xml:space="preserve">. </w:t>
      </w:r>
    </w:p>
    <w:p w14:paraId="3AE56FEB" w14:textId="61DBF078" w:rsidR="00696024" w:rsidRDefault="00696024" w:rsidP="002115DF">
      <w:pPr>
        <w:pStyle w:val="Heading2"/>
        <w:spacing w:before="120"/>
      </w:pPr>
      <w:r w:rsidRPr="00696024">
        <w:t>Library selection, sequencing, and read processing</w:t>
      </w:r>
    </w:p>
    <w:p w14:paraId="4A927E69" w14:textId="53C8C492" w:rsidR="00696024" w:rsidRPr="00850EB0" w:rsidRDefault="00696024" w:rsidP="002115DF">
      <w:pPr>
        <w:rPr>
          <w:color w:val="000000" w:themeColor="text1"/>
        </w:rPr>
      </w:pPr>
      <w:r w:rsidRPr="00850EB0">
        <w:rPr>
          <w:color w:val="000000" w:themeColor="text1"/>
        </w:rPr>
        <w:t>We performed three rounds of magnetic-activated cell sorting (MACS) selection using microbeads</w:t>
      </w:r>
      <w:r>
        <w:rPr>
          <w:color w:val="000000" w:themeColor="text1"/>
        </w:rPr>
        <w:t xml:space="preserve"> </w:t>
      </w:r>
      <w:r>
        <w:rPr>
          <w:color w:val="000000" w:themeColor="text1"/>
        </w:rPr>
        <w:fldChar w:fldCharType="begin"/>
      </w:r>
      <w:r w:rsidR="00EE530E">
        <w:rPr>
          <w:color w:val="000000" w:themeColor="text1"/>
        </w:rPr>
        <w:instrText xml:space="preserve"> ADDIN ZOTERO_ITEM CSL_CITATION {"citationID":"CxgSI4UC","properties":{"formattedCitation":"(16,17)","plainCitation":"(16,17)","noteIndex":0},"citationItems":[{"id":65,"uris":["http://zotero.org/users/local/ts3Tfi2r/items/RD78V46I"],"itemData":{"id":65,"type":"article-journal","abstract":"Follicular dendritic cells (FDC) contribute minimally to the total cell population of lymphatic tissue. In order to obtain higher numbers of viable FDC with only a small fraction of contaminating cells the following procedure was developed. Subsequent to the usual mechanical and enzymatical digestion of human tonsils, single cells were layered on top of a discontinuous bovine albumin gradient and centrifuged at 8500 x g. The suspension collected from the 1.052-1.030 interphase contained an average of 10.5% FDC. Next, the preparation was subjected to a new step involving separation of FDC previously treated with biotin-labelled KiM4 monoclonal antibody, raised against FDC, and attached via biotin-streptavidin bonding to streptavidin-conjugated paramagnetic beads. Purification on a magnetic cell sorter (MACS) yielded 3.3-10.1 x 10(6) cells with an average FDC content of 78.4%. The viability and morphology of the resulting FDC population was examined using trypan blue staining or electron microscopy. This technique will permit in vitro studies and long term cultures with FDC isolated from human lymphatic tissue.","container-title":"Journal of Immunological Methods","DOI":"10.1016/0022-1759(93)90157-3","ISSN":"0022-1759","issue":"1-2","journalAbbreviation":"J Immunol Methods","language":"eng","note":"PMID: 8445252","page":"189-196","source":"PubMed","title":"Optimizing follicular dendritic cell isolation by discontinuous gradient centrifugation and use of the magnetic cell sorter (MACS)","volume":"159","author":[{"family":"Schmitz","given":"J."},{"family":"Petrasch","given":"S."},{"family":"Lunzen","given":"J.","non-dropping-particle":"van"},{"family":"Racz","given":"P."},{"family":"Kleine","given":"H. D."},{"family":"Hufert","given":"F."},{"family":"Kern","given":"P."},{"family":"Schmitz","given":"H."},{"family":"Tenner-Racz","given":"K."}],"issued":{"date-parts":[["1993",2,26]]}}},{"id":37,"uris":["http://zotero.org/users/local/ts3Tfi2r/items/SFQCQF8B"],"itemData":{"id":37,"type":"article-journal","abstract":"This report describes two subpopulations of B cells in sheep. These subpopulations have distinct recirculation characteristics and tissue distributions. Phenotypically the populations are distinguished by their differential expression of the complement receptors, CD21 (CR2) and CD11b/CD18 (CR3). CD11b+ B cells are surface (s)IgMhi, co-express CD11c but are L-selectin negative. They populate the splenic marginal zone but are absent from splenic and ileal Peyer's patch (IPP) follicles and both afferent and efferent lymph compartments. Fluorescent tracing experiments showed that the CD11b+ B cells are non-recirculating as they did not appear in lymph after intravenous inoculation but are restricted to the blood and spleen. The CD11b-negative population expresses a conformational determinant of CD21 that is recognized by the monoclonal antibody Du 2-74. These cells are sIgMlo and co-express L-selectin. They populate the splenic and IPP follicles, are absent from the splenic marginal zone and are the only B cells in afferent lymph, efferent lymph and all lymph nodes. Fluorescence tracing experiments showed that the CD21 B cells are recirculating cells with their entry into efferent lymph being detectable by 16 h and peaking at 24-30 h. These data suggest that there are at least two lineages of B cells in the sheep with different phenotypic, functional and recirculation characteristics.","container-title":"European Journal of Immunology","DOI":"10.1002/(SICI)1521-4141(199805)28:05&lt;1597::AID-IMMU1597&gt;3.0.CO;2-Y","ISSN":"0014-2980","issue":"5","journalAbbreviation":"Eur J Immunol","language":"eng","note":"PMID: 9603465","page":"1597-1603","source":"PubMed","title":"Two B cell subpopulations have distinct recirculation characteristics","volume":"28","author":[{"family":"Gupta","given":"V. K."},{"family":"McConnell","given":"I."},{"family":"Dalziel","given":"R. G."},{"family":"Hopkins","given":"J."}],"issued":{"date-parts":[["1998",5]]}}}],"schema":"https://github.com/citation-style-language/schema/raw/master/csl-citation.json"} </w:instrText>
      </w:r>
      <w:r>
        <w:rPr>
          <w:color w:val="000000" w:themeColor="text1"/>
        </w:rPr>
        <w:fldChar w:fldCharType="separate"/>
      </w:r>
      <w:r w:rsidR="00EE530E">
        <w:rPr>
          <w:noProof/>
          <w:color w:val="000000" w:themeColor="text1"/>
        </w:rPr>
        <w:t>(16,17)</w:t>
      </w:r>
      <w:r>
        <w:rPr>
          <w:color w:val="000000" w:themeColor="text1"/>
        </w:rPr>
        <w:fldChar w:fldCharType="end"/>
      </w:r>
      <w:r>
        <w:rPr>
          <w:color w:val="000000" w:themeColor="text1"/>
        </w:rPr>
        <w:t xml:space="preserve">, </w:t>
      </w:r>
      <w:r w:rsidRPr="00850EB0">
        <w:rPr>
          <w:color w:val="000000" w:themeColor="text1"/>
        </w:rPr>
        <w:t xml:space="preserve">generating two independent biological replicates for each of seven </w:t>
      </w:r>
      <w:proofErr w:type="spellStart"/>
      <w:r w:rsidRPr="00850EB0">
        <w:rPr>
          <w:color w:val="000000" w:themeColor="text1"/>
        </w:rPr>
        <w:t>pMHC</w:t>
      </w:r>
      <w:proofErr w:type="spellEnd"/>
      <w:r w:rsidRPr="00850EB0">
        <w:rPr>
          <w:color w:val="000000" w:themeColor="text1"/>
        </w:rPr>
        <w:t xml:space="preserve"> targets in parallel. The consecutive rounds of selection enriched for specific TCR sequences in the library that bind strongly to each </w:t>
      </w:r>
      <w:proofErr w:type="spellStart"/>
      <w:r w:rsidRPr="00850EB0">
        <w:rPr>
          <w:color w:val="000000" w:themeColor="text1"/>
        </w:rPr>
        <w:t>pMHC</w:t>
      </w:r>
      <w:proofErr w:type="spellEnd"/>
      <w:r w:rsidRPr="00850EB0">
        <w:rPr>
          <w:color w:val="000000" w:themeColor="text1"/>
        </w:rPr>
        <w:t xml:space="preserve"> target. Each sample was yeast miniprepped independently and then PCR amplified once with Illumina adapters and then PCR amplified one final time with </w:t>
      </w:r>
      <w:proofErr w:type="spellStart"/>
      <w:r w:rsidRPr="00850EB0">
        <w:rPr>
          <w:color w:val="000000" w:themeColor="text1"/>
        </w:rPr>
        <w:t>smRNA_F</w:t>
      </w:r>
      <w:proofErr w:type="spellEnd"/>
      <w:r w:rsidRPr="00850EB0">
        <w:rPr>
          <w:color w:val="000000" w:themeColor="text1"/>
        </w:rPr>
        <w:t xml:space="preserve"> and BMC_R barcoded primers such that all samples could be pooled together for subsequent sequencing with high confidence. The samples were then given to the MIT </w:t>
      </w:r>
      <w:proofErr w:type="spellStart"/>
      <w:r w:rsidRPr="00850EB0">
        <w:rPr>
          <w:color w:val="000000" w:themeColor="text1"/>
        </w:rPr>
        <w:t>BioMicroCenter</w:t>
      </w:r>
      <w:proofErr w:type="spellEnd"/>
      <w:r w:rsidRPr="00850EB0">
        <w:rPr>
          <w:color w:val="000000" w:themeColor="text1"/>
        </w:rPr>
        <w:t xml:space="preserve"> for sequencing on the Illumina </w:t>
      </w:r>
      <w:proofErr w:type="spellStart"/>
      <w:r w:rsidRPr="00850EB0">
        <w:rPr>
          <w:color w:val="000000" w:themeColor="text1"/>
        </w:rPr>
        <w:t>NovaSeq</w:t>
      </w:r>
      <w:proofErr w:type="spellEnd"/>
      <w:r w:rsidRPr="00850EB0">
        <w:rPr>
          <w:color w:val="000000" w:themeColor="text1"/>
        </w:rPr>
        <w:t xml:space="preserve"> 6000 machine to receive an estimated 2.5B paired end reads that are 2 x 150 bps and contain the full CDR3 alpha and beta chain sequences. </w:t>
      </w:r>
    </w:p>
    <w:p w14:paraId="15276AB0" w14:textId="6B94E37F" w:rsidR="00696024" w:rsidRPr="00696024" w:rsidRDefault="00696024" w:rsidP="002115DF">
      <w:pPr>
        <w:rPr>
          <w:color w:val="000000" w:themeColor="text1"/>
        </w:rPr>
      </w:pPr>
      <w:r w:rsidRPr="00850EB0">
        <w:rPr>
          <w:color w:val="000000" w:themeColor="text1"/>
        </w:rPr>
        <w:t>To extract CDR3 sequence from each read pair, each of CDR3 alpha and beta chain sequences is identified and extracted using the pre-defined oligonucleotide (15 bps) sequence that flank the CDR3 chain sequences. Each extracted sequence is checked to ensure that it has the correct length (9 nucleotides long) and depleted with codons corresponding to cysteine. The sequences that do not satisfy these conditions are discarded. The DNA sequences are translated into amino acid sequences according to the standard codon table. The resulting alpha and beta chain amino acid sequences are joined to form a randomized CDR3 sequence. The TCR sequences that are present in the MACS Round 3 in both replicates were considered as reproducibly target-binding TCRs and employed for the subsequent analyses described below.</w:t>
      </w:r>
    </w:p>
    <w:p w14:paraId="225697D9" w14:textId="11225344" w:rsidR="005B6CAF" w:rsidRDefault="005B6CAF" w:rsidP="002115DF">
      <w:pPr>
        <w:rPr>
          <w:rFonts w:eastAsia="Cambria" w:cs="Times New Roman"/>
          <w:b/>
          <w:szCs w:val="24"/>
        </w:rPr>
      </w:pPr>
      <w:r>
        <w:rPr>
          <w:rFonts w:eastAsia="Cambria" w:cs="Times New Roman"/>
          <w:b/>
          <w:szCs w:val="24"/>
        </w:rPr>
        <w:t>1.</w:t>
      </w:r>
      <w:r w:rsidR="00492EF9">
        <w:rPr>
          <w:rFonts w:eastAsia="Cambria" w:cs="Times New Roman"/>
          <w:b/>
          <w:szCs w:val="24"/>
        </w:rPr>
        <w:t>6</w:t>
      </w:r>
      <w:r>
        <w:rPr>
          <w:rFonts w:eastAsia="Cambria" w:cs="Times New Roman"/>
          <w:b/>
          <w:szCs w:val="24"/>
        </w:rPr>
        <w:tab/>
      </w:r>
      <w:r w:rsidRPr="005B6CAF">
        <w:rPr>
          <w:rFonts w:eastAsia="Cambria" w:cs="Times New Roman"/>
          <w:b/>
          <w:szCs w:val="24"/>
        </w:rPr>
        <w:t>Confirmation and quantification of TCR sequence enrichment during yeast panning</w:t>
      </w:r>
    </w:p>
    <w:p w14:paraId="282211BB" w14:textId="1F809165" w:rsidR="00696024" w:rsidRDefault="00696024" w:rsidP="002115DF">
      <w:r>
        <w:t xml:space="preserve">We confirmed that TCR sequences are successfully enriched during yeast panning by computing two metrics and visualizing the logos of enriched sequences. First, the number of unique TCR sequences in each panning round is computed by first extracting the CDR3 sequences as described above and counting the distinctive sequences. Second, the percentages of reads contributed by top 100 TCR </w:t>
      </w:r>
      <w:r>
        <w:lastRenderedPageBreak/>
        <w:t xml:space="preserve">sequences in each round is computed by identifying the 100 TCR sequences with the greatest number of read counts and summing their counts. This value is divided by the number of total counts of pertaining to TCR sequences. </w:t>
      </w:r>
    </w:p>
    <w:p w14:paraId="03E8FD80" w14:textId="2C52B93D" w:rsidR="00696024" w:rsidRDefault="00696024" w:rsidP="002115DF">
      <w:r>
        <w:t xml:space="preserve">The sequence logos were generated using </w:t>
      </w:r>
      <w:proofErr w:type="spellStart"/>
      <w:r>
        <w:t>WebLogo</w:t>
      </w:r>
      <w:proofErr w:type="spellEnd"/>
      <w:r>
        <w:t xml:space="preserve"> </w:t>
      </w:r>
      <w:r>
        <w:fldChar w:fldCharType="begin"/>
      </w:r>
      <w:r w:rsidR="00EE530E">
        <w:instrText xml:space="preserve"> ADDIN ZOTERO_ITEM CSL_CITATION {"citationID":"7jtlRqkJ","properties":{"formattedCitation":"(18)","plainCitation":"(18)","noteIndex":0},"citationItems":[{"id":82,"uris":["http://zotero.org/users/local/ts3Tfi2r/items/KWAF7J2T"],"itemData":{"id":82,"type":"article-journal","abstract":"WebLogo generates sequence logos, graphical representations of the patterns within a multiple sequence alignment. Sequence logos provide a richer and more precise description of sequence similarity than consensus sequences and can rapidly reveal significant features of the alignment otherwise difficult to perceive. Each logo consists of stacks of letters, one stack for each position in the sequence. The overall height of each stack indicates the sequence conservation at that position (measured in bits), whereas the height of symbols within the stack reflects the relative frequency of the corresponding amino or nucleic acid at that position. WebLogo has been enhanced recently with additional features and options, to provide a convenient and highly configurable sequence logo generator. A command line interface and the complete, open WebLogo source code are available for local installation and customization.","container-title":"Genome Research","DOI":"10.1101/gr.849004","ISSN":"1088-9051","issue":"6","journalAbbreviation":"Genome Res","language":"eng","note":"PMID: 15173120\nPMCID: PMC419797","page":"1188-1190","source":"PubMed","title":"WebLogo: a sequence logo generator","title-short":"WebLogo","volume":"14","author":[{"family":"Crooks","given":"Gavin E."},{"family":"Hon","given":"Gary"},{"family":"Chandonia","given":"John-Marc"},{"family":"Brenner","given":"Steven E."}],"issued":{"date-parts":[["2004",6]]}}}],"schema":"https://github.com/citation-style-language/schema/raw/master/csl-citation.json"} </w:instrText>
      </w:r>
      <w:r>
        <w:fldChar w:fldCharType="separate"/>
      </w:r>
      <w:r w:rsidR="00EE530E">
        <w:rPr>
          <w:noProof/>
        </w:rPr>
        <w:t>(18)</w:t>
      </w:r>
      <w:r>
        <w:fldChar w:fldCharType="end"/>
      </w:r>
      <w:r>
        <w:t xml:space="preserve">. As the </w:t>
      </w:r>
      <w:proofErr w:type="spellStart"/>
      <w:r>
        <w:t>WebLogo</w:t>
      </w:r>
      <w:proofErr w:type="spellEnd"/>
      <w:r>
        <w:t xml:space="preserve"> can take up to 10,000 sequences for logo creation, we sampled 10,000 sequences from each panning round of each replicate, where the probability of a TCR sequence being sampled is correspondent to its frequency in the given dataset.</w:t>
      </w:r>
    </w:p>
    <w:p w14:paraId="6940B46E" w14:textId="77777777" w:rsidR="00726A1C" w:rsidRDefault="00726A1C" w:rsidP="002115DF"/>
    <w:p w14:paraId="5E584EE8" w14:textId="344BE387" w:rsidR="00994A3D" w:rsidRPr="00994A3D" w:rsidRDefault="00654E8F" w:rsidP="002115DF">
      <w:pPr>
        <w:pStyle w:val="Heading1"/>
        <w:spacing w:before="120"/>
      </w:pPr>
      <w:r w:rsidRPr="00994A3D">
        <w:t xml:space="preserve">Supplementary Figures </w:t>
      </w:r>
    </w:p>
    <w:p w14:paraId="5473658D" w14:textId="1FC90DC6" w:rsidR="00CF5A55" w:rsidRPr="00850EB0" w:rsidRDefault="00994A3D" w:rsidP="002115DF">
      <w:pPr>
        <w:rPr>
          <w:color w:val="000000" w:themeColor="text1"/>
        </w:rPr>
      </w:pPr>
      <w:r w:rsidRPr="0001436A">
        <w:rPr>
          <w:rFonts w:cs="Times New Roman"/>
          <w:b/>
          <w:szCs w:val="24"/>
        </w:rPr>
        <w:t xml:space="preserve">Supplementary Figure </w:t>
      </w:r>
      <w:r w:rsidRPr="0001436A">
        <w:rPr>
          <w:rFonts w:cs="Times New Roman"/>
          <w:b/>
          <w:szCs w:val="24"/>
        </w:rPr>
        <w:fldChar w:fldCharType="begin"/>
      </w:r>
      <w:r w:rsidRPr="0001436A">
        <w:rPr>
          <w:rFonts w:cs="Times New Roman"/>
          <w:b/>
          <w:szCs w:val="24"/>
        </w:rPr>
        <w:instrText xml:space="preserve"> SEQ Figure \* ARABIC </w:instrText>
      </w:r>
      <w:r w:rsidRPr="0001436A">
        <w:rPr>
          <w:rFonts w:cs="Times New Roman"/>
          <w:b/>
          <w:szCs w:val="24"/>
        </w:rPr>
        <w:fldChar w:fldCharType="separate"/>
      </w:r>
      <w:r w:rsidR="00803D24">
        <w:rPr>
          <w:rFonts w:cs="Times New Roman"/>
          <w:b/>
          <w:noProof/>
          <w:szCs w:val="24"/>
        </w:rPr>
        <w:t>1</w:t>
      </w:r>
      <w:r w:rsidRPr="0001436A">
        <w:rPr>
          <w:rFonts w:cs="Times New Roman"/>
          <w:b/>
          <w:szCs w:val="24"/>
        </w:rPr>
        <w:fldChar w:fldCharType="end"/>
      </w:r>
      <w:r w:rsidRPr="0001436A">
        <w:rPr>
          <w:rFonts w:cs="Times New Roman"/>
          <w:b/>
          <w:szCs w:val="24"/>
        </w:rPr>
        <w:t>.</w:t>
      </w:r>
      <w:r w:rsidR="00CF5A55">
        <w:rPr>
          <w:rFonts w:cs="Times New Roman"/>
          <w:b/>
          <w:szCs w:val="24"/>
        </w:rPr>
        <w:t xml:space="preserve"> Yeast panning rounds enrich for specific </w:t>
      </w:r>
      <w:r w:rsidR="00CF5A55" w:rsidRPr="00CF5A55">
        <w:rPr>
          <w:rFonts w:cs="Times New Roman"/>
          <w:b/>
          <w:bCs/>
          <w:szCs w:val="24"/>
        </w:rPr>
        <w:t>CDR3</w:t>
      </w:r>
      <w:r w:rsidR="00CF5A55" w:rsidRPr="00CF5A55">
        <w:rPr>
          <w:rFonts w:cs="Times New Roman"/>
          <w:b/>
          <w:bCs/>
          <w:szCs w:val="24"/>
          <w:lang w:val="el-GR"/>
        </w:rPr>
        <w:t xml:space="preserve">α/β </w:t>
      </w:r>
      <w:r w:rsidR="00CF5A55" w:rsidRPr="00CF5A55">
        <w:rPr>
          <w:rFonts w:cs="Times New Roman"/>
          <w:b/>
          <w:bCs/>
          <w:szCs w:val="24"/>
        </w:rPr>
        <w:t>sequences</w:t>
      </w:r>
      <w:r w:rsidR="00CF5A55">
        <w:rPr>
          <w:rFonts w:cs="Times New Roman"/>
          <w:b/>
          <w:bCs/>
          <w:szCs w:val="24"/>
        </w:rPr>
        <w:t>.</w:t>
      </w:r>
      <w:r w:rsidRPr="001549D3">
        <w:rPr>
          <w:rFonts w:cs="Times New Roman"/>
          <w:szCs w:val="24"/>
        </w:rPr>
        <w:t xml:space="preserve"> </w:t>
      </w:r>
      <w:r w:rsidR="00CF5A55" w:rsidRPr="00850EB0">
        <w:rPr>
          <w:color w:val="000000" w:themeColor="text1"/>
        </w:rPr>
        <w:t xml:space="preserve">We confirm that specific TCR sequences are enriched during the yeast panning rounds. </w:t>
      </w:r>
    </w:p>
    <w:p w14:paraId="5D812BB9" w14:textId="7F222BF5" w:rsidR="00CF5A55" w:rsidRPr="00850EB0" w:rsidRDefault="00CF5A55" w:rsidP="002115DF">
      <w:pPr>
        <w:rPr>
          <w:color w:val="000000" w:themeColor="text1"/>
        </w:rPr>
      </w:pPr>
      <w:r w:rsidRPr="00850EB0">
        <w:rPr>
          <w:color w:val="000000" w:themeColor="text1"/>
        </w:rPr>
        <w:t>(A) The number of unique TCR sequences observed in each panning round is counted. Across all target peptides and in both replicates, the number of unique TCR sequences in the panning Round 2 is smaller than that of the panning Round 1 (</w:t>
      </w:r>
      <w:r w:rsidRPr="00850EB0">
        <w:rPr>
          <w:i/>
          <w:iCs/>
          <w:color w:val="000000" w:themeColor="text1"/>
        </w:rPr>
        <w:t xml:space="preserve">p </w:t>
      </w:r>
      <w:r w:rsidRPr="00850EB0">
        <w:rPr>
          <w:color w:val="000000" w:themeColor="text1"/>
        </w:rPr>
        <w:t>= 1.2e-03, one-sided Wilcoxon signed-rank test). Likewise, the number of unique TCR sequences in the panning Round 3 is smaller than that of the panning Round 2 (</w:t>
      </w:r>
      <w:r w:rsidRPr="00850EB0">
        <w:rPr>
          <w:i/>
          <w:iCs/>
          <w:color w:val="000000" w:themeColor="text1"/>
        </w:rPr>
        <w:t xml:space="preserve">p </w:t>
      </w:r>
      <w:r w:rsidRPr="00850EB0">
        <w:rPr>
          <w:color w:val="000000" w:themeColor="text1"/>
        </w:rPr>
        <w:t xml:space="preserve">= 6.1e-05). </w:t>
      </w:r>
    </w:p>
    <w:p w14:paraId="5DE6E414" w14:textId="5CFD5DB3" w:rsidR="00CF5A55" w:rsidRPr="00850EB0" w:rsidRDefault="00CF5A55" w:rsidP="002115DF">
      <w:pPr>
        <w:rPr>
          <w:color w:val="000000" w:themeColor="text1"/>
        </w:rPr>
      </w:pPr>
      <w:r w:rsidRPr="00850EB0">
        <w:rPr>
          <w:color w:val="000000" w:themeColor="text1"/>
        </w:rPr>
        <w:t>(B) The percentages of reads contributed by the top 100 TCR sequences are computed. Across all target peptides and in both replicates, the percentages of reads contributed by the top 100 TCR sequences in the panning Round 2 is greater than that of the panning Round 1 (</w:t>
      </w:r>
      <w:r w:rsidRPr="00850EB0">
        <w:rPr>
          <w:i/>
          <w:iCs/>
          <w:color w:val="000000" w:themeColor="text1"/>
        </w:rPr>
        <w:t xml:space="preserve">p </w:t>
      </w:r>
      <w:r w:rsidRPr="00850EB0">
        <w:rPr>
          <w:color w:val="000000" w:themeColor="text1"/>
        </w:rPr>
        <w:t>= 6.1e-05, Wilcoxon signed-rank test). Likewise, the percentages of reads contributed by the top 100 TCR sequences in the panning Round 3 is greater than that of the panning Round 2 (</w:t>
      </w:r>
      <w:r w:rsidRPr="00850EB0">
        <w:rPr>
          <w:i/>
          <w:iCs/>
          <w:color w:val="000000" w:themeColor="text1"/>
        </w:rPr>
        <w:t xml:space="preserve">p </w:t>
      </w:r>
      <w:r w:rsidRPr="00850EB0">
        <w:rPr>
          <w:color w:val="000000" w:themeColor="text1"/>
        </w:rPr>
        <w:t>= 6.1e-05).</w:t>
      </w:r>
    </w:p>
    <w:p w14:paraId="3B020E77" w14:textId="543E10CD" w:rsidR="00994A3D" w:rsidRPr="00CF5A55" w:rsidRDefault="00CF5A55" w:rsidP="002115DF">
      <w:pPr>
        <w:rPr>
          <w:color w:val="000000" w:themeColor="text1"/>
        </w:rPr>
      </w:pPr>
      <w:r w:rsidRPr="00850EB0">
        <w:rPr>
          <w:color w:val="000000" w:themeColor="text1"/>
        </w:rPr>
        <w:t xml:space="preserve">(C) Weighted sampling of TCR sequences present in each panning round against </w:t>
      </w:r>
      <w:r w:rsidRPr="00850EB0">
        <w:rPr>
          <w:i/>
          <w:iCs/>
          <w:color w:val="000000" w:themeColor="text1"/>
        </w:rPr>
        <w:t xml:space="preserve">Tax </w:t>
      </w:r>
      <w:r w:rsidRPr="00850EB0">
        <w:rPr>
          <w:color w:val="000000" w:themeColor="text1"/>
        </w:rPr>
        <w:t>peptide is performed, and the logos of the sampled sequences are generated (</w:t>
      </w:r>
      <w:r w:rsidRPr="00850EB0">
        <w:rPr>
          <w:i/>
          <w:iCs/>
          <w:color w:val="000000" w:themeColor="text1"/>
        </w:rPr>
        <w:t>Methods</w:t>
      </w:r>
      <w:r w:rsidRPr="00850EB0">
        <w:rPr>
          <w:color w:val="000000" w:themeColor="text1"/>
        </w:rPr>
        <w:t>).  N only certain amino acid preferences are enriched in position-dependent manner, but also these preferences in two replicates are convergent.</w:t>
      </w:r>
    </w:p>
    <w:p w14:paraId="7A04BBD3" w14:textId="77777777" w:rsidR="007263D6" w:rsidRDefault="007263D6" w:rsidP="002115DF">
      <w:pPr>
        <w:rPr>
          <w:rFonts w:cs="Times New Roman"/>
          <w:b/>
          <w:szCs w:val="24"/>
        </w:rPr>
      </w:pPr>
    </w:p>
    <w:p w14:paraId="0469EEFC" w14:textId="2AD08D7B" w:rsidR="00D544D0" w:rsidRPr="00115421" w:rsidRDefault="00D544D0" w:rsidP="002115DF">
      <w:pPr>
        <w:rPr>
          <w:rFonts w:cs="Times New Roman"/>
          <w:bCs/>
          <w:color w:val="EE0000"/>
          <w:szCs w:val="24"/>
        </w:rPr>
      </w:pPr>
      <w:r w:rsidRPr="00115421">
        <w:rPr>
          <w:rFonts w:cs="Times New Roman"/>
          <w:b/>
          <w:color w:val="EE0000"/>
          <w:szCs w:val="24"/>
        </w:rPr>
        <w:t>Supplementary Figure 2.</w:t>
      </w:r>
      <w:r w:rsidR="00C23ED1" w:rsidRPr="00115421">
        <w:rPr>
          <w:rFonts w:cs="Times New Roman"/>
          <w:b/>
          <w:color w:val="EE0000"/>
          <w:szCs w:val="24"/>
        </w:rPr>
        <w:t xml:space="preserve"> Titration with </w:t>
      </w:r>
      <w:proofErr w:type="spellStart"/>
      <w:r w:rsidR="00C23ED1" w:rsidRPr="00115421">
        <w:rPr>
          <w:rFonts w:cs="Times New Roman"/>
          <w:b/>
          <w:color w:val="EE0000"/>
          <w:szCs w:val="24"/>
        </w:rPr>
        <w:t>pMHC</w:t>
      </w:r>
      <w:proofErr w:type="spellEnd"/>
      <w:r w:rsidR="00C23ED1" w:rsidRPr="00115421">
        <w:rPr>
          <w:rFonts w:cs="Times New Roman"/>
          <w:b/>
          <w:color w:val="EE0000"/>
          <w:szCs w:val="24"/>
        </w:rPr>
        <w:t xml:space="preserve"> monomers recapitulate the yeast panning assays. </w:t>
      </w:r>
      <w:r w:rsidR="00AF3AAE" w:rsidRPr="00115421">
        <w:rPr>
          <w:rFonts w:cs="Times New Roman"/>
          <w:bCs/>
          <w:color w:val="EE0000"/>
          <w:szCs w:val="24"/>
        </w:rPr>
        <w:t xml:space="preserve">We validate the yeast-display selection with high-fidelity titration assay </w:t>
      </w:r>
      <w:r w:rsidR="00D30ABB" w:rsidRPr="00115421">
        <w:rPr>
          <w:rFonts w:cs="Times New Roman"/>
          <w:bCs/>
          <w:color w:val="EE0000"/>
          <w:szCs w:val="24"/>
        </w:rPr>
        <w:t xml:space="preserve">with </w:t>
      </w:r>
      <w:proofErr w:type="spellStart"/>
      <w:r w:rsidR="00D30ABB" w:rsidRPr="00115421">
        <w:rPr>
          <w:rFonts w:cs="Times New Roman"/>
          <w:bCs/>
          <w:color w:val="EE0000"/>
          <w:szCs w:val="24"/>
        </w:rPr>
        <w:t>pMHC</w:t>
      </w:r>
      <w:proofErr w:type="spellEnd"/>
      <w:r w:rsidR="00D30ABB" w:rsidRPr="00115421">
        <w:rPr>
          <w:rFonts w:cs="Times New Roman"/>
          <w:bCs/>
          <w:color w:val="EE0000"/>
          <w:szCs w:val="24"/>
        </w:rPr>
        <w:t xml:space="preserve"> tetramers. </w:t>
      </w:r>
    </w:p>
    <w:p w14:paraId="5E4E79AB" w14:textId="549A230C" w:rsidR="00D30ABB" w:rsidRPr="00115421" w:rsidRDefault="00D30ABB" w:rsidP="00D30ABB">
      <w:pPr>
        <w:rPr>
          <w:color w:val="EE0000"/>
        </w:rPr>
      </w:pPr>
      <w:r w:rsidRPr="00115421">
        <w:rPr>
          <w:color w:val="EE0000"/>
        </w:rPr>
        <w:t xml:space="preserve">(A) A subset of TCRs enriched from each set of selections were expressed as individual clones on yeast and stained with different concentrations of selected </w:t>
      </w:r>
      <w:proofErr w:type="spellStart"/>
      <w:r w:rsidRPr="00115421">
        <w:rPr>
          <w:color w:val="EE0000"/>
        </w:rPr>
        <w:t>pMHC</w:t>
      </w:r>
      <w:proofErr w:type="spellEnd"/>
      <w:r w:rsidRPr="00115421">
        <w:rPr>
          <w:color w:val="EE0000"/>
        </w:rPr>
        <w:t xml:space="preserve"> tetramers ranging from 0.01nM - 200nM. The titration curves are plotted by TCRs. </w:t>
      </w:r>
    </w:p>
    <w:p w14:paraId="51C4297F" w14:textId="04EE1CB9" w:rsidR="00D544D0" w:rsidRPr="00115421" w:rsidRDefault="00D30ABB" w:rsidP="002115DF">
      <w:pPr>
        <w:rPr>
          <w:color w:val="EE0000"/>
        </w:rPr>
      </w:pPr>
      <w:r w:rsidRPr="00115421">
        <w:rPr>
          <w:rFonts w:cs="Times New Roman"/>
          <w:bCs/>
          <w:color w:val="EE0000"/>
          <w:szCs w:val="24"/>
        </w:rPr>
        <w:t xml:space="preserve">(B) The </w:t>
      </w:r>
      <w:r w:rsidRPr="00115421">
        <w:rPr>
          <w:color w:val="EE0000"/>
        </w:rPr>
        <w:t xml:space="preserve">titration curves are plotted by </w:t>
      </w:r>
      <w:proofErr w:type="spellStart"/>
      <w:r w:rsidRPr="00115421">
        <w:rPr>
          <w:color w:val="EE0000"/>
        </w:rPr>
        <w:t>pMHCs</w:t>
      </w:r>
      <w:proofErr w:type="spellEnd"/>
      <w:r w:rsidRPr="00115421">
        <w:rPr>
          <w:color w:val="EE0000"/>
        </w:rPr>
        <w:t>.</w:t>
      </w:r>
    </w:p>
    <w:p w14:paraId="5FDCAFDA" w14:textId="664B25D8" w:rsidR="001A557F" w:rsidRPr="00115421" w:rsidRDefault="00D30ABB" w:rsidP="002115DF">
      <w:pPr>
        <w:rPr>
          <w:color w:val="EE0000"/>
        </w:rPr>
      </w:pPr>
      <w:r w:rsidRPr="00115421">
        <w:rPr>
          <w:color w:val="EE0000"/>
        </w:rPr>
        <w:t xml:space="preserve">(C) Titration results overlaid with </w:t>
      </w:r>
      <w:r w:rsidR="001A557F" w:rsidRPr="00115421">
        <w:rPr>
          <w:color w:val="EE0000"/>
        </w:rPr>
        <w:t xml:space="preserve">Round 3 </w:t>
      </w:r>
      <w:r w:rsidRPr="00115421">
        <w:rPr>
          <w:color w:val="EE0000"/>
        </w:rPr>
        <w:t xml:space="preserve">yeast selection read counts averaged over two replicates. </w:t>
      </w:r>
      <w:r w:rsidR="001A557F" w:rsidRPr="00115421">
        <w:rPr>
          <w:color w:val="EE0000"/>
        </w:rPr>
        <w:t xml:space="preserve">Yeast-display selection is more likely to yield read counts </w:t>
      </w:r>
      <w:r w:rsidR="00973F3E" w:rsidRPr="00115421">
        <w:rPr>
          <w:color w:val="EE0000"/>
        </w:rPr>
        <w:t>at defined</w:t>
      </w:r>
      <w:r w:rsidR="001A557F" w:rsidRPr="00115421">
        <w:rPr>
          <w:color w:val="EE0000"/>
        </w:rPr>
        <w:t xml:space="preserve"> threshold</w:t>
      </w:r>
      <w:r w:rsidR="00973F3E" w:rsidRPr="00115421">
        <w:rPr>
          <w:color w:val="EE0000"/>
        </w:rPr>
        <w:t>s</w:t>
      </w:r>
      <w:r w:rsidR="001A557F" w:rsidRPr="00115421">
        <w:rPr>
          <w:color w:val="EE0000"/>
        </w:rPr>
        <w:t xml:space="preserve"> if </w:t>
      </w:r>
      <w:r w:rsidR="00973F3E" w:rsidRPr="00115421">
        <w:rPr>
          <w:color w:val="EE0000"/>
        </w:rPr>
        <w:t xml:space="preserve">a </w:t>
      </w:r>
      <w:r w:rsidR="001A557F" w:rsidRPr="00115421">
        <w:rPr>
          <w:color w:val="EE0000"/>
        </w:rPr>
        <w:t>TCR-</w:t>
      </w:r>
      <w:proofErr w:type="spellStart"/>
      <w:r w:rsidR="001A557F" w:rsidRPr="00115421">
        <w:rPr>
          <w:color w:val="EE0000"/>
        </w:rPr>
        <w:t>pMHC</w:t>
      </w:r>
      <w:proofErr w:type="spellEnd"/>
      <w:r w:rsidR="001A557F" w:rsidRPr="00115421">
        <w:rPr>
          <w:color w:val="EE0000"/>
        </w:rPr>
        <w:t xml:space="preserve"> pair is “binding” according to titration assay rather than “subtle binding or no binding”, demonstrating that yeast-display selection successfully enriches for binders. </w:t>
      </w:r>
    </w:p>
    <w:p w14:paraId="67F5A723" w14:textId="5CA5E488" w:rsidR="001A557F" w:rsidRPr="00115421" w:rsidRDefault="001A557F" w:rsidP="002115DF">
      <w:pPr>
        <w:rPr>
          <w:color w:val="EE0000"/>
        </w:rPr>
      </w:pPr>
      <w:r w:rsidRPr="00115421">
        <w:rPr>
          <w:color w:val="EE0000"/>
        </w:rPr>
        <w:lastRenderedPageBreak/>
        <w:t xml:space="preserve">(D) </w:t>
      </w:r>
      <w:r w:rsidRPr="00115421">
        <w:rPr>
          <w:i/>
          <w:iCs/>
          <w:color w:val="EE0000"/>
        </w:rPr>
        <w:t>P</w:t>
      </w:r>
      <w:r w:rsidRPr="00115421">
        <w:rPr>
          <w:color w:val="EE0000"/>
        </w:rPr>
        <w:t xml:space="preserve">-values are computed to test the hypotheses that </w:t>
      </w:r>
      <w:r w:rsidR="00F1697E" w:rsidRPr="00115421">
        <w:rPr>
          <w:color w:val="EE0000"/>
        </w:rPr>
        <w:t xml:space="preserve">the replicate average </w:t>
      </w:r>
      <w:r w:rsidR="00973F3E" w:rsidRPr="00115421">
        <w:rPr>
          <w:color w:val="EE0000"/>
        </w:rPr>
        <w:t xml:space="preserve">yeast-display read count </w:t>
      </w:r>
      <w:r w:rsidR="00F1697E" w:rsidRPr="00115421">
        <w:rPr>
          <w:color w:val="EE0000"/>
        </w:rPr>
        <w:t xml:space="preserve">is </w:t>
      </w:r>
      <w:r w:rsidRPr="00115421">
        <w:rPr>
          <w:color w:val="EE0000"/>
        </w:rPr>
        <w:t xml:space="preserve">greater </w:t>
      </w:r>
      <w:r w:rsidR="00973F3E" w:rsidRPr="00115421">
        <w:rPr>
          <w:color w:val="EE0000"/>
        </w:rPr>
        <w:t xml:space="preserve">than R </w:t>
      </w:r>
      <w:r w:rsidR="00F1697E" w:rsidRPr="00115421">
        <w:rPr>
          <w:color w:val="EE0000"/>
        </w:rPr>
        <w:t>when the</w:t>
      </w:r>
      <w:r w:rsidRPr="00115421">
        <w:rPr>
          <w:color w:val="EE0000"/>
        </w:rPr>
        <w:t xml:space="preserve"> titration assay </w:t>
      </w:r>
      <w:r w:rsidR="00F1697E" w:rsidRPr="00115421">
        <w:rPr>
          <w:color w:val="EE0000"/>
        </w:rPr>
        <w:t>reads</w:t>
      </w:r>
      <w:r w:rsidRPr="00115421">
        <w:rPr>
          <w:color w:val="EE0000"/>
        </w:rPr>
        <w:t xml:space="preserve"> “binding” (Fisher’s exact test</w:t>
      </w:r>
      <w:r w:rsidR="004A1A74" w:rsidRPr="00115421">
        <w:rPr>
          <w:color w:val="EE0000"/>
        </w:rPr>
        <w:t>, one-sided</w:t>
      </w:r>
      <w:r w:rsidRPr="00115421">
        <w:rPr>
          <w:color w:val="EE0000"/>
        </w:rPr>
        <w:t>). The test achieves statistical significance (</w:t>
      </w:r>
      <w:r w:rsidRPr="00115421">
        <w:rPr>
          <w:i/>
          <w:iCs/>
          <w:color w:val="EE0000"/>
        </w:rPr>
        <w:t xml:space="preserve">p </w:t>
      </w:r>
      <w:r w:rsidRPr="00115421">
        <w:rPr>
          <w:color w:val="EE0000"/>
        </w:rPr>
        <w:t>&lt; 0.05) for all values of R except 1. When R = 1, the test achieves statistical significance (</w:t>
      </w:r>
      <w:r w:rsidRPr="00115421">
        <w:rPr>
          <w:i/>
          <w:iCs/>
          <w:color w:val="EE0000"/>
        </w:rPr>
        <w:t xml:space="preserve">p </w:t>
      </w:r>
      <w:r w:rsidRPr="00115421">
        <w:rPr>
          <w:color w:val="EE0000"/>
        </w:rPr>
        <w:t xml:space="preserve">= 0.013 &lt; 0.05) if the minimum, not the average (mean), read count over two replicates is taken, showing that our strategy of requiring both replicates to have non-zero read counts to define binders adds robustness. </w:t>
      </w:r>
    </w:p>
    <w:p w14:paraId="245A8D5E" w14:textId="77777777" w:rsidR="006F5F24" w:rsidRDefault="006F5F24" w:rsidP="002115DF">
      <w:pPr>
        <w:rPr>
          <w:rFonts w:cs="Times New Roman"/>
          <w:b/>
          <w:szCs w:val="24"/>
        </w:rPr>
      </w:pPr>
    </w:p>
    <w:p w14:paraId="65600A76" w14:textId="3CFBD657" w:rsidR="00EB0603" w:rsidRDefault="00CF5A55" w:rsidP="002115DF">
      <w:pPr>
        <w:rPr>
          <w:color w:val="000000" w:themeColor="text1"/>
        </w:rPr>
      </w:pPr>
      <w:r w:rsidRPr="0001436A">
        <w:rPr>
          <w:rFonts w:cs="Times New Roman"/>
          <w:b/>
          <w:szCs w:val="24"/>
        </w:rPr>
        <w:t xml:space="preserve">Supplementary Figure </w:t>
      </w:r>
      <w:r w:rsidR="00D544D0">
        <w:rPr>
          <w:rFonts w:cs="Times New Roman"/>
          <w:b/>
          <w:szCs w:val="24"/>
        </w:rPr>
        <w:t>3</w:t>
      </w:r>
      <w:r w:rsidRPr="0001436A">
        <w:rPr>
          <w:rFonts w:cs="Times New Roman"/>
          <w:b/>
          <w:szCs w:val="24"/>
        </w:rPr>
        <w:t>.</w:t>
      </w:r>
      <w:r>
        <w:rPr>
          <w:rFonts w:cs="Times New Roman"/>
          <w:b/>
          <w:szCs w:val="24"/>
        </w:rPr>
        <w:t xml:space="preserve"> </w:t>
      </w:r>
      <w:r w:rsidRPr="00CF5A55">
        <w:rPr>
          <w:b/>
          <w:bCs/>
        </w:rPr>
        <w:t xml:space="preserve">MLP models with shared internal weights outperform logistic regression classifiers </w:t>
      </w:r>
      <w:r w:rsidRPr="00CF5A55">
        <w:rPr>
          <w:rFonts w:cs="Times New Roman"/>
          <w:b/>
          <w:bCs/>
          <w:szCs w:val="24"/>
        </w:rPr>
        <w:t>and permuted models</w:t>
      </w:r>
      <w:r>
        <w:rPr>
          <w:rFonts w:cs="Times New Roman"/>
          <w:b/>
          <w:bCs/>
          <w:szCs w:val="24"/>
        </w:rPr>
        <w:t xml:space="preserve">. </w:t>
      </w:r>
      <w:r w:rsidRPr="00850EB0">
        <w:rPr>
          <w:color w:val="000000" w:themeColor="text1"/>
        </w:rPr>
        <w:t xml:space="preserve">We benchmarked our MLP models against logistic regression models receiving BLOSUM50-encoded TCR sequences. Unlike the MLP models whose internal weights are shared in predicting the binding of all seven target peptides, the logistic regression classifiers were fit per each target. In addition, we conducted permutation test by shuffling the relationships between TCR sequences and peptide targets of the training datasets for each of the 10 cross-validation folds (Fig 3A), whilst keeping the test sets intact, and re-training the MLP models. </w:t>
      </w:r>
    </w:p>
    <w:p w14:paraId="1D7F714B" w14:textId="77777777" w:rsidR="00EB0603" w:rsidRDefault="00CF5A55" w:rsidP="002115DF">
      <w:pPr>
        <w:rPr>
          <w:color w:val="000000" w:themeColor="text1"/>
        </w:rPr>
      </w:pPr>
      <w:r w:rsidRPr="00850EB0">
        <w:rPr>
          <w:color w:val="000000" w:themeColor="text1"/>
        </w:rPr>
        <w:t>(A) MLP models outperformed the logistic regression and permuted models in terms of both F1-scores (</w:t>
      </w:r>
      <w:proofErr w:type="spellStart"/>
      <w:r w:rsidRPr="00850EB0">
        <w:rPr>
          <w:i/>
          <w:iCs/>
          <w:color w:val="000000" w:themeColor="text1"/>
        </w:rPr>
        <w:t>p</w:t>
      </w:r>
      <w:r w:rsidRPr="00850EB0">
        <w:rPr>
          <w:color w:val="000000" w:themeColor="text1"/>
          <w:vertAlign w:val="subscript"/>
        </w:rPr>
        <w:t>LR</w:t>
      </w:r>
      <w:proofErr w:type="spellEnd"/>
      <w:r w:rsidRPr="00850EB0">
        <w:rPr>
          <w:i/>
          <w:iCs/>
          <w:color w:val="000000" w:themeColor="text1"/>
        </w:rPr>
        <w:t xml:space="preserve"> </w:t>
      </w:r>
      <w:r w:rsidRPr="00850EB0">
        <w:rPr>
          <w:color w:val="000000" w:themeColor="text1"/>
        </w:rPr>
        <w:t xml:space="preserve">= 6.0e-06; </w:t>
      </w:r>
      <w:proofErr w:type="spellStart"/>
      <w:r w:rsidRPr="00850EB0">
        <w:rPr>
          <w:i/>
          <w:iCs/>
          <w:color w:val="000000" w:themeColor="text1"/>
        </w:rPr>
        <w:t>p</w:t>
      </w:r>
      <w:r w:rsidRPr="00850EB0">
        <w:rPr>
          <w:color w:val="000000" w:themeColor="text1"/>
          <w:vertAlign w:val="subscript"/>
        </w:rPr>
        <w:t>PM</w:t>
      </w:r>
      <w:proofErr w:type="spellEnd"/>
      <w:r w:rsidRPr="00850EB0">
        <w:rPr>
          <w:i/>
          <w:iCs/>
          <w:color w:val="000000" w:themeColor="text1"/>
        </w:rPr>
        <w:t xml:space="preserve"> </w:t>
      </w:r>
      <w:r w:rsidRPr="00850EB0">
        <w:rPr>
          <w:color w:val="000000" w:themeColor="text1"/>
        </w:rPr>
        <w:t xml:space="preserve">= 3.4e-08; Mann-Whitney </w:t>
      </w:r>
      <w:r w:rsidRPr="00850EB0">
        <w:rPr>
          <w:i/>
          <w:iCs/>
          <w:color w:val="000000" w:themeColor="text1"/>
        </w:rPr>
        <w:t>U</w:t>
      </w:r>
      <w:r w:rsidRPr="00850EB0">
        <w:rPr>
          <w:color w:val="000000" w:themeColor="text1"/>
        </w:rPr>
        <w:t>-test) and AUPRC (</w:t>
      </w:r>
      <w:proofErr w:type="spellStart"/>
      <w:r w:rsidRPr="00850EB0">
        <w:rPr>
          <w:i/>
          <w:iCs/>
          <w:color w:val="000000" w:themeColor="text1"/>
        </w:rPr>
        <w:t>p</w:t>
      </w:r>
      <w:r w:rsidRPr="00850EB0">
        <w:rPr>
          <w:color w:val="000000" w:themeColor="text1"/>
          <w:vertAlign w:val="subscript"/>
        </w:rPr>
        <w:t>LR</w:t>
      </w:r>
      <w:proofErr w:type="spellEnd"/>
      <w:r w:rsidRPr="00850EB0">
        <w:rPr>
          <w:i/>
          <w:iCs/>
          <w:color w:val="000000" w:themeColor="text1"/>
        </w:rPr>
        <w:t xml:space="preserve"> </w:t>
      </w:r>
      <w:r w:rsidRPr="00850EB0">
        <w:rPr>
          <w:color w:val="000000" w:themeColor="text1"/>
        </w:rPr>
        <w:t xml:space="preserve">= 6.0e-06; </w:t>
      </w:r>
      <w:proofErr w:type="spellStart"/>
      <w:r w:rsidRPr="00850EB0">
        <w:rPr>
          <w:i/>
          <w:iCs/>
          <w:color w:val="000000" w:themeColor="text1"/>
        </w:rPr>
        <w:t>p</w:t>
      </w:r>
      <w:r w:rsidRPr="00850EB0">
        <w:rPr>
          <w:color w:val="000000" w:themeColor="text1"/>
          <w:vertAlign w:val="subscript"/>
        </w:rPr>
        <w:t>PM</w:t>
      </w:r>
      <w:proofErr w:type="spellEnd"/>
      <w:r w:rsidRPr="00850EB0">
        <w:rPr>
          <w:i/>
          <w:iCs/>
          <w:color w:val="000000" w:themeColor="text1"/>
        </w:rPr>
        <w:t xml:space="preserve"> </w:t>
      </w:r>
      <w:r w:rsidRPr="00850EB0">
        <w:rPr>
          <w:color w:val="000000" w:themeColor="text1"/>
        </w:rPr>
        <w:t xml:space="preserve">= 3.4e-08). </w:t>
      </w:r>
    </w:p>
    <w:p w14:paraId="41DB1B93" w14:textId="77777777" w:rsidR="00EB0603" w:rsidRDefault="00CF5A55" w:rsidP="002115DF">
      <w:pPr>
        <w:rPr>
          <w:color w:val="000000" w:themeColor="text1"/>
        </w:rPr>
      </w:pPr>
      <w:r w:rsidRPr="00850EB0">
        <w:rPr>
          <w:color w:val="000000" w:themeColor="text1"/>
        </w:rPr>
        <w:t>(B) MLP models outperformed the logistic regression models in binding prediction for all cross-reactivity strata (</w:t>
      </w:r>
      <w:r w:rsidRPr="00850EB0">
        <w:rPr>
          <w:rFonts w:ascii="Cambria Math" w:hAnsi="Cambria Math" w:cs="Cambria Math"/>
          <w:color w:val="000000" w:themeColor="text1"/>
        </w:rPr>
        <w:t>∀</w:t>
      </w:r>
      <w:r w:rsidRPr="00850EB0">
        <w:rPr>
          <w:color w:val="000000" w:themeColor="text1"/>
        </w:rPr>
        <w:t xml:space="preserve">strata, </w:t>
      </w:r>
      <w:r w:rsidRPr="00850EB0">
        <w:rPr>
          <w:i/>
          <w:iCs/>
          <w:color w:val="000000" w:themeColor="text1"/>
        </w:rPr>
        <w:t xml:space="preserve">p </w:t>
      </w:r>
      <w:r w:rsidRPr="00850EB0">
        <w:rPr>
          <w:color w:val="000000" w:themeColor="text1"/>
        </w:rPr>
        <w:t>= 0.0020, Wilcoxon signed-rank test). It is notable that the greatest performance improvement for MLP over logistic regression was achieved for 7-cross-reactive stratum, suggesting that the pattern of cross-reactivity implicitly learnt via the shared internal weights was useful. </w:t>
      </w:r>
    </w:p>
    <w:p w14:paraId="36271ECA" w14:textId="1113DB92" w:rsidR="00CF5A55" w:rsidRPr="00850EB0" w:rsidRDefault="00CF5A55" w:rsidP="002115DF">
      <w:pPr>
        <w:rPr>
          <w:color w:val="000000" w:themeColor="text1"/>
        </w:rPr>
      </w:pPr>
      <w:r w:rsidRPr="00850EB0">
        <w:rPr>
          <w:color w:val="000000" w:themeColor="text1"/>
        </w:rPr>
        <w:t>(C) MLP models outperform the logistic regression models in binding prediction for all seven peptide targets (</w:t>
      </w:r>
      <w:r w:rsidRPr="00850EB0">
        <w:rPr>
          <w:rFonts w:ascii="Cambria Math" w:hAnsi="Cambria Math" w:cs="Cambria Math"/>
          <w:color w:val="000000" w:themeColor="text1"/>
        </w:rPr>
        <w:t>∀</w:t>
      </w:r>
      <w:r w:rsidRPr="00850EB0">
        <w:rPr>
          <w:color w:val="000000" w:themeColor="text1"/>
        </w:rPr>
        <w:t xml:space="preserve">targets, </w:t>
      </w:r>
      <w:r w:rsidRPr="00850EB0">
        <w:rPr>
          <w:i/>
          <w:iCs/>
          <w:color w:val="000000" w:themeColor="text1"/>
        </w:rPr>
        <w:t>p</w:t>
      </w:r>
      <w:r w:rsidRPr="00850EB0">
        <w:rPr>
          <w:i/>
          <w:iCs/>
          <w:color w:val="000000" w:themeColor="text1"/>
          <w:vertAlign w:val="subscript"/>
        </w:rPr>
        <w:t xml:space="preserve"> </w:t>
      </w:r>
      <w:r w:rsidRPr="00850EB0">
        <w:rPr>
          <w:color w:val="000000" w:themeColor="text1"/>
        </w:rPr>
        <w:t>= 0.0020, Wilcoxon signed-rank test). </w:t>
      </w:r>
    </w:p>
    <w:p w14:paraId="67DC9BEA" w14:textId="77777777" w:rsidR="007263D6" w:rsidRDefault="007263D6" w:rsidP="002115DF">
      <w:pPr>
        <w:keepNext/>
        <w:rPr>
          <w:rFonts w:cs="Times New Roman"/>
          <w:b/>
          <w:szCs w:val="24"/>
        </w:rPr>
      </w:pPr>
    </w:p>
    <w:p w14:paraId="3D93F100" w14:textId="58E88304" w:rsidR="00CF5A55" w:rsidRDefault="00CF5A55" w:rsidP="002115DF">
      <w:pPr>
        <w:keepNext/>
        <w:rPr>
          <w:rFonts w:cs="Times New Roman"/>
          <w:b/>
          <w:bCs/>
          <w:szCs w:val="24"/>
        </w:rPr>
      </w:pPr>
      <w:r w:rsidRPr="0001436A">
        <w:rPr>
          <w:rFonts w:cs="Times New Roman"/>
          <w:b/>
          <w:szCs w:val="24"/>
        </w:rPr>
        <w:t xml:space="preserve">Supplementary Figure </w:t>
      </w:r>
      <w:r w:rsidR="00D544D0">
        <w:rPr>
          <w:rFonts w:cs="Times New Roman"/>
          <w:b/>
          <w:szCs w:val="24"/>
        </w:rPr>
        <w:t>4</w:t>
      </w:r>
      <w:r w:rsidRPr="0001436A">
        <w:rPr>
          <w:rFonts w:cs="Times New Roman"/>
          <w:b/>
          <w:szCs w:val="24"/>
        </w:rPr>
        <w:t>.</w:t>
      </w:r>
      <w:r>
        <w:rPr>
          <w:rFonts w:cs="Times New Roman"/>
          <w:b/>
          <w:szCs w:val="24"/>
        </w:rPr>
        <w:t xml:space="preserve"> </w:t>
      </w:r>
      <w:r w:rsidRPr="00CF5A55">
        <w:rPr>
          <w:b/>
          <w:bCs/>
        </w:rPr>
        <w:t xml:space="preserve">VHSE8 embedding improves TCR binding classification, albeit to a less degree </w:t>
      </w:r>
      <w:r w:rsidRPr="00CF5A55">
        <w:rPr>
          <w:rFonts w:cs="Times New Roman"/>
          <w:b/>
          <w:bCs/>
          <w:szCs w:val="24"/>
        </w:rPr>
        <w:t>than BLOSUM50</w:t>
      </w:r>
      <w:r>
        <w:rPr>
          <w:rFonts w:cs="Times New Roman"/>
          <w:b/>
          <w:bCs/>
          <w:szCs w:val="24"/>
        </w:rPr>
        <w:t xml:space="preserve">. </w:t>
      </w:r>
    </w:p>
    <w:p w14:paraId="1A7D86DB" w14:textId="685636AA" w:rsidR="00CF5A55" w:rsidRPr="00850EB0" w:rsidRDefault="00CF5A55" w:rsidP="002115DF">
      <w:pPr>
        <w:pStyle w:val="NormalWeb"/>
        <w:spacing w:before="120" w:beforeAutospacing="0" w:after="0" w:afterAutospacing="0"/>
        <w:rPr>
          <w:color w:val="000000" w:themeColor="text1"/>
        </w:rPr>
      </w:pPr>
      <w:r w:rsidRPr="00850EB0">
        <w:rPr>
          <w:color w:val="000000" w:themeColor="text1"/>
        </w:rPr>
        <w:t>(A) Models trained with BLOSUM50 embedding outperformed those trained with VHSE8 embedding, which in turn outperformed one-hot (</w:t>
      </w:r>
      <w:r w:rsidRPr="00850EB0">
        <w:rPr>
          <w:rFonts w:ascii="Cambria Math" w:hAnsi="Cambria Math" w:cs="Cambria Math"/>
          <w:color w:val="000000" w:themeColor="text1"/>
        </w:rPr>
        <w:t>∀</w:t>
      </w:r>
      <w:r w:rsidRPr="00850EB0">
        <w:rPr>
          <w:color w:val="000000" w:themeColor="text1"/>
        </w:rPr>
        <w:t xml:space="preserve">metrics, replicates </w:t>
      </w:r>
      <w:r w:rsidRPr="00850EB0">
        <w:rPr>
          <w:i/>
          <w:iCs/>
          <w:color w:val="000000" w:themeColor="text1"/>
        </w:rPr>
        <w:t xml:space="preserve">p </w:t>
      </w:r>
      <w:r w:rsidRPr="00850EB0">
        <w:rPr>
          <w:color w:val="000000" w:themeColor="text1"/>
        </w:rPr>
        <w:t>&lt; 0.001, Kruskal-Wallis test followed by Dunn's post-hoc test with FDR correction). Contrastingly, the performances of the models trained with the same embedding did not differ significantly (</w:t>
      </w:r>
      <w:r w:rsidRPr="00850EB0">
        <w:rPr>
          <w:rFonts w:ascii="Cambria Math" w:hAnsi="Cambria Math" w:cs="Cambria Math"/>
          <w:color w:val="000000" w:themeColor="text1"/>
        </w:rPr>
        <w:t>∀</w:t>
      </w:r>
      <w:r w:rsidRPr="00850EB0">
        <w:rPr>
          <w:color w:val="000000" w:themeColor="text1"/>
        </w:rPr>
        <w:t xml:space="preserve">metrics, embeddings </w:t>
      </w:r>
      <w:r w:rsidRPr="00850EB0">
        <w:rPr>
          <w:i/>
          <w:iCs/>
          <w:color w:val="000000" w:themeColor="text1"/>
        </w:rPr>
        <w:t xml:space="preserve">p </w:t>
      </w:r>
      <w:r w:rsidRPr="00850EB0">
        <w:rPr>
          <w:color w:val="000000" w:themeColor="text1"/>
        </w:rPr>
        <w:t xml:space="preserve">&gt; 0.05, Kruskal-Wallis test followed by Dunn's post-hoc test with FDR correction). </w:t>
      </w:r>
    </w:p>
    <w:p w14:paraId="2E5EB71E" w14:textId="71D73697" w:rsidR="00CF5A55" w:rsidRPr="00850EB0" w:rsidRDefault="00CF5A55" w:rsidP="002115DF">
      <w:pPr>
        <w:pStyle w:val="NormalWeb"/>
        <w:spacing w:before="120" w:beforeAutospacing="0" w:after="0" w:afterAutospacing="0"/>
        <w:rPr>
          <w:color w:val="000000" w:themeColor="text1"/>
        </w:rPr>
      </w:pPr>
      <w:r w:rsidRPr="00850EB0">
        <w:rPr>
          <w:color w:val="000000" w:themeColor="text1"/>
        </w:rPr>
        <w:t>(B) The degrees of performance improvement were significantly different for different cross-reactivity strata (</w:t>
      </w:r>
      <w:r w:rsidRPr="00850EB0">
        <w:rPr>
          <w:i/>
          <w:iCs/>
          <w:color w:val="000000" w:themeColor="text1"/>
        </w:rPr>
        <w:t xml:space="preserve">p </w:t>
      </w:r>
      <w:r w:rsidRPr="00850EB0">
        <w:rPr>
          <w:color w:val="000000" w:themeColor="text1"/>
        </w:rPr>
        <w:t xml:space="preserve">&lt; 0.0001 (Kruskal-Wallis test), </w:t>
      </w:r>
      <w:r w:rsidRPr="00850EB0">
        <w:rPr>
          <w:i/>
          <w:iCs/>
          <w:color w:val="000000" w:themeColor="text1"/>
        </w:rPr>
        <w:t>ε</w:t>
      </w:r>
      <w:r w:rsidRPr="00850EB0">
        <w:rPr>
          <w:i/>
          <w:iCs/>
          <w:color w:val="000000" w:themeColor="text1"/>
          <w:vertAlign w:val="superscript"/>
        </w:rPr>
        <w:t>2</w:t>
      </w:r>
      <w:r w:rsidRPr="00850EB0">
        <w:rPr>
          <w:color w:val="000000" w:themeColor="text1"/>
        </w:rPr>
        <w:t>= 0.73). </w:t>
      </w:r>
    </w:p>
    <w:p w14:paraId="686D2B46" w14:textId="106AA4B9" w:rsidR="00CF5A55" w:rsidRPr="00CF5A55" w:rsidRDefault="00CF5A55" w:rsidP="002115DF">
      <w:pPr>
        <w:pStyle w:val="NormalWeb"/>
        <w:spacing w:before="120" w:beforeAutospacing="0" w:after="0" w:afterAutospacing="0"/>
        <w:rPr>
          <w:color w:val="000000" w:themeColor="text1"/>
        </w:rPr>
      </w:pPr>
      <w:r w:rsidRPr="00850EB0">
        <w:rPr>
          <w:color w:val="000000" w:themeColor="text1"/>
        </w:rPr>
        <w:t xml:space="preserve">(C) Further, the degrees of improvement were significantly different for different </w:t>
      </w:r>
      <w:proofErr w:type="spellStart"/>
      <w:r w:rsidRPr="00850EB0">
        <w:rPr>
          <w:color w:val="000000" w:themeColor="text1"/>
        </w:rPr>
        <w:t>pMHC</w:t>
      </w:r>
      <w:proofErr w:type="spellEnd"/>
      <w:r w:rsidRPr="00850EB0">
        <w:rPr>
          <w:color w:val="000000" w:themeColor="text1"/>
        </w:rPr>
        <w:t xml:space="preserve"> targets (</w:t>
      </w:r>
      <w:r w:rsidRPr="00850EB0">
        <w:rPr>
          <w:i/>
          <w:iCs/>
          <w:color w:val="000000" w:themeColor="text1"/>
        </w:rPr>
        <w:t xml:space="preserve">p </w:t>
      </w:r>
      <w:r w:rsidRPr="00850EB0">
        <w:rPr>
          <w:color w:val="000000" w:themeColor="text1"/>
        </w:rPr>
        <w:t xml:space="preserve">&lt; 0.0001 (Kruskal-Wallis test), </w:t>
      </w:r>
      <w:r w:rsidRPr="00850EB0">
        <w:rPr>
          <w:i/>
          <w:iCs/>
          <w:color w:val="000000" w:themeColor="text1"/>
        </w:rPr>
        <w:t>ε</w:t>
      </w:r>
      <w:r w:rsidRPr="00850EB0">
        <w:rPr>
          <w:i/>
          <w:iCs/>
          <w:color w:val="000000" w:themeColor="text1"/>
          <w:vertAlign w:val="superscript"/>
        </w:rPr>
        <w:t>2</w:t>
      </w:r>
      <w:r w:rsidRPr="00850EB0">
        <w:rPr>
          <w:i/>
          <w:iCs/>
          <w:color w:val="000000" w:themeColor="text1"/>
        </w:rPr>
        <w:t xml:space="preserve"> </w:t>
      </w:r>
      <w:r w:rsidRPr="00850EB0">
        <w:rPr>
          <w:color w:val="000000" w:themeColor="text1"/>
        </w:rPr>
        <w:t>= 0.73). </w:t>
      </w:r>
    </w:p>
    <w:p w14:paraId="29B95734" w14:textId="77777777" w:rsidR="007263D6" w:rsidRDefault="007263D6" w:rsidP="00EB0603">
      <w:pPr>
        <w:rPr>
          <w:rFonts w:cs="Times New Roman"/>
          <w:b/>
          <w:szCs w:val="24"/>
        </w:rPr>
      </w:pPr>
    </w:p>
    <w:p w14:paraId="35B6CB84" w14:textId="24B41581" w:rsidR="00EB0603" w:rsidRPr="00850EB0" w:rsidRDefault="00CF5A55" w:rsidP="00EB0603">
      <w:pPr>
        <w:rPr>
          <w:color w:val="000000" w:themeColor="text1"/>
        </w:rPr>
      </w:pPr>
      <w:r w:rsidRPr="0001436A">
        <w:rPr>
          <w:rFonts w:cs="Times New Roman"/>
          <w:b/>
          <w:szCs w:val="24"/>
        </w:rPr>
        <w:lastRenderedPageBreak/>
        <w:t xml:space="preserve">Supplementary Figure </w:t>
      </w:r>
      <w:r w:rsidR="00D544D0">
        <w:rPr>
          <w:rFonts w:cs="Times New Roman"/>
          <w:b/>
          <w:szCs w:val="24"/>
        </w:rPr>
        <w:t>5</w:t>
      </w:r>
      <w:r w:rsidRPr="0001436A">
        <w:rPr>
          <w:rFonts w:cs="Times New Roman"/>
          <w:b/>
          <w:szCs w:val="24"/>
        </w:rPr>
        <w:t>.</w:t>
      </w:r>
      <w:r>
        <w:rPr>
          <w:rFonts w:cs="Times New Roman"/>
          <w:b/>
          <w:szCs w:val="24"/>
        </w:rPr>
        <w:t xml:space="preserve"> </w:t>
      </w:r>
      <w:r w:rsidRPr="00CF5A55">
        <w:rPr>
          <w:b/>
          <w:bCs/>
        </w:rPr>
        <w:t xml:space="preserve">Observed hierarchy of examined amino acid positions are invariant to </w:t>
      </w:r>
      <w:r w:rsidRPr="00CF5A55">
        <w:rPr>
          <w:rFonts w:cs="Times New Roman"/>
          <w:b/>
          <w:bCs/>
          <w:szCs w:val="24"/>
        </w:rPr>
        <w:t>the choices of sequence embeddings and performance metrics</w:t>
      </w:r>
      <w:r>
        <w:rPr>
          <w:rFonts w:cs="Times New Roman"/>
          <w:b/>
          <w:bCs/>
          <w:szCs w:val="24"/>
        </w:rPr>
        <w:t xml:space="preserve">. </w:t>
      </w:r>
      <w:r w:rsidR="00EB0603" w:rsidRPr="00850EB0">
        <w:rPr>
          <w:color w:val="000000" w:themeColor="text1"/>
        </w:rPr>
        <w:t xml:space="preserve">We performed sequence-masked training, where different residue positions are deleted. </w:t>
      </w:r>
    </w:p>
    <w:p w14:paraId="60F198B4" w14:textId="40DC33AA" w:rsidR="00EB0603" w:rsidRPr="00850EB0" w:rsidRDefault="00EB0603" w:rsidP="00EB0603">
      <w:pPr>
        <w:rPr>
          <w:color w:val="000000" w:themeColor="text1"/>
        </w:rPr>
      </w:pPr>
      <w:r w:rsidRPr="00850EB0">
        <w:rPr>
          <w:color w:val="000000" w:themeColor="text1"/>
        </w:rPr>
        <w:t xml:space="preserve">(A) Masking of any residue or any CDR3 chain causes significant performance degradation regardless of sequence embedding (BLOSUM50, VHSE8, one-hot) and performance measures (F1 score, </w:t>
      </w:r>
      <w:proofErr w:type="gramStart"/>
      <w:r w:rsidRPr="00850EB0">
        <w:rPr>
          <w:color w:val="000000" w:themeColor="text1"/>
        </w:rPr>
        <w:t>AUPRC)(</w:t>
      </w:r>
      <w:proofErr w:type="gramEnd"/>
      <w:r w:rsidRPr="00850EB0">
        <w:rPr>
          <w:color w:val="000000" w:themeColor="text1"/>
        </w:rPr>
        <w:t xml:space="preserve">p &lt; 0.001, 1-sample T-test). Note that the rank order of marginal importance for different residue positions (a99 - a101 - b98 - a100 - b100 - b99) remain consistent across different sequence embeddings and performance measures, except for the switch between a101 and b98 positions within the margin of error in the case of BLOSUM50/AUPRC combination. Further, masking alpha chain caused much greater deterioration than masking beta chain across different sequence embeddings (p &lt; 0.001 (Wilcoxon signed-rank test)). </w:t>
      </w:r>
    </w:p>
    <w:p w14:paraId="3A0FB835" w14:textId="26E812E5" w:rsidR="00CF5A55" w:rsidRDefault="00EB0603" w:rsidP="00EB0603">
      <w:pPr>
        <w:keepNext/>
        <w:rPr>
          <w:color w:val="000000" w:themeColor="text1"/>
        </w:rPr>
      </w:pPr>
      <w:r w:rsidRPr="00850EB0">
        <w:rPr>
          <w:color w:val="000000" w:themeColor="text1"/>
        </w:rPr>
        <w:t xml:space="preserve">(B) We performed computational alanine substitution and used </w:t>
      </w:r>
      <w:proofErr w:type="spellStart"/>
      <w:r w:rsidRPr="00850EB0">
        <w:rPr>
          <w:color w:val="000000" w:themeColor="text1"/>
        </w:rPr>
        <w:t>FlexPepDock</w:t>
      </w:r>
      <w:proofErr w:type="spellEnd"/>
      <w:r w:rsidRPr="00850EB0">
        <w:rPr>
          <w:color w:val="000000" w:themeColor="text1"/>
        </w:rPr>
        <w:t xml:space="preserve"> to infer the changes in interface energy (</w:t>
      </w:r>
      <w:proofErr w:type="spellStart"/>
      <w:r w:rsidRPr="00850EB0">
        <w:rPr>
          <w:i/>
          <w:iCs/>
          <w:color w:val="000000" w:themeColor="text1"/>
        </w:rPr>
        <w:t>ΔI_sc</w:t>
      </w:r>
      <w:proofErr w:type="spellEnd"/>
      <w:r w:rsidR="00694A01">
        <w:rPr>
          <w:i/>
          <w:iCs/>
          <w:color w:val="000000" w:themeColor="text1"/>
        </w:rPr>
        <w:t xml:space="preserve">, </w:t>
      </w:r>
      <w:r w:rsidR="00694A01" w:rsidRPr="00AB2BBE">
        <w:rPr>
          <w:iCs/>
          <w:color w:val="000000" w:themeColor="text1"/>
        </w:rPr>
        <w:t>lower more stable</w:t>
      </w:r>
      <w:r w:rsidRPr="00850EB0">
        <w:rPr>
          <w:color w:val="000000" w:themeColor="text1"/>
        </w:rPr>
        <w:t xml:space="preserve">) following alanine substitution. We found that </w:t>
      </w:r>
      <w:proofErr w:type="spellStart"/>
      <w:r w:rsidRPr="00850EB0">
        <w:rPr>
          <w:i/>
          <w:iCs/>
          <w:color w:val="000000" w:themeColor="text1"/>
        </w:rPr>
        <w:t>ΔI_sc</w:t>
      </w:r>
      <w:proofErr w:type="spellEnd"/>
      <w:r w:rsidRPr="00850EB0">
        <w:rPr>
          <w:color w:val="000000" w:themeColor="text1"/>
        </w:rPr>
        <w:t xml:space="preserve"> explains the ML performance deterioration, as measured by </w:t>
      </w:r>
      <w:r w:rsidRPr="00850EB0">
        <w:rPr>
          <w:i/>
          <w:iCs/>
          <w:color w:val="000000" w:themeColor="text1"/>
        </w:rPr>
        <w:t>ΔAUPRC</w:t>
      </w:r>
      <w:r w:rsidR="00694A01">
        <w:rPr>
          <w:i/>
          <w:iCs/>
          <w:color w:val="000000" w:themeColor="text1"/>
        </w:rPr>
        <w:t xml:space="preserve"> </w:t>
      </w:r>
      <w:r w:rsidR="00694A01">
        <w:rPr>
          <w:iCs/>
          <w:color w:val="000000" w:themeColor="text1"/>
        </w:rPr>
        <w:t>(less reduction, better model performance)</w:t>
      </w:r>
      <w:r w:rsidRPr="00850EB0">
        <w:rPr>
          <w:color w:val="000000" w:themeColor="text1"/>
        </w:rPr>
        <w:t>, following residue and chain masking.</w:t>
      </w:r>
    </w:p>
    <w:p w14:paraId="1CEB78B3" w14:textId="77777777" w:rsidR="0087725A" w:rsidRDefault="0087725A" w:rsidP="002A32A9">
      <w:pPr>
        <w:rPr>
          <w:rFonts w:eastAsia="Times New Roman" w:cs="Times New Roman"/>
          <w:b/>
          <w:bCs/>
          <w:color w:val="000000"/>
          <w:szCs w:val="24"/>
          <w:lang w:eastAsia="zh-CN"/>
        </w:rPr>
      </w:pPr>
    </w:p>
    <w:p w14:paraId="62D50AFF" w14:textId="2668C8C8" w:rsidR="002A32A9" w:rsidRDefault="002A32A9" w:rsidP="002A32A9">
      <w:pPr>
        <w:rPr>
          <w:rFonts w:eastAsia="Times New Roman" w:cs="Times New Roman"/>
          <w:b/>
          <w:bCs/>
          <w:color w:val="000000"/>
          <w:szCs w:val="24"/>
          <w:lang w:eastAsia="zh-CN"/>
        </w:rPr>
      </w:pPr>
      <w:r w:rsidRPr="002A32A9">
        <w:rPr>
          <w:rFonts w:eastAsia="Times New Roman" w:cs="Times New Roman"/>
          <w:b/>
          <w:bCs/>
          <w:color w:val="000000"/>
          <w:szCs w:val="24"/>
          <w:lang w:eastAsia="zh-CN"/>
        </w:rPr>
        <w:t xml:space="preserve">Supplementary </w:t>
      </w:r>
      <w:r>
        <w:rPr>
          <w:rFonts w:eastAsia="Times New Roman" w:cs="Times New Roman"/>
          <w:b/>
          <w:bCs/>
          <w:color w:val="000000"/>
          <w:szCs w:val="24"/>
          <w:lang w:eastAsia="zh-CN"/>
        </w:rPr>
        <w:t>Figure 6</w:t>
      </w:r>
      <w:r w:rsidRPr="002A32A9">
        <w:rPr>
          <w:rFonts w:eastAsia="Times New Roman" w:cs="Times New Roman"/>
          <w:b/>
          <w:bCs/>
          <w:color w:val="000000"/>
          <w:szCs w:val="24"/>
          <w:lang w:eastAsia="zh-CN"/>
        </w:rPr>
        <w:t>. BLOSUM-50 (</w:t>
      </w:r>
      <w:proofErr w:type="spellStart"/>
      <w:r w:rsidRPr="002A32A9">
        <w:rPr>
          <w:rFonts w:eastAsia="Times New Roman" w:cs="Times New Roman"/>
          <w:b/>
          <w:bCs/>
          <w:color w:val="000000"/>
          <w:szCs w:val="24"/>
          <w:lang w:eastAsia="zh-CN"/>
        </w:rPr>
        <w:t>BLOcks</w:t>
      </w:r>
      <w:proofErr w:type="spellEnd"/>
      <w:r w:rsidRPr="002A32A9">
        <w:rPr>
          <w:rFonts w:eastAsia="Times New Roman" w:cs="Times New Roman"/>
          <w:b/>
          <w:bCs/>
          <w:color w:val="000000"/>
          <w:szCs w:val="24"/>
          <w:lang w:eastAsia="zh-CN"/>
        </w:rPr>
        <w:t xml:space="preserve"> </w:t>
      </w:r>
      <w:proofErr w:type="spellStart"/>
      <w:r w:rsidRPr="002A32A9">
        <w:rPr>
          <w:rFonts w:eastAsia="Times New Roman" w:cs="Times New Roman"/>
          <w:b/>
          <w:bCs/>
          <w:color w:val="000000"/>
          <w:szCs w:val="24"/>
          <w:lang w:eastAsia="zh-CN"/>
        </w:rPr>
        <w:t>SUbstitution</w:t>
      </w:r>
      <w:proofErr w:type="spellEnd"/>
      <w:r w:rsidRPr="002A32A9">
        <w:rPr>
          <w:rFonts w:eastAsia="Times New Roman" w:cs="Times New Roman"/>
          <w:b/>
          <w:bCs/>
          <w:color w:val="000000"/>
          <w:szCs w:val="24"/>
          <w:lang w:eastAsia="zh-CN"/>
        </w:rPr>
        <w:t xml:space="preserve"> Matrix) matrix of amino acids. </w:t>
      </w:r>
    </w:p>
    <w:p w14:paraId="52287423" w14:textId="128C66F5" w:rsidR="002A32A9" w:rsidRPr="002A32A9" w:rsidRDefault="002A32A9" w:rsidP="002A32A9">
      <w:pPr>
        <w:rPr>
          <w:rFonts w:eastAsia="Times New Roman" w:cs="Times New Roman"/>
          <w:szCs w:val="24"/>
          <w:lang w:eastAsia="zh-CN"/>
        </w:rPr>
      </w:pPr>
      <w:bookmarkStart w:id="1" w:name="_Hlk206768221"/>
      <w:r w:rsidRPr="002A32A9">
        <w:rPr>
          <w:rFonts w:eastAsia="Times New Roman" w:cs="Times New Roman"/>
          <w:color w:val="000000"/>
          <w:szCs w:val="24"/>
          <w:lang w:eastAsia="zh-CN"/>
        </w:rPr>
        <w:t xml:space="preserve">The BLOSUM-50 substitution matrix is </w:t>
      </w:r>
      <w:r>
        <w:rPr>
          <w:rFonts w:eastAsia="Times New Roman" w:cs="Times New Roman"/>
          <w:color w:val="000000"/>
          <w:szCs w:val="24"/>
          <w:lang w:eastAsia="zh-CN"/>
        </w:rPr>
        <w:t xml:space="preserve">shown </w:t>
      </w:r>
      <w:r w:rsidRPr="002A32A9">
        <w:rPr>
          <w:rFonts w:eastAsia="Times New Roman" w:cs="Times New Roman"/>
          <w:color w:val="000000"/>
          <w:szCs w:val="24"/>
          <w:lang w:eastAsia="zh-CN"/>
        </w:rPr>
        <w:fldChar w:fldCharType="begin"/>
      </w:r>
      <w:r w:rsidRPr="002A32A9">
        <w:rPr>
          <w:rFonts w:eastAsia="Times New Roman" w:cs="Times New Roman"/>
          <w:color w:val="000000"/>
          <w:szCs w:val="24"/>
          <w:lang w:eastAsia="zh-CN"/>
        </w:rPr>
        <w:instrText xml:space="preserve"> ADDIN ZOTERO_ITEM CSL_CITATION {"citationID":"jp58dhXR","properties":{"formattedCitation":"(19,20)","plainCitation":"(19,20)","noteIndex":0},"citationItems":[{"id":44,"uris":["http://zotero.org/users/local/ts3Tfi2r/items/UFH7SZXX"],"itemData":{"id":44,"type":"article-journal","abstract":"Methods for alignment of protein sequences typically measure similarity by using a substitution matrix with scores for all possible exchanges of one amino acid with another. The most widely used matrices are based on the Dayhoff model of evolutionary rates. Using a different approach, we have derived substitution matrices from about 2000 blocks of aligned sequence segments characterizing more than 500 groups of related proteins. This led to marked improvements in alignments and in searches using queries from each of the groups.","container-title":"Proceedings of the National Academy of Sciences of the United States of America","DOI":"10.1073/pnas.89.22.10915","ISSN":"0027-8424","issue":"22","journalAbbreviation":"Proc Natl Acad Sci U S A","language":"eng","note":"PMID: 1438297\nPMCID: PMC50453","page":"10915-10919","source":"PubMed","title":"Amino acid substitution matrices from protein blocks","volume":"89","author":[{"family":"Henikoff","given":"S."},{"family":"Henikoff","given":"J. G."}],"issued":{"date-parts":[["1992",11,15]]}}},{"id":179,"uris":["http://zotero.org/users/local/ts3Tfi2r/items/3PNBHFBK"],"itemData":{"id":179,"type":"paper-conference","abstract":"One of the most challenging tasks in sequence alignment is its repetitive and time-consuming alignment matrix computations. In addition, performing sequence alignment in hardware, i.e. FPGA requires more hardware resources as the number of processing elements is replicated to increase performance throughput. This paper first reviews the existing FPGA-based biological sequence alignment core architectures and then proposed an efficient scheduling strategy, the so-called overlap computation and configuration (OCC) towards realizing optimized biological sequence alignment core architecture targeting for pairwise sequence alignment. In this research work, double buffering-based core architecture have been proposed and implemented on Xilinx Virtex-5 FPGA. Results have shown that this approach gained more than 10K times speed-up as compared to the GPP solution.","container-title":"2014 IEEE REGION 10 SYMPOSIUM","DOI":"10.1109/TENCONSpring.2014.6862994","event-title":"2014 IEEE REGION 10 SYMPOSIUM","page":"39-44","source":"IEEE Xplore","title":"Biological sequence alignments: A review of hardware accelerators and a new PE computing strategy","title-short":"Biological sequence alignments","URL":"https://ieeexplore.ieee.org/document/6862994","author":[{"family":"Isa","given":"M. N."},{"family":"Ahmad","given":"M. I."},{"family":"Murad","given":"S. A. Z."},{"family":"Ismail","given":"R. C."},{"family":"Benkrid","given":"K."}],"accessed":{"date-parts":[["2025",8,22]]},"issued":{"date-parts":[["2014",4]]}}}],"schema":"https://github.com/citation-style-language/schema/raw/master/csl-citation.json"} </w:instrText>
      </w:r>
      <w:r w:rsidRPr="002A32A9">
        <w:rPr>
          <w:rFonts w:eastAsia="Times New Roman" w:cs="Times New Roman"/>
          <w:color w:val="000000"/>
          <w:szCs w:val="24"/>
          <w:lang w:eastAsia="zh-CN"/>
        </w:rPr>
        <w:fldChar w:fldCharType="separate"/>
      </w:r>
      <w:r w:rsidRPr="002A32A9">
        <w:rPr>
          <w:rFonts w:eastAsia="Times New Roman" w:cs="Times New Roman"/>
          <w:noProof/>
          <w:color w:val="000000"/>
          <w:szCs w:val="24"/>
          <w:lang w:eastAsia="zh-CN"/>
        </w:rPr>
        <w:t>(19,20)</w:t>
      </w:r>
      <w:r w:rsidRPr="002A32A9">
        <w:rPr>
          <w:rFonts w:eastAsia="Times New Roman" w:cs="Times New Roman"/>
          <w:color w:val="000000"/>
          <w:szCs w:val="24"/>
          <w:lang w:eastAsia="zh-CN"/>
        </w:rPr>
        <w:fldChar w:fldCharType="end"/>
      </w:r>
      <w:r w:rsidRPr="002A32A9">
        <w:rPr>
          <w:rFonts w:eastAsia="Times New Roman" w:cs="Times New Roman"/>
          <w:color w:val="000000"/>
          <w:szCs w:val="24"/>
          <w:lang w:eastAsia="zh-CN"/>
        </w:rPr>
        <w:t xml:space="preserve">. </w:t>
      </w:r>
    </w:p>
    <w:bookmarkEnd w:id="1"/>
    <w:p w14:paraId="6D4E9036" w14:textId="77777777" w:rsidR="0087725A" w:rsidRDefault="0087725A" w:rsidP="002A32A9">
      <w:pPr>
        <w:rPr>
          <w:rFonts w:eastAsia="Times New Roman" w:cs="Times New Roman"/>
          <w:b/>
          <w:bCs/>
          <w:color w:val="000000"/>
          <w:szCs w:val="24"/>
          <w:lang w:eastAsia="zh-CN"/>
        </w:rPr>
      </w:pPr>
    </w:p>
    <w:p w14:paraId="34E13F06" w14:textId="10822EEA" w:rsidR="002A32A9" w:rsidRDefault="002A32A9" w:rsidP="002A32A9">
      <w:pPr>
        <w:rPr>
          <w:rFonts w:eastAsia="Times New Roman" w:cs="Times New Roman"/>
          <w:b/>
          <w:bCs/>
          <w:color w:val="000000"/>
          <w:szCs w:val="24"/>
          <w:lang w:eastAsia="zh-CN"/>
        </w:rPr>
      </w:pPr>
      <w:r w:rsidRPr="002A32A9">
        <w:rPr>
          <w:rFonts w:eastAsia="Times New Roman" w:cs="Times New Roman"/>
          <w:b/>
          <w:bCs/>
          <w:color w:val="000000"/>
          <w:szCs w:val="24"/>
          <w:lang w:eastAsia="zh-CN"/>
        </w:rPr>
        <w:t xml:space="preserve">Supplementary </w:t>
      </w:r>
      <w:r>
        <w:rPr>
          <w:rFonts w:eastAsia="Times New Roman" w:cs="Times New Roman"/>
          <w:b/>
          <w:bCs/>
          <w:color w:val="000000"/>
          <w:szCs w:val="24"/>
          <w:lang w:eastAsia="zh-CN"/>
        </w:rPr>
        <w:t xml:space="preserve">Figure </w:t>
      </w:r>
      <w:r>
        <w:rPr>
          <w:rFonts w:eastAsia="Times New Roman" w:cs="Times New Roman"/>
          <w:b/>
          <w:bCs/>
          <w:color w:val="000000"/>
          <w:szCs w:val="24"/>
          <w:lang w:eastAsia="zh-CN"/>
        </w:rPr>
        <w:t>7</w:t>
      </w:r>
      <w:r w:rsidRPr="002A32A9">
        <w:rPr>
          <w:rFonts w:eastAsia="Times New Roman" w:cs="Times New Roman"/>
          <w:b/>
          <w:bCs/>
          <w:color w:val="000000"/>
          <w:szCs w:val="24"/>
          <w:lang w:eastAsia="zh-CN"/>
        </w:rPr>
        <w:t xml:space="preserve">. </w:t>
      </w:r>
      <w:r>
        <w:rPr>
          <w:rFonts w:eastAsia="Times New Roman" w:cs="Times New Roman"/>
          <w:b/>
          <w:bCs/>
          <w:color w:val="000000"/>
          <w:szCs w:val="24"/>
          <w:lang w:eastAsia="zh-CN"/>
        </w:rPr>
        <w:t>VHSE-8</w:t>
      </w:r>
      <w:r w:rsidRPr="002A32A9">
        <w:rPr>
          <w:rFonts w:eastAsia="Times New Roman" w:cs="Times New Roman"/>
          <w:b/>
          <w:bCs/>
          <w:color w:val="000000"/>
          <w:szCs w:val="24"/>
          <w:lang w:eastAsia="zh-CN"/>
        </w:rPr>
        <w:t xml:space="preserve"> (</w:t>
      </w:r>
      <w:r>
        <w:rPr>
          <w:rFonts w:eastAsia="Times New Roman" w:cs="Times New Roman"/>
          <w:b/>
          <w:bCs/>
          <w:color w:val="000000"/>
          <w:szCs w:val="24"/>
          <w:lang w:eastAsia="zh-CN"/>
        </w:rPr>
        <w:t xml:space="preserve">Vectors of Hydrophobic, Steric, and </w:t>
      </w:r>
      <w:proofErr w:type="gramStart"/>
      <w:r>
        <w:rPr>
          <w:rFonts w:eastAsia="Times New Roman" w:cs="Times New Roman"/>
          <w:b/>
          <w:bCs/>
          <w:color w:val="000000"/>
          <w:szCs w:val="24"/>
          <w:lang w:eastAsia="zh-CN"/>
        </w:rPr>
        <w:t>Electronic</w:t>
      </w:r>
      <w:proofErr w:type="gramEnd"/>
      <w:r>
        <w:rPr>
          <w:rFonts w:eastAsia="Times New Roman" w:cs="Times New Roman"/>
          <w:b/>
          <w:bCs/>
          <w:color w:val="000000"/>
          <w:szCs w:val="24"/>
          <w:lang w:eastAsia="zh-CN"/>
        </w:rPr>
        <w:t xml:space="preserve"> properties-8</w:t>
      </w:r>
      <w:r w:rsidRPr="002A32A9">
        <w:rPr>
          <w:rFonts w:eastAsia="Times New Roman" w:cs="Times New Roman"/>
          <w:b/>
          <w:bCs/>
          <w:color w:val="000000"/>
          <w:szCs w:val="24"/>
          <w:lang w:eastAsia="zh-CN"/>
        </w:rPr>
        <w:t>) matrix of amino acids. </w:t>
      </w:r>
    </w:p>
    <w:p w14:paraId="2458ACD9" w14:textId="3A000239" w:rsidR="002A32A9" w:rsidRPr="002A32A9" w:rsidRDefault="002A32A9" w:rsidP="002A32A9">
      <w:pPr>
        <w:rPr>
          <w:rFonts w:eastAsia="Times New Roman" w:cs="Times New Roman"/>
          <w:szCs w:val="24"/>
          <w:lang w:eastAsia="zh-CN"/>
        </w:rPr>
      </w:pPr>
      <w:r w:rsidRPr="002A32A9">
        <w:rPr>
          <w:rFonts w:eastAsia="Times New Roman" w:cs="Times New Roman"/>
          <w:color w:val="000000"/>
          <w:szCs w:val="24"/>
          <w:lang w:eastAsia="zh-CN"/>
        </w:rPr>
        <w:t xml:space="preserve">The </w:t>
      </w:r>
      <w:r>
        <w:rPr>
          <w:rFonts w:eastAsia="Times New Roman" w:cs="Times New Roman"/>
          <w:color w:val="000000"/>
          <w:szCs w:val="24"/>
          <w:lang w:eastAsia="zh-CN"/>
        </w:rPr>
        <w:t>VHSE-8</w:t>
      </w:r>
      <w:r w:rsidRPr="002A32A9">
        <w:rPr>
          <w:rFonts w:eastAsia="Times New Roman" w:cs="Times New Roman"/>
          <w:color w:val="000000"/>
          <w:szCs w:val="24"/>
          <w:lang w:eastAsia="zh-CN"/>
        </w:rPr>
        <w:t xml:space="preserve"> matrix </w:t>
      </w:r>
      <w:r>
        <w:rPr>
          <w:rFonts w:eastAsia="Times New Roman" w:cs="Times New Roman"/>
          <w:color w:val="000000"/>
          <w:szCs w:val="24"/>
          <w:lang w:eastAsia="zh-CN"/>
        </w:rPr>
        <w:t xml:space="preserve">of amino acid descriptor </w:t>
      </w:r>
      <w:r w:rsidRPr="002A32A9">
        <w:rPr>
          <w:rFonts w:eastAsia="Times New Roman" w:cs="Times New Roman"/>
          <w:color w:val="000000"/>
          <w:szCs w:val="24"/>
          <w:lang w:eastAsia="zh-CN"/>
        </w:rPr>
        <w:t xml:space="preserve">is </w:t>
      </w:r>
      <w:r>
        <w:rPr>
          <w:rFonts w:eastAsia="Times New Roman" w:cs="Times New Roman"/>
          <w:color w:val="000000"/>
          <w:szCs w:val="24"/>
          <w:lang w:eastAsia="zh-CN"/>
        </w:rPr>
        <w:t xml:space="preserve">shown </w:t>
      </w:r>
      <w:r>
        <w:rPr>
          <w:rFonts w:eastAsia="Times New Roman" w:cs="Times New Roman"/>
          <w:color w:val="000000"/>
          <w:szCs w:val="24"/>
          <w:lang w:eastAsia="zh-CN"/>
        </w:rPr>
        <w:fldChar w:fldCharType="begin"/>
      </w:r>
      <w:r>
        <w:rPr>
          <w:rFonts w:eastAsia="Times New Roman" w:cs="Times New Roman"/>
          <w:color w:val="000000"/>
          <w:szCs w:val="24"/>
          <w:lang w:eastAsia="zh-CN"/>
        </w:rPr>
        <w:instrText xml:space="preserve"> ADDIN ZOTERO_ITEM CSL_CITATION {"citationID":"gMtLIfgi","properties":{"formattedCitation":"(21)","plainCitation":"(21)","noteIndex":0},"citationItems":[{"id":61,"uris":["http://zotero.org/users/local/ts3Tfi2r/items/Z6SN26H2"],"itemData":{"id":61,"type":"article-journal","abstract":"In this work, a new set of amino acid descriptors, i.e., VHSE (principal components score Vectors of Hydrophobic, Steric, and Electronic properties), is derived from principal components analysis (PCA) on independent families of 18 hydrophobic properties, 17 steric properties, and 15 electronic properties, respectively, which are included in total 50 physicochemical variables of 20 coded amino acids. Using the stepwise multiple regression (SMR) method combined with partial least squares (PLS), the VHSE scales are then applied to QSAR studies of bitter-tasting dipeptides (BTD), angiotensin-converting enzyme (ACE) inhibitors, and bradykinin-potentiating pentapeptides (BPP). To validate the predictive power of resulting models, external validation are also performed. A comparison of the results to those obtained with z scores and other two-dimensional (2D) or three-dimensional(3D) descriptors shows that the VHSE scales are comparable for parameterizing the structural variability of the peptide series.","container-title":"Biopolymers","DOI":"10.1002/bip.20296","ISSN":"0006-3525","issue":"6","journalAbbreviation":"Biopolymers","language":"eng","note":"PMID: 15895431","page":"775-786","source":"PubMed","title":"A new set of amino acid descriptors and its application in peptide QSARs","volume":"80","author":[{"family":"Mei","given":"Hu"},{"family":"Liao","given":"Zhi H."},{"family":"Zhou","given":"Yuan"},{"family":"Li","given":"Shengshi Z."}],"issued":{"date-parts":[["2005"]]}}}],"schema":"https://github.com/citation-style-language/schema/raw/master/csl-citation.json"} </w:instrText>
      </w:r>
      <w:r>
        <w:rPr>
          <w:rFonts w:eastAsia="Times New Roman" w:cs="Times New Roman"/>
          <w:color w:val="000000"/>
          <w:szCs w:val="24"/>
          <w:lang w:eastAsia="zh-CN"/>
        </w:rPr>
        <w:fldChar w:fldCharType="separate"/>
      </w:r>
      <w:r>
        <w:rPr>
          <w:rFonts w:eastAsia="Times New Roman" w:cs="Times New Roman"/>
          <w:noProof/>
          <w:color w:val="000000"/>
          <w:szCs w:val="24"/>
          <w:lang w:eastAsia="zh-CN"/>
        </w:rPr>
        <w:t>(21)</w:t>
      </w:r>
      <w:r>
        <w:rPr>
          <w:rFonts w:eastAsia="Times New Roman" w:cs="Times New Roman"/>
          <w:color w:val="000000"/>
          <w:szCs w:val="24"/>
          <w:lang w:eastAsia="zh-CN"/>
        </w:rPr>
        <w:fldChar w:fldCharType="end"/>
      </w:r>
      <w:r>
        <w:rPr>
          <w:rFonts w:eastAsia="Times New Roman" w:cs="Times New Roman"/>
          <w:color w:val="000000"/>
          <w:szCs w:val="24"/>
          <w:lang w:eastAsia="zh-CN"/>
        </w:rPr>
        <w:t xml:space="preserve">. </w:t>
      </w:r>
    </w:p>
    <w:p w14:paraId="58F1AED1" w14:textId="77777777" w:rsidR="00DE23E8" w:rsidRDefault="00DE23E8" w:rsidP="002115DF"/>
    <w:p w14:paraId="24F8780F" w14:textId="50CCFA9D" w:rsidR="00212C3C" w:rsidRPr="00F82199" w:rsidRDefault="00F82199" w:rsidP="002115DF">
      <w:pPr>
        <w:rPr>
          <w:b/>
          <w:bCs/>
        </w:rPr>
      </w:pPr>
      <w:r w:rsidRPr="00F82199">
        <w:rPr>
          <w:b/>
          <w:bCs/>
        </w:rPr>
        <w:t>3</w:t>
      </w:r>
      <w:r w:rsidRPr="00F82199">
        <w:rPr>
          <w:b/>
          <w:bCs/>
        </w:rPr>
        <w:tab/>
        <w:t>Supplementary References</w:t>
      </w:r>
    </w:p>
    <w:p w14:paraId="547DF228" w14:textId="77777777" w:rsidR="002A32A9" w:rsidRPr="002A32A9" w:rsidRDefault="00212C3C" w:rsidP="002A32A9">
      <w:pPr>
        <w:pStyle w:val="Bibliography"/>
        <w:rPr>
          <w:rFonts w:cs="Times New Roman"/>
        </w:rPr>
      </w:pPr>
      <w:r>
        <w:fldChar w:fldCharType="begin"/>
      </w:r>
      <w:r w:rsidR="00EE530E">
        <w:instrText xml:space="preserve"> ADDIN ZOTERO_BIBL {"uncited":[],"omitted":[],"custom":[]} CSL_BIBLIOGRAPHY </w:instrText>
      </w:r>
      <w:r>
        <w:fldChar w:fldCharType="separate"/>
      </w:r>
      <w:r w:rsidR="002A32A9" w:rsidRPr="002A32A9">
        <w:rPr>
          <w:rFonts w:cs="Times New Roman"/>
        </w:rPr>
        <w:t>1.</w:t>
      </w:r>
      <w:r w:rsidR="002A32A9" w:rsidRPr="002A32A9">
        <w:rPr>
          <w:rFonts w:cs="Times New Roman"/>
        </w:rPr>
        <w:tab/>
        <w:t xml:space="preserve">Ding YH, Smith KJ, </w:t>
      </w:r>
      <w:proofErr w:type="spellStart"/>
      <w:r w:rsidR="002A32A9" w:rsidRPr="002A32A9">
        <w:rPr>
          <w:rFonts w:cs="Times New Roman"/>
        </w:rPr>
        <w:t>Garboczi</w:t>
      </w:r>
      <w:proofErr w:type="spellEnd"/>
      <w:r w:rsidR="002A32A9" w:rsidRPr="002A32A9">
        <w:rPr>
          <w:rFonts w:cs="Times New Roman"/>
        </w:rPr>
        <w:t xml:space="preserve"> DN, Utz U, Biddison WE, Wiley DC. Two human T cell receptors bind in a similar diagonal mode to the HLA-A2/Tax peptide complex using different TCR amino acids. Immunity. 1998 Apr;8(4):403–11. </w:t>
      </w:r>
    </w:p>
    <w:p w14:paraId="7EBFDD6A" w14:textId="77777777" w:rsidR="002A32A9" w:rsidRPr="002A32A9" w:rsidRDefault="002A32A9" w:rsidP="002A32A9">
      <w:pPr>
        <w:pStyle w:val="Bibliography"/>
        <w:rPr>
          <w:rFonts w:cs="Times New Roman"/>
        </w:rPr>
      </w:pPr>
      <w:r w:rsidRPr="002A32A9">
        <w:rPr>
          <w:rFonts w:cs="Times New Roman"/>
        </w:rPr>
        <w:t>2.</w:t>
      </w:r>
      <w:r w:rsidRPr="002A32A9">
        <w:rPr>
          <w:rFonts w:cs="Times New Roman"/>
        </w:rPr>
        <w:tab/>
      </w:r>
      <w:proofErr w:type="spellStart"/>
      <w:r w:rsidRPr="002A32A9">
        <w:rPr>
          <w:rFonts w:cs="Times New Roman"/>
        </w:rPr>
        <w:t>Garboczi</w:t>
      </w:r>
      <w:proofErr w:type="spellEnd"/>
      <w:r w:rsidRPr="002A32A9">
        <w:rPr>
          <w:rFonts w:cs="Times New Roman"/>
        </w:rPr>
        <w:t xml:space="preserve"> DN, Ghosh P, Utz U, Fan QR, Biddison WE, Wiley DC. Structure of the complex between human T-cell receptor, viral peptide and HLA-A2. Nature. 1996 Nov 14;384(6605):134–41. </w:t>
      </w:r>
    </w:p>
    <w:p w14:paraId="219E3980" w14:textId="77777777" w:rsidR="002A32A9" w:rsidRPr="002A32A9" w:rsidRDefault="002A32A9" w:rsidP="002A32A9">
      <w:pPr>
        <w:pStyle w:val="Bibliography"/>
        <w:rPr>
          <w:rFonts w:cs="Times New Roman"/>
        </w:rPr>
      </w:pPr>
      <w:r w:rsidRPr="002A32A9">
        <w:rPr>
          <w:rFonts w:cs="Times New Roman"/>
        </w:rPr>
        <w:t>3.</w:t>
      </w:r>
      <w:r w:rsidRPr="002A32A9">
        <w:rPr>
          <w:rFonts w:cs="Times New Roman"/>
        </w:rPr>
        <w:tab/>
        <w:t xml:space="preserve">Hausmann S, Biddison WE, Smith KJ, Ding YH, </w:t>
      </w:r>
      <w:proofErr w:type="spellStart"/>
      <w:r w:rsidRPr="002A32A9">
        <w:rPr>
          <w:rFonts w:cs="Times New Roman"/>
        </w:rPr>
        <w:t>Garboczi</w:t>
      </w:r>
      <w:proofErr w:type="spellEnd"/>
      <w:r w:rsidRPr="002A32A9">
        <w:rPr>
          <w:rFonts w:cs="Times New Roman"/>
        </w:rPr>
        <w:t xml:space="preserve"> DN, Utz U, et al. Peptide recognition by two HLA-A2/Tax11-19-specific T cell clones in relationship to their MHC/peptide/TCR crystal structures. J Immunol </w:t>
      </w:r>
      <w:proofErr w:type="spellStart"/>
      <w:r w:rsidRPr="002A32A9">
        <w:rPr>
          <w:rFonts w:cs="Times New Roman"/>
        </w:rPr>
        <w:t>Baltim</w:t>
      </w:r>
      <w:proofErr w:type="spellEnd"/>
      <w:r w:rsidRPr="002A32A9">
        <w:rPr>
          <w:rFonts w:cs="Times New Roman"/>
        </w:rPr>
        <w:t xml:space="preserve"> Md 1950. 1999 May 1;162(9):5389–97. </w:t>
      </w:r>
    </w:p>
    <w:p w14:paraId="4E109F11" w14:textId="77777777" w:rsidR="002A32A9" w:rsidRPr="002A32A9" w:rsidRDefault="002A32A9" w:rsidP="002A32A9">
      <w:pPr>
        <w:pStyle w:val="Bibliography"/>
        <w:rPr>
          <w:rFonts w:cs="Times New Roman"/>
        </w:rPr>
      </w:pPr>
      <w:r w:rsidRPr="002A32A9">
        <w:rPr>
          <w:rFonts w:cs="Times New Roman"/>
        </w:rPr>
        <w:t>4.</w:t>
      </w:r>
      <w:r w:rsidRPr="002A32A9">
        <w:rPr>
          <w:rFonts w:cs="Times New Roman"/>
        </w:rPr>
        <w:tab/>
        <w:t xml:space="preserve">Aggen DH, Chervin AS, </w:t>
      </w:r>
      <w:proofErr w:type="spellStart"/>
      <w:r w:rsidRPr="002A32A9">
        <w:rPr>
          <w:rFonts w:cs="Times New Roman"/>
        </w:rPr>
        <w:t>Insaidoo</w:t>
      </w:r>
      <w:proofErr w:type="spellEnd"/>
      <w:r w:rsidRPr="002A32A9">
        <w:rPr>
          <w:rFonts w:cs="Times New Roman"/>
        </w:rPr>
        <w:t xml:space="preserve"> FK, Piepenbrink KH, Baker BM, Kranz DM. Identification and engineering of human variable regions that allow expression of stable single-chain T cell receptors. Protein Eng Des Sel PEDS. 2011 Apr;24(4):361–72. </w:t>
      </w:r>
    </w:p>
    <w:p w14:paraId="6EB33886" w14:textId="77777777" w:rsidR="002A32A9" w:rsidRPr="002A32A9" w:rsidRDefault="002A32A9" w:rsidP="002A32A9">
      <w:pPr>
        <w:pStyle w:val="Bibliography"/>
        <w:rPr>
          <w:rFonts w:cs="Times New Roman"/>
        </w:rPr>
      </w:pPr>
      <w:r w:rsidRPr="002A32A9">
        <w:rPr>
          <w:rFonts w:cs="Times New Roman"/>
        </w:rPr>
        <w:lastRenderedPageBreak/>
        <w:t>5.</w:t>
      </w:r>
      <w:r w:rsidRPr="002A32A9">
        <w:rPr>
          <w:rFonts w:cs="Times New Roman"/>
        </w:rPr>
        <w:tab/>
        <w:t xml:space="preserve">Zhang L, Hernan R, Brizzard B. Multiple tandem </w:t>
      </w:r>
      <w:proofErr w:type="gramStart"/>
      <w:r w:rsidRPr="002A32A9">
        <w:rPr>
          <w:rFonts w:cs="Times New Roman"/>
        </w:rPr>
        <w:t>epitope</w:t>
      </w:r>
      <w:proofErr w:type="gramEnd"/>
      <w:r w:rsidRPr="002A32A9">
        <w:rPr>
          <w:rFonts w:cs="Times New Roman"/>
        </w:rPr>
        <w:t xml:space="preserve"> tagging for enhanced detection of protein expressed in mammalian cells. Mol </w:t>
      </w:r>
      <w:proofErr w:type="spellStart"/>
      <w:r w:rsidRPr="002A32A9">
        <w:rPr>
          <w:rFonts w:cs="Times New Roman"/>
        </w:rPr>
        <w:t>Biotechnol</w:t>
      </w:r>
      <w:proofErr w:type="spellEnd"/>
      <w:r w:rsidRPr="002A32A9">
        <w:rPr>
          <w:rFonts w:cs="Times New Roman"/>
        </w:rPr>
        <w:t xml:space="preserve">. 2001 Nov;19(3):313–21. </w:t>
      </w:r>
    </w:p>
    <w:p w14:paraId="6C8C555A" w14:textId="77777777" w:rsidR="002A32A9" w:rsidRPr="002A32A9" w:rsidRDefault="002A32A9" w:rsidP="002A32A9">
      <w:pPr>
        <w:pStyle w:val="Bibliography"/>
        <w:rPr>
          <w:rFonts w:cs="Times New Roman"/>
        </w:rPr>
      </w:pPr>
      <w:r w:rsidRPr="002A32A9">
        <w:rPr>
          <w:rFonts w:cs="Times New Roman"/>
        </w:rPr>
        <w:t>6.</w:t>
      </w:r>
      <w:r w:rsidRPr="002A32A9">
        <w:rPr>
          <w:rFonts w:cs="Times New Roman"/>
        </w:rPr>
        <w:tab/>
        <w:t xml:space="preserve">Hopp TP, Prickett KS, Price VL, Libby RT, March CJ, Pat </w:t>
      </w:r>
      <w:proofErr w:type="spellStart"/>
      <w:r w:rsidRPr="002A32A9">
        <w:rPr>
          <w:rFonts w:cs="Times New Roman"/>
        </w:rPr>
        <w:t>Cerretti</w:t>
      </w:r>
      <w:proofErr w:type="spellEnd"/>
      <w:r w:rsidRPr="002A32A9">
        <w:rPr>
          <w:rFonts w:cs="Times New Roman"/>
        </w:rPr>
        <w:t xml:space="preserve"> D, et al. A Short Polypeptide Marker Sequence Useful for Recombinant Protein Identification and Purification. Bio/Technology. 1988 Oct;6(10):1204–10. </w:t>
      </w:r>
    </w:p>
    <w:p w14:paraId="5EB35475" w14:textId="77777777" w:rsidR="002A32A9" w:rsidRPr="002A32A9" w:rsidRDefault="002A32A9" w:rsidP="002A32A9">
      <w:pPr>
        <w:pStyle w:val="Bibliography"/>
        <w:rPr>
          <w:rFonts w:cs="Times New Roman"/>
        </w:rPr>
      </w:pPr>
      <w:r w:rsidRPr="002A32A9">
        <w:rPr>
          <w:rFonts w:cs="Times New Roman"/>
        </w:rPr>
        <w:t>7.</w:t>
      </w:r>
      <w:r w:rsidRPr="002A32A9">
        <w:rPr>
          <w:rFonts w:cs="Times New Roman"/>
        </w:rPr>
        <w:tab/>
        <w:t xml:space="preserve">Van Deventer JA, Kelly RL, Rajan S, Wittrup KD, Sidhu SS. A switchable yeast display/secretion system. Protein Eng Des Sel PEDS. 2015 Oct;28(10):317–25. </w:t>
      </w:r>
    </w:p>
    <w:p w14:paraId="20BBE299" w14:textId="77777777" w:rsidR="002A32A9" w:rsidRPr="002A32A9" w:rsidRDefault="002A32A9" w:rsidP="002A32A9">
      <w:pPr>
        <w:pStyle w:val="Bibliography"/>
        <w:rPr>
          <w:rFonts w:cs="Times New Roman"/>
        </w:rPr>
      </w:pPr>
      <w:r w:rsidRPr="002A32A9">
        <w:rPr>
          <w:rFonts w:cs="Times New Roman"/>
        </w:rPr>
        <w:t>8.</w:t>
      </w:r>
      <w:r w:rsidRPr="002A32A9">
        <w:rPr>
          <w:rFonts w:cs="Times New Roman"/>
        </w:rPr>
        <w:tab/>
        <w:t xml:space="preserve">Van Deventer JA, Wittrup KD. Yeast surface display for antibody isolation: library construction, library screening, and affinity maturation. Methods Mol Biol Clifton NJ. </w:t>
      </w:r>
      <w:proofErr w:type="gramStart"/>
      <w:r w:rsidRPr="002A32A9">
        <w:rPr>
          <w:rFonts w:cs="Times New Roman"/>
        </w:rPr>
        <w:t>2014;1131:151</w:t>
      </w:r>
      <w:proofErr w:type="gramEnd"/>
      <w:r w:rsidRPr="002A32A9">
        <w:rPr>
          <w:rFonts w:cs="Times New Roman"/>
        </w:rPr>
        <w:t xml:space="preserve">–81. </w:t>
      </w:r>
    </w:p>
    <w:p w14:paraId="62F0D61B" w14:textId="77777777" w:rsidR="002A32A9" w:rsidRPr="002A32A9" w:rsidRDefault="002A32A9" w:rsidP="002A32A9">
      <w:pPr>
        <w:pStyle w:val="Bibliography"/>
        <w:rPr>
          <w:rFonts w:cs="Times New Roman"/>
        </w:rPr>
      </w:pPr>
      <w:r w:rsidRPr="002A32A9">
        <w:rPr>
          <w:rFonts w:cs="Times New Roman"/>
        </w:rPr>
        <w:t>9.</w:t>
      </w:r>
      <w:r w:rsidRPr="002A32A9">
        <w:rPr>
          <w:rFonts w:cs="Times New Roman"/>
        </w:rPr>
        <w:tab/>
        <w:t xml:space="preserve">Chao G, Lau WL, Hackel BJ, </w:t>
      </w:r>
      <w:proofErr w:type="spellStart"/>
      <w:r w:rsidRPr="002A32A9">
        <w:rPr>
          <w:rFonts w:cs="Times New Roman"/>
        </w:rPr>
        <w:t>Sazinsky</w:t>
      </w:r>
      <w:proofErr w:type="spellEnd"/>
      <w:r w:rsidRPr="002A32A9">
        <w:rPr>
          <w:rFonts w:cs="Times New Roman"/>
        </w:rPr>
        <w:t xml:space="preserve"> SL, </w:t>
      </w:r>
      <w:proofErr w:type="spellStart"/>
      <w:r w:rsidRPr="002A32A9">
        <w:rPr>
          <w:rFonts w:cs="Times New Roman"/>
        </w:rPr>
        <w:t>Lippow</w:t>
      </w:r>
      <w:proofErr w:type="spellEnd"/>
      <w:r w:rsidRPr="002A32A9">
        <w:rPr>
          <w:rFonts w:cs="Times New Roman"/>
        </w:rPr>
        <w:t xml:space="preserve"> SM, Wittrup KD. Isolating and engineering human antibodies using yeast surface display. Nat </w:t>
      </w:r>
      <w:proofErr w:type="spellStart"/>
      <w:r w:rsidRPr="002A32A9">
        <w:rPr>
          <w:rFonts w:cs="Times New Roman"/>
        </w:rPr>
        <w:t>Protoc</w:t>
      </w:r>
      <w:proofErr w:type="spellEnd"/>
      <w:r w:rsidRPr="002A32A9">
        <w:rPr>
          <w:rFonts w:cs="Times New Roman"/>
        </w:rPr>
        <w:t xml:space="preserve">. 2006;1(2):755–68. </w:t>
      </w:r>
    </w:p>
    <w:p w14:paraId="4C52B16F" w14:textId="77777777" w:rsidR="002A32A9" w:rsidRPr="002A32A9" w:rsidRDefault="002A32A9" w:rsidP="002A32A9">
      <w:pPr>
        <w:pStyle w:val="Bibliography"/>
        <w:rPr>
          <w:rFonts w:cs="Times New Roman"/>
        </w:rPr>
      </w:pPr>
      <w:r w:rsidRPr="002A32A9">
        <w:rPr>
          <w:rFonts w:cs="Times New Roman"/>
        </w:rPr>
        <w:t>10.</w:t>
      </w:r>
      <w:r w:rsidRPr="002A32A9">
        <w:rPr>
          <w:rFonts w:cs="Times New Roman"/>
        </w:rPr>
        <w:tab/>
        <w:t xml:space="preserve">Adams JJ, Narayanan S, Liu B, Birnbaum ME, Kruse A, Bowerman NA, et al. T cell receptor signaling is limited by docking geometry to peptide-Major Histocompatibility Complex. Immunity. 2011 Nov 23;35(5):681–93. </w:t>
      </w:r>
    </w:p>
    <w:p w14:paraId="1B6DD12F" w14:textId="77777777" w:rsidR="002A32A9" w:rsidRPr="002A32A9" w:rsidRDefault="002A32A9" w:rsidP="002A32A9">
      <w:pPr>
        <w:pStyle w:val="Bibliography"/>
        <w:rPr>
          <w:rFonts w:cs="Times New Roman"/>
        </w:rPr>
      </w:pPr>
      <w:r w:rsidRPr="002A32A9">
        <w:rPr>
          <w:rFonts w:cs="Times New Roman"/>
        </w:rPr>
        <w:t>11.</w:t>
      </w:r>
      <w:r w:rsidRPr="002A32A9">
        <w:rPr>
          <w:rFonts w:cs="Times New Roman"/>
        </w:rPr>
        <w:tab/>
        <w:t xml:space="preserve">Smith SN, Wang Y, Baylon JL, Singh NK, Baker BM, </w:t>
      </w:r>
      <w:proofErr w:type="spellStart"/>
      <w:r w:rsidRPr="002A32A9">
        <w:rPr>
          <w:rFonts w:cs="Times New Roman"/>
        </w:rPr>
        <w:t>Tajkhorshid</w:t>
      </w:r>
      <w:proofErr w:type="spellEnd"/>
      <w:r w:rsidRPr="002A32A9">
        <w:rPr>
          <w:rFonts w:cs="Times New Roman"/>
        </w:rPr>
        <w:t xml:space="preserve"> E, et al. Changing the peptide specificity of a human T-cell receptor by directed evolution. Nat Commun. 2014 Nov </w:t>
      </w:r>
      <w:proofErr w:type="gramStart"/>
      <w:r w:rsidRPr="002A32A9">
        <w:rPr>
          <w:rFonts w:cs="Times New Roman"/>
        </w:rPr>
        <w:t>7;5:5223</w:t>
      </w:r>
      <w:proofErr w:type="gramEnd"/>
      <w:r w:rsidRPr="002A32A9">
        <w:rPr>
          <w:rFonts w:cs="Times New Roman"/>
        </w:rPr>
        <w:t xml:space="preserve">. </w:t>
      </w:r>
    </w:p>
    <w:p w14:paraId="5EFEB417" w14:textId="77777777" w:rsidR="002A32A9" w:rsidRPr="002A32A9" w:rsidRDefault="002A32A9" w:rsidP="002A32A9">
      <w:pPr>
        <w:pStyle w:val="Bibliography"/>
        <w:rPr>
          <w:rFonts w:cs="Times New Roman"/>
        </w:rPr>
      </w:pPr>
      <w:r w:rsidRPr="002A32A9">
        <w:rPr>
          <w:rFonts w:cs="Times New Roman"/>
        </w:rPr>
        <w:t>12.</w:t>
      </w:r>
      <w:r w:rsidRPr="002A32A9">
        <w:rPr>
          <w:rFonts w:cs="Times New Roman"/>
        </w:rPr>
        <w:tab/>
        <w:t>Fischer DS, Wu Y, Schubert B, Theis FJ. Predicting antigen specificity of single T cells based on TCR CDR3 regions. Mol Syst Biol. 2020 Aug;16(8</w:t>
      </w:r>
      <w:proofErr w:type="gramStart"/>
      <w:r w:rsidRPr="002A32A9">
        <w:rPr>
          <w:rFonts w:cs="Times New Roman"/>
        </w:rPr>
        <w:t>):e</w:t>
      </w:r>
      <w:proofErr w:type="gramEnd"/>
      <w:r w:rsidRPr="002A32A9">
        <w:rPr>
          <w:rFonts w:cs="Times New Roman"/>
        </w:rPr>
        <w:t xml:space="preserve">9416. </w:t>
      </w:r>
    </w:p>
    <w:p w14:paraId="6C4FC326" w14:textId="77777777" w:rsidR="002A32A9" w:rsidRPr="002A32A9" w:rsidRDefault="002A32A9" w:rsidP="002A32A9">
      <w:pPr>
        <w:pStyle w:val="Bibliography"/>
        <w:rPr>
          <w:rFonts w:cs="Times New Roman"/>
        </w:rPr>
      </w:pPr>
      <w:r w:rsidRPr="002A32A9">
        <w:rPr>
          <w:rFonts w:cs="Times New Roman"/>
        </w:rPr>
        <w:t>13.</w:t>
      </w:r>
      <w:r w:rsidRPr="002A32A9">
        <w:rPr>
          <w:rFonts w:cs="Times New Roman"/>
        </w:rPr>
        <w:tab/>
        <w:t xml:space="preserve">Springer I, </w:t>
      </w:r>
      <w:proofErr w:type="spellStart"/>
      <w:r w:rsidRPr="002A32A9">
        <w:rPr>
          <w:rFonts w:cs="Times New Roman"/>
        </w:rPr>
        <w:t>Tickotsky</w:t>
      </w:r>
      <w:proofErr w:type="spellEnd"/>
      <w:r w:rsidRPr="002A32A9">
        <w:rPr>
          <w:rFonts w:cs="Times New Roman"/>
        </w:rPr>
        <w:t xml:space="preserve"> N, </w:t>
      </w:r>
      <w:proofErr w:type="spellStart"/>
      <w:r w:rsidRPr="002A32A9">
        <w:rPr>
          <w:rFonts w:cs="Times New Roman"/>
        </w:rPr>
        <w:t>Louzoun</w:t>
      </w:r>
      <w:proofErr w:type="spellEnd"/>
      <w:r w:rsidRPr="002A32A9">
        <w:rPr>
          <w:rFonts w:cs="Times New Roman"/>
        </w:rPr>
        <w:t xml:space="preserve"> Y. Contribution of T Cell Receptor Alpha and Beta CDR3, MHC Typing, V and J Genes to Peptide Binding Prediction. Front Immunol. </w:t>
      </w:r>
      <w:proofErr w:type="gramStart"/>
      <w:r w:rsidRPr="002A32A9">
        <w:rPr>
          <w:rFonts w:cs="Times New Roman"/>
        </w:rPr>
        <w:t>2021;12:664514</w:t>
      </w:r>
      <w:proofErr w:type="gramEnd"/>
      <w:r w:rsidRPr="002A32A9">
        <w:rPr>
          <w:rFonts w:cs="Times New Roman"/>
        </w:rPr>
        <w:t xml:space="preserve">. </w:t>
      </w:r>
    </w:p>
    <w:p w14:paraId="4AFE7F1E" w14:textId="77777777" w:rsidR="002A32A9" w:rsidRPr="002A32A9" w:rsidRDefault="002A32A9" w:rsidP="002A32A9">
      <w:pPr>
        <w:pStyle w:val="Bibliography"/>
        <w:rPr>
          <w:rFonts w:cs="Times New Roman"/>
        </w:rPr>
      </w:pPr>
      <w:r w:rsidRPr="002A32A9">
        <w:rPr>
          <w:rFonts w:cs="Times New Roman"/>
        </w:rPr>
        <w:t>14.</w:t>
      </w:r>
      <w:r w:rsidRPr="002A32A9">
        <w:rPr>
          <w:rFonts w:cs="Times New Roman"/>
        </w:rPr>
        <w:tab/>
        <w:t xml:space="preserve">Hansen TH, Connolly JM, Gould KG, Fremont DH. Basic and translational applications of engineered MHC class I proteins. Trends Immunol. 2010 Oct;31(10):363–9. </w:t>
      </w:r>
    </w:p>
    <w:p w14:paraId="205F748C" w14:textId="77777777" w:rsidR="002A32A9" w:rsidRPr="002A32A9" w:rsidRDefault="002A32A9" w:rsidP="002A32A9">
      <w:pPr>
        <w:pStyle w:val="Bibliography"/>
        <w:rPr>
          <w:rFonts w:cs="Times New Roman"/>
        </w:rPr>
      </w:pPr>
      <w:r w:rsidRPr="002A32A9">
        <w:rPr>
          <w:rFonts w:cs="Times New Roman"/>
        </w:rPr>
        <w:t>15.</w:t>
      </w:r>
      <w:r w:rsidRPr="002A32A9">
        <w:rPr>
          <w:rFonts w:cs="Times New Roman"/>
        </w:rPr>
        <w:tab/>
        <w:t xml:space="preserve">Fairhead M, Howarth M. Site-specific </w:t>
      </w:r>
      <w:proofErr w:type="spellStart"/>
      <w:r w:rsidRPr="002A32A9">
        <w:rPr>
          <w:rFonts w:cs="Times New Roman"/>
        </w:rPr>
        <w:t>biotinylation</w:t>
      </w:r>
      <w:proofErr w:type="spellEnd"/>
      <w:r w:rsidRPr="002A32A9">
        <w:rPr>
          <w:rFonts w:cs="Times New Roman"/>
        </w:rPr>
        <w:t xml:space="preserve"> of purified proteins using </w:t>
      </w:r>
      <w:proofErr w:type="spellStart"/>
      <w:r w:rsidRPr="002A32A9">
        <w:rPr>
          <w:rFonts w:cs="Times New Roman"/>
        </w:rPr>
        <w:t>BirA</w:t>
      </w:r>
      <w:proofErr w:type="spellEnd"/>
      <w:r w:rsidRPr="002A32A9">
        <w:rPr>
          <w:rFonts w:cs="Times New Roman"/>
        </w:rPr>
        <w:t xml:space="preserve">. Methods Mol Biol Clifton NJ. </w:t>
      </w:r>
      <w:proofErr w:type="gramStart"/>
      <w:r w:rsidRPr="002A32A9">
        <w:rPr>
          <w:rFonts w:cs="Times New Roman"/>
        </w:rPr>
        <w:t>2015;1266:171</w:t>
      </w:r>
      <w:proofErr w:type="gramEnd"/>
      <w:r w:rsidRPr="002A32A9">
        <w:rPr>
          <w:rFonts w:cs="Times New Roman"/>
        </w:rPr>
        <w:t xml:space="preserve">–84. </w:t>
      </w:r>
    </w:p>
    <w:p w14:paraId="0906DFC0" w14:textId="77777777" w:rsidR="002A32A9" w:rsidRPr="002A32A9" w:rsidRDefault="002A32A9" w:rsidP="002A32A9">
      <w:pPr>
        <w:pStyle w:val="Bibliography"/>
        <w:rPr>
          <w:rFonts w:cs="Times New Roman"/>
        </w:rPr>
      </w:pPr>
      <w:r w:rsidRPr="002A32A9">
        <w:rPr>
          <w:rFonts w:cs="Times New Roman"/>
        </w:rPr>
        <w:t>16.</w:t>
      </w:r>
      <w:r w:rsidRPr="002A32A9">
        <w:rPr>
          <w:rFonts w:cs="Times New Roman"/>
        </w:rPr>
        <w:tab/>
        <w:t xml:space="preserve">Schmitz J, Petrasch S, van </w:t>
      </w:r>
      <w:proofErr w:type="spellStart"/>
      <w:r w:rsidRPr="002A32A9">
        <w:rPr>
          <w:rFonts w:cs="Times New Roman"/>
        </w:rPr>
        <w:t>Lunzen</w:t>
      </w:r>
      <w:proofErr w:type="spellEnd"/>
      <w:r w:rsidRPr="002A32A9">
        <w:rPr>
          <w:rFonts w:cs="Times New Roman"/>
        </w:rPr>
        <w:t xml:space="preserve"> J, Racz P, Kleine HD, </w:t>
      </w:r>
      <w:proofErr w:type="spellStart"/>
      <w:r w:rsidRPr="002A32A9">
        <w:rPr>
          <w:rFonts w:cs="Times New Roman"/>
        </w:rPr>
        <w:t>Hufert</w:t>
      </w:r>
      <w:proofErr w:type="spellEnd"/>
      <w:r w:rsidRPr="002A32A9">
        <w:rPr>
          <w:rFonts w:cs="Times New Roman"/>
        </w:rPr>
        <w:t xml:space="preserve"> F, et al. Optimizing follicular dendritic cell isolation by discontinuous gradient centrifugation and use of the magnetic cell sorter (MACS). J Immunol Methods. 1993 Feb 26;159(1–2):189–96. </w:t>
      </w:r>
    </w:p>
    <w:p w14:paraId="67C287C3" w14:textId="77777777" w:rsidR="002A32A9" w:rsidRPr="002A32A9" w:rsidRDefault="002A32A9" w:rsidP="002A32A9">
      <w:pPr>
        <w:pStyle w:val="Bibliography"/>
        <w:rPr>
          <w:rFonts w:cs="Times New Roman"/>
        </w:rPr>
      </w:pPr>
      <w:r w:rsidRPr="002A32A9">
        <w:rPr>
          <w:rFonts w:cs="Times New Roman"/>
        </w:rPr>
        <w:t>17.</w:t>
      </w:r>
      <w:r w:rsidRPr="002A32A9">
        <w:rPr>
          <w:rFonts w:cs="Times New Roman"/>
        </w:rPr>
        <w:tab/>
        <w:t xml:space="preserve">Gupta VK, McConnell I, Dalziel RG, Hopkins J. Two B cell subpopulations have distinct recirculation characteristics. </w:t>
      </w:r>
      <w:proofErr w:type="spellStart"/>
      <w:r w:rsidRPr="002A32A9">
        <w:rPr>
          <w:rFonts w:cs="Times New Roman"/>
        </w:rPr>
        <w:t>Eur</w:t>
      </w:r>
      <w:proofErr w:type="spellEnd"/>
      <w:r w:rsidRPr="002A32A9">
        <w:rPr>
          <w:rFonts w:cs="Times New Roman"/>
        </w:rPr>
        <w:t xml:space="preserve"> J Immunol. 1998 May;28(5):1597–603. </w:t>
      </w:r>
    </w:p>
    <w:p w14:paraId="2CDF3AD4" w14:textId="77777777" w:rsidR="002A32A9" w:rsidRPr="002A32A9" w:rsidRDefault="002A32A9" w:rsidP="002A32A9">
      <w:pPr>
        <w:pStyle w:val="Bibliography"/>
        <w:rPr>
          <w:rFonts w:cs="Times New Roman"/>
        </w:rPr>
      </w:pPr>
      <w:r w:rsidRPr="002A32A9">
        <w:rPr>
          <w:rFonts w:cs="Times New Roman"/>
        </w:rPr>
        <w:t>18.</w:t>
      </w:r>
      <w:r w:rsidRPr="002A32A9">
        <w:rPr>
          <w:rFonts w:cs="Times New Roman"/>
        </w:rPr>
        <w:tab/>
        <w:t xml:space="preserve">Crooks GE, Hon G, </w:t>
      </w:r>
      <w:proofErr w:type="spellStart"/>
      <w:r w:rsidRPr="002A32A9">
        <w:rPr>
          <w:rFonts w:cs="Times New Roman"/>
        </w:rPr>
        <w:t>Chandonia</w:t>
      </w:r>
      <w:proofErr w:type="spellEnd"/>
      <w:r w:rsidRPr="002A32A9">
        <w:rPr>
          <w:rFonts w:cs="Times New Roman"/>
        </w:rPr>
        <w:t xml:space="preserve"> JM, Brenner SE. </w:t>
      </w:r>
      <w:proofErr w:type="spellStart"/>
      <w:r w:rsidRPr="002A32A9">
        <w:rPr>
          <w:rFonts w:cs="Times New Roman"/>
        </w:rPr>
        <w:t>WebLogo</w:t>
      </w:r>
      <w:proofErr w:type="spellEnd"/>
      <w:r w:rsidRPr="002A32A9">
        <w:rPr>
          <w:rFonts w:cs="Times New Roman"/>
        </w:rPr>
        <w:t xml:space="preserve">: a sequence logo generator. Genome Res. 2004 June;14(6):1188–90. </w:t>
      </w:r>
    </w:p>
    <w:p w14:paraId="0AE09B94" w14:textId="77777777" w:rsidR="002A32A9" w:rsidRPr="002A32A9" w:rsidRDefault="002A32A9" w:rsidP="002A32A9">
      <w:pPr>
        <w:pStyle w:val="Bibliography"/>
        <w:rPr>
          <w:rFonts w:cs="Times New Roman"/>
        </w:rPr>
      </w:pPr>
      <w:r w:rsidRPr="002A32A9">
        <w:rPr>
          <w:rFonts w:cs="Times New Roman"/>
        </w:rPr>
        <w:t>19.</w:t>
      </w:r>
      <w:r w:rsidRPr="002A32A9">
        <w:rPr>
          <w:rFonts w:cs="Times New Roman"/>
        </w:rPr>
        <w:tab/>
      </w:r>
      <w:proofErr w:type="spellStart"/>
      <w:r w:rsidRPr="002A32A9">
        <w:rPr>
          <w:rFonts w:cs="Times New Roman"/>
        </w:rPr>
        <w:t>Henikoff</w:t>
      </w:r>
      <w:proofErr w:type="spellEnd"/>
      <w:r w:rsidRPr="002A32A9">
        <w:rPr>
          <w:rFonts w:cs="Times New Roman"/>
        </w:rPr>
        <w:t xml:space="preserve"> S, </w:t>
      </w:r>
      <w:proofErr w:type="spellStart"/>
      <w:r w:rsidRPr="002A32A9">
        <w:rPr>
          <w:rFonts w:cs="Times New Roman"/>
        </w:rPr>
        <w:t>Henikoff</w:t>
      </w:r>
      <w:proofErr w:type="spellEnd"/>
      <w:r w:rsidRPr="002A32A9">
        <w:rPr>
          <w:rFonts w:cs="Times New Roman"/>
        </w:rPr>
        <w:t xml:space="preserve"> JG. Amino acid substitution matrices from protein blocks. Proc Natl </w:t>
      </w:r>
      <w:proofErr w:type="spellStart"/>
      <w:r w:rsidRPr="002A32A9">
        <w:rPr>
          <w:rFonts w:cs="Times New Roman"/>
        </w:rPr>
        <w:t>Acad</w:t>
      </w:r>
      <w:proofErr w:type="spellEnd"/>
      <w:r w:rsidRPr="002A32A9">
        <w:rPr>
          <w:rFonts w:cs="Times New Roman"/>
        </w:rPr>
        <w:t xml:space="preserve"> Sci U S A. 1992 Nov 15;89(22):10915–9. </w:t>
      </w:r>
    </w:p>
    <w:p w14:paraId="65BD37F5" w14:textId="77777777" w:rsidR="002A32A9" w:rsidRPr="002A32A9" w:rsidRDefault="002A32A9" w:rsidP="002A32A9">
      <w:pPr>
        <w:pStyle w:val="Bibliography"/>
        <w:rPr>
          <w:rFonts w:cs="Times New Roman"/>
        </w:rPr>
      </w:pPr>
      <w:r w:rsidRPr="002A32A9">
        <w:rPr>
          <w:rFonts w:cs="Times New Roman"/>
        </w:rPr>
        <w:lastRenderedPageBreak/>
        <w:t>20.</w:t>
      </w:r>
      <w:r w:rsidRPr="002A32A9">
        <w:rPr>
          <w:rFonts w:cs="Times New Roman"/>
        </w:rPr>
        <w:tab/>
        <w:t xml:space="preserve">Isa MN, Ahmad MI, Murad SAZ, Ismail RC, </w:t>
      </w:r>
      <w:proofErr w:type="spellStart"/>
      <w:r w:rsidRPr="002A32A9">
        <w:rPr>
          <w:rFonts w:cs="Times New Roman"/>
        </w:rPr>
        <w:t>Benkrid</w:t>
      </w:r>
      <w:proofErr w:type="spellEnd"/>
      <w:r w:rsidRPr="002A32A9">
        <w:rPr>
          <w:rFonts w:cs="Times New Roman"/>
        </w:rPr>
        <w:t xml:space="preserve"> K. Biological sequence alignments: A review of hardware accelerators and a new PE computing strategy. In: 2014 IEEE REGION 10 SYMPOSIUM [Internet]. 2014 [cited 2025 Aug 22]. p. 39–44. Available from: https://ieeexplore.ieee.org/document/6862994</w:t>
      </w:r>
    </w:p>
    <w:p w14:paraId="27189EE0" w14:textId="77777777" w:rsidR="002A32A9" w:rsidRPr="002A32A9" w:rsidRDefault="002A32A9" w:rsidP="002A32A9">
      <w:pPr>
        <w:pStyle w:val="Bibliography"/>
        <w:rPr>
          <w:rFonts w:cs="Times New Roman"/>
        </w:rPr>
      </w:pPr>
      <w:r w:rsidRPr="002A32A9">
        <w:rPr>
          <w:rFonts w:cs="Times New Roman"/>
        </w:rPr>
        <w:t>21.</w:t>
      </w:r>
      <w:r w:rsidRPr="002A32A9">
        <w:rPr>
          <w:rFonts w:cs="Times New Roman"/>
        </w:rPr>
        <w:tab/>
        <w:t xml:space="preserve">Mei H, Liao ZH, Zhou Y, Li SZ. A new set of amino acid descriptors and its application in peptide QSARs. Biopolymers. 2005;80(6):775–86. </w:t>
      </w:r>
    </w:p>
    <w:p w14:paraId="2CCA37A0" w14:textId="7693CE4A" w:rsidR="00212C3C" w:rsidRPr="001549D3" w:rsidRDefault="00212C3C" w:rsidP="002A32A9">
      <w:pPr>
        <w:pStyle w:val="Bibliography"/>
      </w:pPr>
      <w:r>
        <w:fldChar w:fldCharType="end"/>
      </w:r>
    </w:p>
    <w:sectPr w:rsidR="00212C3C" w:rsidRPr="001549D3" w:rsidSect="0093429D">
      <w:headerReference w:type="even" r:id="rId16"/>
      <w:footerReference w:type="even" r:id="rId17"/>
      <w:footerReference w:type="default" r:id="rId18"/>
      <w:headerReference w:type="first" r:id="rId19"/>
      <w:pgSz w:w="12240" w:h="15840"/>
      <w:pgMar w:top="1138" w:right="1181" w:bottom="1138" w:left="1282"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llavi Aysola Balivada" w:date="2025-08-04T10:51:00Z" w:initials="PAB">
    <w:p w14:paraId="0C5730C9" w14:textId="77777777" w:rsidR="00CD6A19" w:rsidRDefault="00CD6A19" w:rsidP="00CD6A19">
      <w:r>
        <w:rPr>
          <w:rStyle w:val="CommentReference"/>
        </w:rPr>
        <w:annotationRef/>
      </w:r>
      <w:r>
        <w:rPr>
          <w:sz w:val="20"/>
          <w:szCs w:val="20"/>
        </w:rPr>
        <w:t>Fill in 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5730C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DD2" w16cex:dateUtc="2025-08-04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5730C9" w16cid:durableId="133D1D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CF97" w14:textId="77777777" w:rsidR="003F113F" w:rsidRDefault="003F113F" w:rsidP="00117666">
      <w:pPr>
        <w:spacing w:after="0"/>
      </w:pPr>
      <w:r>
        <w:separator/>
      </w:r>
    </w:p>
  </w:endnote>
  <w:endnote w:type="continuationSeparator" w:id="0">
    <w:p w14:paraId="035F64D9" w14:textId="77777777" w:rsidR="003F113F" w:rsidRDefault="003F113F"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B3295F"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B3295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4D054D26" w14:textId="77777777" w:rsidR="00B3295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B3295F"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B3295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085E15EB" w14:textId="77777777" w:rsidR="00B3295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EFA7" w14:textId="77777777" w:rsidR="003F113F" w:rsidRDefault="003F113F" w:rsidP="00117666">
      <w:pPr>
        <w:spacing w:after="0"/>
      </w:pPr>
      <w:r>
        <w:separator/>
      </w:r>
    </w:p>
  </w:footnote>
  <w:footnote w:type="continuationSeparator" w:id="0">
    <w:p w14:paraId="538CE821" w14:textId="77777777" w:rsidR="003F113F" w:rsidRDefault="003F113F"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B3295F"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77777777" w:rsidR="00B3295F"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4F5F09"/>
    <w:multiLevelType w:val="hybridMultilevel"/>
    <w:tmpl w:val="B4A6BA24"/>
    <w:lvl w:ilvl="0" w:tplc="C2B4EC6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8C38BC"/>
    <w:multiLevelType w:val="hybridMultilevel"/>
    <w:tmpl w:val="78BC2052"/>
    <w:lvl w:ilvl="0" w:tplc="68E230B2">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95396"/>
    <w:multiLevelType w:val="hybridMultilevel"/>
    <w:tmpl w:val="9AC03DEE"/>
    <w:lvl w:ilvl="0" w:tplc="12C4375E">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57284940">
    <w:abstractNumId w:val="0"/>
  </w:num>
  <w:num w:numId="2" w16cid:durableId="920529825">
    <w:abstractNumId w:val="6"/>
  </w:num>
  <w:num w:numId="3" w16cid:durableId="1739554346">
    <w:abstractNumId w:val="1"/>
  </w:num>
  <w:num w:numId="4" w16cid:durableId="148255949">
    <w:abstractNumId w:val="7"/>
  </w:num>
  <w:num w:numId="5" w16cid:durableId="309557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3185474">
    <w:abstractNumId w:val="3"/>
  </w:num>
  <w:num w:numId="7" w16cid:durableId="2119251674">
    <w:abstractNumId w:val="9"/>
  </w:num>
  <w:num w:numId="8" w16cid:durableId="617566080">
    <w:abstractNumId w:val="9"/>
  </w:num>
  <w:num w:numId="9" w16cid:durableId="318505731">
    <w:abstractNumId w:val="9"/>
  </w:num>
  <w:num w:numId="10" w16cid:durableId="2028677751">
    <w:abstractNumId w:val="9"/>
  </w:num>
  <w:num w:numId="11" w16cid:durableId="941034225">
    <w:abstractNumId w:val="9"/>
  </w:num>
  <w:num w:numId="12" w16cid:durableId="1489708152">
    <w:abstractNumId w:val="9"/>
  </w:num>
  <w:num w:numId="13" w16cid:durableId="1466123999">
    <w:abstractNumId w:val="3"/>
  </w:num>
  <w:num w:numId="14" w16cid:durableId="518734701">
    <w:abstractNumId w:val="2"/>
  </w:num>
  <w:num w:numId="15" w16cid:durableId="748817094">
    <w:abstractNumId w:val="2"/>
  </w:num>
  <w:num w:numId="16" w16cid:durableId="1580168333">
    <w:abstractNumId w:val="2"/>
  </w:num>
  <w:num w:numId="17" w16cid:durableId="1969239364">
    <w:abstractNumId w:val="2"/>
  </w:num>
  <w:num w:numId="18" w16cid:durableId="120732050">
    <w:abstractNumId w:val="2"/>
  </w:num>
  <w:num w:numId="19" w16cid:durableId="1731465377">
    <w:abstractNumId w:val="2"/>
  </w:num>
  <w:num w:numId="20" w16cid:durableId="532891308">
    <w:abstractNumId w:val="2"/>
  </w:num>
  <w:num w:numId="21" w16cid:durableId="1222597128">
    <w:abstractNumId w:val="2"/>
  </w:num>
  <w:num w:numId="22" w16cid:durableId="1869953924">
    <w:abstractNumId w:val="2"/>
    <w:lvlOverride w:ilvl="0">
      <w:startOverride w:val="1"/>
    </w:lvlOverride>
    <w:lvlOverride w:ilvl="1">
      <w:startOverride w:val="4"/>
    </w:lvlOverride>
  </w:num>
  <w:num w:numId="23" w16cid:durableId="2026049660">
    <w:abstractNumId w:val="4"/>
  </w:num>
  <w:num w:numId="24" w16cid:durableId="245580372">
    <w:abstractNumId w:val="8"/>
  </w:num>
  <w:num w:numId="25" w16cid:durableId="18757244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Aysola Balivada">
    <w15:presenceInfo w15:providerId="AD" w15:userId="S::pallavib@mit.edu::e9b3761f-b1f9-4a8f-ab24-426cd3eafd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25F80"/>
    <w:rsid w:val="00034304"/>
    <w:rsid w:val="00035434"/>
    <w:rsid w:val="00052A14"/>
    <w:rsid w:val="00073BE8"/>
    <w:rsid w:val="000774D3"/>
    <w:rsid w:val="00077D53"/>
    <w:rsid w:val="000F1ACB"/>
    <w:rsid w:val="00105FD9"/>
    <w:rsid w:val="00115421"/>
    <w:rsid w:val="00117666"/>
    <w:rsid w:val="0014396F"/>
    <w:rsid w:val="001549D3"/>
    <w:rsid w:val="00160065"/>
    <w:rsid w:val="00167A58"/>
    <w:rsid w:val="00177D84"/>
    <w:rsid w:val="00186DE6"/>
    <w:rsid w:val="001A557F"/>
    <w:rsid w:val="002115DF"/>
    <w:rsid w:val="00212C3C"/>
    <w:rsid w:val="00216D66"/>
    <w:rsid w:val="00267D18"/>
    <w:rsid w:val="00285994"/>
    <w:rsid w:val="002868E2"/>
    <w:rsid w:val="002869C3"/>
    <w:rsid w:val="002936E4"/>
    <w:rsid w:val="002A32A9"/>
    <w:rsid w:val="002B388C"/>
    <w:rsid w:val="002B4A57"/>
    <w:rsid w:val="002C74CA"/>
    <w:rsid w:val="002E145B"/>
    <w:rsid w:val="003544FB"/>
    <w:rsid w:val="00370C6C"/>
    <w:rsid w:val="003756FC"/>
    <w:rsid w:val="003D2D47"/>
    <w:rsid w:val="003D2F2D"/>
    <w:rsid w:val="003F113F"/>
    <w:rsid w:val="003F7E70"/>
    <w:rsid w:val="00401590"/>
    <w:rsid w:val="00402F32"/>
    <w:rsid w:val="00447801"/>
    <w:rsid w:val="00452E9C"/>
    <w:rsid w:val="004735C8"/>
    <w:rsid w:val="00492EF9"/>
    <w:rsid w:val="004961FF"/>
    <w:rsid w:val="004A1A74"/>
    <w:rsid w:val="004C209F"/>
    <w:rsid w:val="00517A89"/>
    <w:rsid w:val="005250F2"/>
    <w:rsid w:val="00550A48"/>
    <w:rsid w:val="00593EEA"/>
    <w:rsid w:val="005A5EEE"/>
    <w:rsid w:val="005B6CAF"/>
    <w:rsid w:val="0062374C"/>
    <w:rsid w:val="006375C7"/>
    <w:rsid w:val="00654E8F"/>
    <w:rsid w:val="00660D05"/>
    <w:rsid w:val="006820B1"/>
    <w:rsid w:val="00694A01"/>
    <w:rsid w:val="00696024"/>
    <w:rsid w:val="006B7D14"/>
    <w:rsid w:val="006F5F24"/>
    <w:rsid w:val="00701727"/>
    <w:rsid w:val="0070566C"/>
    <w:rsid w:val="00714C50"/>
    <w:rsid w:val="00725A7D"/>
    <w:rsid w:val="007263D6"/>
    <w:rsid w:val="00726A1C"/>
    <w:rsid w:val="007501BE"/>
    <w:rsid w:val="0077717B"/>
    <w:rsid w:val="00790BB3"/>
    <w:rsid w:val="007A675D"/>
    <w:rsid w:val="007C206C"/>
    <w:rsid w:val="00803D24"/>
    <w:rsid w:val="00817DD6"/>
    <w:rsid w:val="0083480F"/>
    <w:rsid w:val="0087725A"/>
    <w:rsid w:val="00885156"/>
    <w:rsid w:val="008E0A15"/>
    <w:rsid w:val="008E327E"/>
    <w:rsid w:val="008E7521"/>
    <w:rsid w:val="009151AA"/>
    <w:rsid w:val="0093057B"/>
    <w:rsid w:val="0093429D"/>
    <w:rsid w:val="00943573"/>
    <w:rsid w:val="00947DB3"/>
    <w:rsid w:val="00970F7D"/>
    <w:rsid w:val="00973F3E"/>
    <w:rsid w:val="00994A3D"/>
    <w:rsid w:val="009C210D"/>
    <w:rsid w:val="009C2B12"/>
    <w:rsid w:val="009C70F3"/>
    <w:rsid w:val="00A047AA"/>
    <w:rsid w:val="00A174D9"/>
    <w:rsid w:val="00A569CD"/>
    <w:rsid w:val="00A648B1"/>
    <w:rsid w:val="00A96F39"/>
    <w:rsid w:val="00AA3887"/>
    <w:rsid w:val="00AB2BBE"/>
    <w:rsid w:val="00AB5EE2"/>
    <w:rsid w:val="00AB6715"/>
    <w:rsid w:val="00AF3AAE"/>
    <w:rsid w:val="00B00365"/>
    <w:rsid w:val="00B07BA1"/>
    <w:rsid w:val="00B1671E"/>
    <w:rsid w:val="00B221C5"/>
    <w:rsid w:val="00B25EB8"/>
    <w:rsid w:val="00B278F8"/>
    <w:rsid w:val="00B3295F"/>
    <w:rsid w:val="00B354E1"/>
    <w:rsid w:val="00B37F4D"/>
    <w:rsid w:val="00B4244F"/>
    <w:rsid w:val="00B73300"/>
    <w:rsid w:val="00B91E91"/>
    <w:rsid w:val="00B943B9"/>
    <w:rsid w:val="00C01CFD"/>
    <w:rsid w:val="00C21A53"/>
    <w:rsid w:val="00C23ED1"/>
    <w:rsid w:val="00C52A7B"/>
    <w:rsid w:val="00C56BAF"/>
    <w:rsid w:val="00C64FBB"/>
    <w:rsid w:val="00C679AA"/>
    <w:rsid w:val="00C75972"/>
    <w:rsid w:val="00CB289A"/>
    <w:rsid w:val="00CC0A3A"/>
    <w:rsid w:val="00CC5AC1"/>
    <w:rsid w:val="00CD066B"/>
    <w:rsid w:val="00CD4197"/>
    <w:rsid w:val="00CD6A19"/>
    <w:rsid w:val="00CE4FEE"/>
    <w:rsid w:val="00CF5A55"/>
    <w:rsid w:val="00D30ABB"/>
    <w:rsid w:val="00D544D0"/>
    <w:rsid w:val="00D54C59"/>
    <w:rsid w:val="00D54D26"/>
    <w:rsid w:val="00D64B48"/>
    <w:rsid w:val="00D81412"/>
    <w:rsid w:val="00DB59C3"/>
    <w:rsid w:val="00DC259A"/>
    <w:rsid w:val="00DC55A4"/>
    <w:rsid w:val="00DC7452"/>
    <w:rsid w:val="00DE23E8"/>
    <w:rsid w:val="00E52377"/>
    <w:rsid w:val="00E64E17"/>
    <w:rsid w:val="00E74FE6"/>
    <w:rsid w:val="00E866C9"/>
    <w:rsid w:val="00EA3D3C"/>
    <w:rsid w:val="00EB0603"/>
    <w:rsid w:val="00EE530E"/>
    <w:rsid w:val="00F1697E"/>
    <w:rsid w:val="00F46900"/>
    <w:rsid w:val="00F61D89"/>
    <w:rsid w:val="00F745A7"/>
    <w:rsid w:val="00F76C37"/>
    <w:rsid w:val="00F82199"/>
    <w:rsid w:val="00FE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A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paragraph" w:styleId="Bibliography">
    <w:name w:val="Bibliography"/>
    <w:basedOn w:val="Normal"/>
    <w:next w:val="Normal"/>
    <w:uiPriority w:val="37"/>
    <w:unhideWhenUsed/>
    <w:rsid w:val="00212C3C"/>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5464">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337315316">
      <w:bodyDiv w:val="1"/>
      <w:marLeft w:val="0"/>
      <w:marRight w:val="0"/>
      <w:marTop w:val="0"/>
      <w:marBottom w:val="0"/>
      <w:divBdr>
        <w:top w:val="none" w:sz="0" w:space="0" w:color="auto"/>
        <w:left w:val="none" w:sz="0" w:space="0" w:color="auto"/>
        <w:bottom w:val="none" w:sz="0" w:space="0" w:color="auto"/>
        <w:right w:val="none" w:sz="0" w:space="0" w:color="auto"/>
      </w:divBdr>
    </w:div>
    <w:div w:id="501630787">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2.xml><?xml version="1.0" encoding="utf-8"?>
<ds:datastoreItem xmlns:ds="http://schemas.openxmlformats.org/officeDocument/2006/customXml" ds:itemID="{267D6ACB-DD71-FF4E-8425-5BB1EDBBC566}">
  <ds:schemaRefs>
    <ds:schemaRef ds:uri="http://schemas.openxmlformats.org/officeDocument/2006/bibliography"/>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5.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23</TotalTime>
  <Pages>7</Pages>
  <Words>12765</Words>
  <Characters>72764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Hyunjin Park</cp:lastModifiedBy>
  <cp:revision>10</cp:revision>
  <cp:lastPrinted>2013-10-03T12:51:00Z</cp:lastPrinted>
  <dcterms:created xsi:type="dcterms:W3CDTF">2025-08-13T18:29:00Z</dcterms:created>
  <dcterms:modified xsi:type="dcterms:W3CDTF">2025-08-22T19:25:00Z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ZOTERO_PREF_1">
    <vt:lpwstr>&lt;data data-version="3" zotero-version="7.0.24"&gt;&lt;session id="KxykWkII"/&gt;&lt;style id="http://www.zotero.org/styles/vancouver" locale="en-US" hasBibliography="1" bibliographyStyleHasBeenSet="1"/&gt;&lt;prefs&gt;&lt;pref name="fieldType" value="Field"/&gt;&lt;pref name="automati</vt:lpwstr>
  </property>
  <property fmtid="{D5CDD505-2E9C-101B-9397-08002B2CF9AE}" pid="11" name="ZOTERO_PREF_2">
    <vt:lpwstr>cJournalAbbreviations" value="true"/&gt;&lt;/prefs&gt;&lt;/data&gt;</vt:lpwstr>
  </property>
</Properties>
</file>