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52D4E" w14:textId="077AE860" w:rsidR="001356C1" w:rsidRPr="00B97923" w:rsidRDefault="001356C1" w:rsidP="00D26B38">
      <w:pPr>
        <w:rPr>
          <w:rFonts w:ascii="Arial" w:hAnsi="Arial" w:cs="Arial"/>
          <w:b/>
          <w:bCs/>
          <w:sz w:val="20"/>
          <w:szCs w:val="20"/>
          <w:lang w:val="en-US"/>
        </w:rPr>
      </w:pPr>
      <w:r w:rsidRPr="00B97923">
        <w:rPr>
          <w:rFonts w:ascii="Arial" w:hAnsi="Arial" w:cs="Arial"/>
          <w:b/>
          <w:bCs/>
          <w:sz w:val="20"/>
          <w:szCs w:val="20"/>
          <w:lang w:val="en-US"/>
        </w:rPr>
        <w:t xml:space="preserve">Supplementary </w:t>
      </w:r>
      <w:r w:rsidR="002F0CB9" w:rsidRPr="00B97923">
        <w:rPr>
          <w:rFonts w:ascii="Arial" w:hAnsi="Arial" w:cs="Arial"/>
          <w:b/>
          <w:bCs/>
          <w:sz w:val="20"/>
          <w:szCs w:val="20"/>
          <w:lang w:val="en-US"/>
        </w:rPr>
        <w:t>M</w:t>
      </w:r>
      <w:r w:rsidRPr="00B97923">
        <w:rPr>
          <w:rFonts w:ascii="Arial" w:hAnsi="Arial" w:cs="Arial"/>
          <w:b/>
          <w:bCs/>
          <w:sz w:val="20"/>
          <w:szCs w:val="20"/>
          <w:lang w:val="en-US"/>
        </w:rPr>
        <w:t>aterial</w:t>
      </w:r>
    </w:p>
    <w:p w14:paraId="61353C97" w14:textId="77777777" w:rsidR="004576CC" w:rsidRPr="00B97923" w:rsidRDefault="004576CC" w:rsidP="00D26B38">
      <w:pPr>
        <w:rPr>
          <w:rFonts w:ascii="Arial" w:hAnsi="Arial" w:cs="Arial"/>
          <w:b/>
          <w:bCs/>
          <w:sz w:val="20"/>
          <w:szCs w:val="20"/>
          <w:lang w:val="en-US"/>
        </w:rPr>
      </w:pPr>
    </w:p>
    <w:tbl>
      <w:tblPr>
        <w:tblpPr w:leftFromText="141" w:rightFromText="141" w:vertAnchor="page" w:horzAnchor="margin" w:tblpY="1140"/>
        <w:tblW w:w="14882" w:type="dxa"/>
        <w:tblCellMar>
          <w:left w:w="70" w:type="dxa"/>
          <w:right w:w="70" w:type="dxa"/>
        </w:tblCellMar>
        <w:tblLook w:val="04A0" w:firstRow="1" w:lastRow="0" w:firstColumn="1" w:lastColumn="0" w:noHBand="0" w:noVBand="1"/>
      </w:tblPr>
      <w:tblGrid>
        <w:gridCol w:w="963"/>
        <w:gridCol w:w="1605"/>
        <w:gridCol w:w="715"/>
        <w:gridCol w:w="914"/>
        <w:gridCol w:w="873"/>
        <w:gridCol w:w="914"/>
        <w:gridCol w:w="873"/>
        <w:gridCol w:w="914"/>
        <w:gridCol w:w="875"/>
        <w:gridCol w:w="873"/>
        <w:gridCol w:w="914"/>
        <w:gridCol w:w="873"/>
        <w:gridCol w:w="914"/>
        <w:gridCol w:w="873"/>
        <w:gridCol w:w="914"/>
        <w:gridCol w:w="875"/>
      </w:tblGrid>
      <w:tr w:rsidR="004576CC" w:rsidRPr="00B97923" w14:paraId="5491E11B" w14:textId="77777777" w:rsidTr="27EEF6FD">
        <w:trPr>
          <w:trHeight w:val="194"/>
        </w:trPr>
        <w:tc>
          <w:tcPr>
            <w:tcW w:w="963" w:type="dxa"/>
            <w:tcBorders>
              <w:top w:val="single" w:sz="24" w:space="0" w:color="auto"/>
              <w:left w:val="nil"/>
              <w:bottom w:val="nil"/>
              <w:right w:val="nil"/>
            </w:tcBorders>
            <w:shd w:val="clear" w:color="auto" w:fill="FFFFFF" w:themeFill="background1"/>
            <w:noWrap/>
            <w:vAlign w:val="bottom"/>
            <w:hideMark/>
          </w:tcPr>
          <w:p w14:paraId="1CB77ADB" w14:textId="77777777" w:rsidR="004576CC" w:rsidRPr="00B97923" w:rsidRDefault="004576CC" w:rsidP="004576CC">
            <w:pPr>
              <w:rPr>
                <w:rFonts w:ascii="Arial" w:hAnsi="Arial" w:cs="Arial"/>
                <w:color w:val="000000"/>
                <w:sz w:val="21"/>
                <w:szCs w:val="21"/>
                <w:lang w:val="en-US"/>
              </w:rPr>
            </w:pPr>
            <w:r w:rsidRPr="00B97923">
              <w:rPr>
                <w:rFonts w:ascii="Arial" w:hAnsi="Arial" w:cs="Arial"/>
                <w:color w:val="000000"/>
                <w:sz w:val="21"/>
                <w:szCs w:val="21"/>
                <w:lang w:val="en-US"/>
              </w:rPr>
              <w:t> </w:t>
            </w:r>
          </w:p>
        </w:tc>
        <w:tc>
          <w:tcPr>
            <w:tcW w:w="1605" w:type="dxa"/>
            <w:tcBorders>
              <w:top w:val="single" w:sz="24" w:space="0" w:color="auto"/>
              <w:left w:val="nil"/>
              <w:bottom w:val="nil"/>
              <w:right w:val="nil"/>
            </w:tcBorders>
            <w:shd w:val="clear" w:color="auto" w:fill="FFFFFF" w:themeFill="background1"/>
            <w:noWrap/>
            <w:vAlign w:val="bottom"/>
            <w:hideMark/>
          </w:tcPr>
          <w:p w14:paraId="45F0D7B5" w14:textId="77777777" w:rsidR="004576CC" w:rsidRPr="00B97923" w:rsidRDefault="004576CC" w:rsidP="004576CC">
            <w:pPr>
              <w:rPr>
                <w:rFonts w:ascii="Arial" w:hAnsi="Arial" w:cs="Arial"/>
                <w:color w:val="000000"/>
                <w:sz w:val="21"/>
                <w:szCs w:val="21"/>
                <w:lang w:val="en-US"/>
              </w:rPr>
            </w:pPr>
            <w:r w:rsidRPr="00B97923">
              <w:rPr>
                <w:rFonts w:ascii="Arial" w:hAnsi="Arial" w:cs="Arial"/>
                <w:color w:val="000000"/>
                <w:sz w:val="21"/>
                <w:szCs w:val="21"/>
                <w:lang w:val="en-US"/>
              </w:rPr>
              <w:t> </w:t>
            </w:r>
          </w:p>
        </w:tc>
        <w:tc>
          <w:tcPr>
            <w:tcW w:w="715" w:type="dxa"/>
            <w:tcBorders>
              <w:top w:val="single" w:sz="24" w:space="0" w:color="auto"/>
              <w:left w:val="nil"/>
              <w:bottom w:val="nil"/>
              <w:right w:val="nil"/>
            </w:tcBorders>
            <w:shd w:val="clear" w:color="auto" w:fill="FFFFFF" w:themeFill="background1"/>
            <w:noWrap/>
            <w:vAlign w:val="bottom"/>
            <w:hideMark/>
          </w:tcPr>
          <w:p w14:paraId="439024C7" w14:textId="77777777" w:rsidR="004576CC" w:rsidRPr="00B97923" w:rsidRDefault="004576CC" w:rsidP="004576CC">
            <w:pPr>
              <w:rPr>
                <w:rFonts w:ascii="Arial" w:hAnsi="Arial" w:cs="Arial"/>
                <w:color w:val="000000"/>
                <w:sz w:val="21"/>
                <w:szCs w:val="21"/>
                <w:lang w:val="en-US"/>
              </w:rPr>
            </w:pPr>
            <w:r w:rsidRPr="00B97923">
              <w:rPr>
                <w:rFonts w:ascii="Arial" w:hAnsi="Arial" w:cs="Arial"/>
                <w:color w:val="000000"/>
                <w:sz w:val="21"/>
                <w:szCs w:val="21"/>
                <w:lang w:val="en-US"/>
              </w:rPr>
              <w:t> </w:t>
            </w:r>
          </w:p>
        </w:tc>
        <w:tc>
          <w:tcPr>
            <w:tcW w:w="914" w:type="dxa"/>
            <w:tcBorders>
              <w:top w:val="single" w:sz="24" w:space="0" w:color="auto"/>
              <w:left w:val="nil"/>
              <w:bottom w:val="nil"/>
              <w:right w:val="nil"/>
            </w:tcBorders>
            <w:shd w:val="clear" w:color="auto" w:fill="FFFFFF" w:themeFill="background1"/>
            <w:noWrap/>
            <w:vAlign w:val="bottom"/>
            <w:hideMark/>
          </w:tcPr>
          <w:p w14:paraId="0BDFC0F6" w14:textId="77777777" w:rsidR="004576CC" w:rsidRPr="00B97923" w:rsidRDefault="004576CC" w:rsidP="004576CC">
            <w:pPr>
              <w:rPr>
                <w:rFonts w:ascii="Arial" w:hAnsi="Arial" w:cs="Arial"/>
                <w:color w:val="000000"/>
                <w:sz w:val="21"/>
                <w:szCs w:val="21"/>
                <w:lang w:val="en-US"/>
              </w:rPr>
            </w:pPr>
            <w:r w:rsidRPr="00B97923">
              <w:rPr>
                <w:rFonts w:ascii="Arial" w:hAnsi="Arial" w:cs="Arial"/>
                <w:color w:val="000000"/>
                <w:sz w:val="21"/>
                <w:szCs w:val="21"/>
                <w:lang w:val="en-US"/>
              </w:rPr>
              <w:t> </w:t>
            </w:r>
          </w:p>
        </w:tc>
        <w:tc>
          <w:tcPr>
            <w:tcW w:w="873" w:type="dxa"/>
            <w:tcBorders>
              <w:top w:val="single" w:sz="24" w:space="0" w:color="auto"/>
              <w:left w:val="nil"/>
              <w:bottom w:val="nil"/>
              <w:right w:val="nil"/>
            </w:tcBorders>
            <w:shd w:val="clear" w:color="auto" w:fill="FFFFFF" w:themeFill="background1"/>
            <w:noWrap/>
            <w:vAlign w:val="bottom"/>
            <w:hideMark/>
          </w:tcPr>
          <w:p w14:paraId="21FA489A" w14:textId="77777777" w:rsidR="004576CC" w:rsidRPr="00B97923" w:rsidRDefault="004576CC" w:rsidP="004576CC">
            <w:pPr>
              <w:rPr>
                <w:rFonts w:ascii="Arial" w:hAnsi="Arial" w:cs="Arial"/>
                <w:color w:val="000000"/>
                <w:sz w:val="21"/>
                <w:szCs w:val="21"/>
                <w:lang w:val="en-US"/>
              </w:rPr>
            </w:pPr>
            <w:r w:rsidRPr="00B97923">
              <w:rPr>
                <w:rFonts w:ascii="Arial" w:hAnsi="Arial" w:cs="Arial"/>
                <w:color w:val="000000"/>
                <w:sz w:val="21"/>
                <w:szCs w:val="21"/>
                <w:lang w:val="en-US"/>
              </w:rPr>
              <w:t> </w:t>
            </w:r>
          </w:p>
        </w:tc>
        <w:tc>
          <w:tcPr>
            <w:tcW w:w="914" w:type="dxa"/>
            <w:tcBorders>
              <w:top w:val="single" w:sz="24" w:space="0" w:color="auto"/>
              <w:left w:val="nil"/>
              <w:bottom w:val="nil"/>
              <w:right w:val="nil"/>
            </w:tcBorders>
            <w:shd w:val="clear" w:color="auto" w:fill="FFFFFF" w:themeFill="background1"/>
            <w:noWrap/>
            <w:vAlign w:val="bottom"/>
            <w:hideMark/>
          </w:tcPr>
          <w:p w14:paraId="19C00E5E" w14:textId="77777777" w:rsidR="004576CC" w:rsidRPr="00B97923" w:rsidRDefault="004576CC" w:rsidP="004576CC">
            <w:pPr>
              <w:rPr>
                <w:rFonts w:ascii="Arial" w:hAnsi="Arial" w:cs="Arial"/>
                <w:color w:val="000000"/>
                <w:sz w:val="21"/>
                <w:szCs w:val="21"/>
                <w:lang w:val="en-US"/>
              </w:rPr>
            </w:pPr>
            <w:r w:rsidRPr="00B97923">
              <w:rPr>
                <w:rFonts w:ascii="Arial" w:hAnsi="Arial" w:cs="Arial"/>
                <w:color w:val="000000"/>
                <w:sz w:val="21"/>
                <w:szCs w:val="21"/>
                <w:lang w:val="en-US"/>
              </w:rPr>
              <w:t> </w:t>
            </w:r>
          </w:p>
        </w:tc>
        <w:tc>
          <w:tcPr>
            <w:tcW w:w="873" w:type="dxa"/>
            <w:tcBorders>
              <w:top w:val="single" w:sz="24" w:space="0" w:color="auto"/>
              <w:left w:val="nil"/>
              <w:bottom w:val="nil"/>
              <w:right w:val="nil"/>
            </w:tcBorders>
            <w:shd w:val="clear" w:color="auto" w:fill="FFFFFF" w:themeFill="background1"/>
            <w:noWrap/>
            <w:vAlign w:val="bottom"/>
            <w:hideMark/>
          </w:tcPr>
          <w:p w14:paraId="77F3FE7E" w14:textId="77777777" w:rsidR="004576CC" w:rsidRPr="00B97923" w:rsidRDefault="004576CC" w:rsidP="004576CC">
            <w:pPr>
              <w:rPr>
                <w:rFonts w:ascii="Arial" w:hAnsi="Arial" w:cs="Arial"/>
                <w:color w:val="000000"/>
                <w:sz w:val="21"/>
                <w:szCs w:val="21"/>
                <w:lang w:val="en-US"/>
              </w:rPr>
            </w:pPr>
            <w:r w:rsidRPr="00B97923">
              <w:rPr>
                <w:rFonts w:ascii="Arial" w:hAnsi="Arial" w:cs="Arial"/>
                <w:color w:val="000000"/>
                <w:sz w:val="21"/>
                <w:szCs w:val="21"/>
                <w:lang w:val="en-US"/>
              </w:rPr>
              <w:t> </w:t>
            </w:r>
          </w:p>
        </w:tc>
        <w:tc>
          <w:tcPr>
            <w:tcW w:w="914" w:type="dxa"/>
            <w:tcBorders>
              <w:top w:val="single" w:sz="24" w:space="0" w:color="auto"/>
              <w:left w:val="nil"/>
              <w:bottom w:val="nil"/>
              <w:right w:val="nil"/>
            </w:tcBorders>
            <w:shd w:val="clear" w:color="auto" w:fill="FFFFFF" w:themeFill="background1"/>
            <w:noWrap/>
            <w:vAlign w:val="bottom"/>
            <w:hideMark/>
          </w:tcPr>
          <w:p w14:paraId="66771983" w14:textId="77777777" w:rsidR="004576CC" w:rsidRPr="00B97923" w:rsidRDefault="004576CC" w:rsidP="004576CC">
            <w:pPr>
              <w:rPr>
                <w:rFonts w:ascii="Arial" w:hAnsi="Arial" w:cs="Arial"/>
                <w:color w:val="000000"/>
                <w:sz w:val="21"/>
                <w:szCs w:val="21"/>
                <w:lang w:val="en-US"/>
              </w:rPr>
            </w:pPr>
            <w:r w:rsidRPr="00B97923">
              <w:rPr>
                <w:rFonts w:ascii="Arial" w:hAnsi="Arial" w:cs="Arial"/>
                <w:color w:val="000000"/>
                <w:sz w:val="21"/>
                <w:szCs w:val="21"/>
                <w:lang w:val="en-US"/>
              </w:rPr>
              <w:t> </w:t>
            </w:r>
          </w:p>
        </w:tc>
        <w:tc>
          <w:tcPr>
            <w:tcW w:w="875" w:type="dxa"/>
            <w:tcBorders>
              <w:top w:val="single" w:sz="24" w:space="0" w:color="auto"/>
              <w:left w:val="nil"/>
              <w:bottom w:val="nil"/>
              <w:right w:val="nil"/>
            </w:tcBorders>
            <w:shd w:val="clear" w:color="auto" w:fill="FFFFFF" w:themeFill="background1"/>
            <w:noWrap/>
            <w:vAlign w:val="bottom"/>
            <w:hideMark/>
          </w:tcPr>
          <w:p w14:paraId="021AAC9B" w14:textId="77777777" w:rsidR="004576CC" w:rsidRPr="00B97923" w:rsidRDefault="004576CC" w:rsidP="004576CC">
            <w:pPr>
              <w:rPr>
                <w:rFonts w:ascii="Arial" w:hAnsi="Arial" w:cs="Arial"/>
                <w:color w:val="000000"/>
                <w:sz w:val="21"/>
                <w:szCs w:val="21"/>
                <w:lang w:val="en-US"/>
              </w:rPr>
            </w:pPr>
            <w:r w:rsidRPr="00B97923">
              <w:rPr>
                <w:rFonts w:ascii="Arial" w:hAnsi="Arial" w:cs="Arial"/>
                <w:color w:val="000000"/>
                <w:sz w:val="21"/>
                <w:szCs w:val="21"/>
                <w:lang w:val="en-US"/>
              </w:rPr>
              <w:t> </w:t>
            </w:r>
          </w:p>
        </w:tc>
        <w:tc>
          <w:tcPr>
            <w:tcW w:w="873" w:type="dxa"/>
            <w:tcBorders>
              <w:top w:val="single" w:sz="24" w:space="0" w:color="auto"/>
              <w:left w:val="nil"/>
              <w:bottom w:val="nil"/>
              <w:right w:val="nil"/>
            </w:tcBorders>
            <w:shd w:val="clear" w:color="auto" w:fill="FFFFFF" w:themeFill="background1"/>
            <w:noWrap/>
            <w:vAlign w:val="bottom"/>
            <w:hideMark/>
          </w:tcPr>
          <w:p w14:paraId="545C6D01" w14:textId="77777777" w:rsidR="004576CC" w:rsidRPr="00B97923" w:rsidRDefault="004576CC" w:rsidP="004576CC">
            <w:pPr>
              <w:rPr>
                <w:rFonts w:ascii="Arial" w:hAnsi="Arial" w:cs="Arial"/>
                <w:color w:val="000000"/>
                <w:sz w:val="21"/>
                <w:szCs w:val="21"/>
                <w:lang w:val="en-US"/>
              </w:rPr>
            </w:pPr>
            <w:r w:rsidRPr="00B97923">
              <w:rPr>
                <w:rFonts w:ascii="Arial" w:hAnsi="Arial" w:cs="Arial"/>
                <w:color w:val="000000"/>
                <w:sz w:val="21"/>
                <w:szCs w:val="21"/>
                <w:lang w:val="en-US"/>
              </w:rPr>
              <w:t> </w:t>
            </w:r>
          </w:p>
        </w:tc>
        <w:tc>
          <w:tcPr>
            <w:tcW w:w="914" w:type="dxa"/>
            <w:tcBorders>
              <w:top w:val="single" w:sz="24" w:space="0" w:color="auto"/>
              <w:left w:val="nil"/>
              <w:bottom w:val="nil"/>
              <w:right w:val="nil"/>
            </w:tcBorders>
            <w:shd w:val="clear" w:color="auto" w:fill="FFFFFF" w:themeFill="background1"/>
            <w:noWrap/>
            <w:vAlign w:val="bottom"/>
            <w:hideMark/>
          </w:tcPr>
          <w:p w14:paraId="78CEB021" w14:textId="77777777" w:rsidR="004576CC" w:rsidRPr="00B97923" w:rsidRDefault="004576CC" w:rsidP="004576CC">
            <w:pPr>
              <w:rPr>
                <w:rFonts w:ascii="Arial" w:hAnsi="Arial" w:cs="Arial"/>
                <w:color w:val="000000"/>
                <w:sz w:val="21"/>
                <w:szCs w:val="21"/>
                <w:lang w:val="en-US"/>
              </w:rPr>
            </w:pPr>
            <w:r w:rsidRPr="00B97923">
              <w:rPr>
                <w:rFonts w:ascii="Arial" w:hAnsi="Arial" w:cs="Arial"/>
                <w:color w:val="000000"/>
                <w:sz w:val="21"/>
                <w:szCs w:val="21"/>
                <w:lang w:val="en-US"/>
              </w:rPr>
              <w:t> </w:t>
            </w:r>
          </w:p>
        </w:tc>
        <w:tc>
          <w:tcPr>
            <w:tcW w:w="873" w:type="dxa"/>
            <w:tcBorders>
              <w:top w:val="single" w:sz="24" w:space="0" w:color="auto"/>
              <w:left w:val="nil"/>
              <w:bottom w:val="nil"/>
              <w:right w:val="nil"/>
            </w:tcBorders>
            <w:shd w:val="clear" w:color="auto" w:fill="FFFFFF" w:themeFill="background1"/>
            <w:noWrap/>
            <w:vAlign w:val="bottom"/>
            <w:hideMark/>
          </w:tcPr>
          <w:p w14:paraId="2C47E0FE" w14:textId="77777777" w:rsidR="004576CC" w:rsidRPr="00B97923" w:rsidRDefault="004576CC" w:rsidP="004576CC">
            <w:pPr>
              <w:rPr>
                <w:rFonts w:ascii="Arial" w:hAnsi="Arial" w:cs="Arial"/>
                <w:color w:val="000000"/>
                <w:sz w:val="21"/>
                <w:szCs w:val="21"/>
                <w:lang w:val="en-US"/>
              </w:rPr>
            </w:pPr>
            <w:r w:rsidRPr="00B97923">
              <w:rPr>
                <w:rFonts w:ascii="Arial" w:hAnsi="Arial" w:cs="Arial"/>
                <w:color w:val="000000"/>
                <w:sz w:val="21"/>
                <w:szCs w:val="21"/>
                <w:lang w:val="en-US"/>
              </w:rPr>
              <w:t> </w:t>
            </w:r>
          </w:p>
        </w:tc>
        <w:tc>
          <w:tcPr>
            <w:tcW w:w="914" w:type="dxa"/>
            <w:tcBorders>
              <w:top w:val="single" w:sz="24" w:space="0" w:color="auto"/>
              <w:left w:val="nil"/>
              <w:bottom w:val="nil"/>
              <w:right w:val="nil"/>
            </w:tcBorders>
            <w:shd w:val="clear" w:color="auto" w:fill="FFFFFF" w:themeFill="background1"/>
            <w:noWrap/>
            <w:vAlign w:val="bottom"/>
            <w:hideMark/>
          </w:tcPr>
          <w:p w14:paraId="5C8F459E" w14:textId="77777777" w:rsidR="004576CC" w:rsidRPr="00B97923" w:rsidRDefault="004576CC" w:rsidP="004576CC">
            <w:pPr>
              <w:rPr>
                <w:rFonts w:ascii="Arial" w:hAnsi="Arial" w:cs="Arial"/>
                <w:color w:val="000000"/>
                <w:sz w:val="21"/>
                <w:szCs w:val="21"/>
                <w:lang w:val="en-US"/>
              </w:rPr>
            </w:pPr>
            <w:r w:rsidRPr="00B97923">
              <w:rPr>
                <w:rFonts w:ascii="Arial" w:hAnsi="Arial" w:cs="Arial"/>
                <w:color w:val="000000"/>
                <w:sz w:val="21"/>
                <w:szCs w:val="21"/>
                <w:lang w:val="en-US"/>
              </w:rPr>
              <w:t> </w:t>
            </w:r>
          </w:p>
        </w:tc>
        <w:tc>
          <w:tcPr>
            <w:tcW w:w="873" w:type="dxa"/>
            <w:tcBorders>
              <w:top w:val="single" w:sz="24" w:space="0" w:color="auto"/>
              <w:left w:val="nil"/>
              <w:bottom w:val="nil"/>
              <w:right w:val="nil"/>
            </w:tcBorders>
            <w:shd w:val="clear" w:color="auto" w:fill="FFFFFF" w:themeFill="background1"/>
            <w:noWrap/>
            <w:vAlign w:val="bottom"/>
            <w:hideMark/>
          </w:tcPr>
          <w:p w14:paraId="7F6E93F7" w14:textId="77777777" w:rsidR="004576CC" w:rsidRPr="00B97923" w:rsidRDefault="004576CC" w:rsidP="004576CC">
            <w:pPr>
              <w:rPr>
                <w:rFonts w:ascii="Arial" w:hAnsi="Arial" w:cs="Arial"/>
                <w:color w:val="000000"/>
                <w:sz w:val="21"/>
                <w:szCs w:val="21"/>
                <w:lang w:val="en-US"/>
              </w:rPr>
            </w:pPr>
            <w:r w:rsidRPr="00B97923">
              <w:rPr>
                <w:rFonts w:ascii="Arial" w:hAnsi="Arial" w:cs="Arial"/>
                <w:color w:val="000000"/>
                <w:sz w:val="21"/>
                <w:szCs w:val="21"/>
                <w:lang w:val="en-US"/>
              </w:rPr>
              <w:t> </w:t>
            </w:r>
          </w:p>
        </w:tc>
        <w:tc>
          <w:tcPr>
            <w:tcW w:w="914" w:type="dxa"/>
            <w:tcBorders>
              <w:top w:val="single" w:sz="24" w:space="0" w:color="auto"/>
              <w:left w:val="nil"/>
              <w:bottom w:val="nil"/>
              <w:right w:val="nil"/>
            </w:tcBorders>
            <w:shd w:val="clear" w:color="auto" w:fill="FFFFFF" w:themeFill="background1"/>
            <w:noWrap/>
            <w:vAlign w:val="bottom"/>
            <w:hideMark/>
          </w:tcPr>
          <w:p w14:paraId="502F5534" w14:textId="77777777" w:rsidR="004576CC" w:rsidRPr="00B97923" w:rsidRDefault="004576CC" w:rsidP="004576CC">
            <w:pPr>
              <w:rPr>
                <w:rFonts w:ascii="Arial" w:hAnsi="Arial" w:cs="Arial"/>
                <w:color w:val="000000"/>
                <w:sz w:val="21"/>
                <w:szCs w:val="21"/>
                <w:lang w:val="en-US"/>
              </w:rPr>
            </w:pPr>
            <w:r w:rsidRPr="00B97923">
              <w:rPr>
                <w:rFonts w:ascii="Arial" w:hAnsi="Arial" w:cs="Arial"/>
                <w:color w:val="000000"/>
                <w:sz w:val="21"/>
                <w:szCs w:val="21"/>
                <w:lang w:val="en-US"/>
              </w:rPr>
              <w:t> </w:t>
            </w:r>
          </w:p>
        </w:tc>
        <w:tc>
          <w:tcPr>
            <w:tcW w:w="875" w:type="dxa"/>
            <w:tcBorders>
              <w:top w:val="single" w:sz="24" w:space="0" w:color="auto"/>
              <w:left w:val="nil"/>
              <w:bottom w:val="nil"/>
              <w:right w:val="nil"/>
            </w:tcBorders>
            <w:shd w:val="clear" w:color="auto" w:fill="FFFFFF" w:themeFill="background1"/>
            <w:noWrap/>
            <w:vAlign w:val="bottom"/>
            <w:hideMark/>
          </w:tcPr>
          <w:p w14:paraId="42E48A13" w14:textId="77777777" w:rsidR="004576CC" w:rsidRPr="00B97923" w:rsidRDefault="004576CC" w:rsidP="004576CC">
            <w:pPr>
              <w:rPr>
                <w:rFonts w:ascii="Arial" w:hAnsi="Arial" w:cs="Arial"/>
                <w:color w:val="000000"/>
                <w:sz w:val="21"/>
                <w:szCs w:val="21"/>
                <w:lang w:val="en-US"/>
              </w:rPr>
            </w:pPr>
            <w:r w:rsidRPr="00B97923">
              <w:rPr>
                <w:rFonts w:ascii="Arial" w:hAnsi="Arial" w:cs="Arial"/>
                <w:color w:val="000000"/>
                <w:sz w:val="21"/>
                <w:szCs w:val="21"/>
                <w:lang w:val="en-US"/>
              </w:rPr>
              <w:t> </w:t>
            </w:r>
          </w:p>
        </w:tc>
      </w:tr>
      <w:tr w:rsidR="004576CC" w:rsidRPr="00B97923" w14:paraId="05E9660C"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7B75995A" w14:textId="40FDCBF0" w:rsidR="004576CC" w:rsidRPr="00B97923" w:rsidRDefault="00412B0B" w:rsidP="004576CC">
            <w:pPr>
              <w:jc w:val="center"/>
              <w:rPr>
                <w:rFonts w:ascii="Arial" w:hAnsi="Arial" w:cs="Arial"/>
                <w:b/>
                <w:bCs/>
                <w:color w:val="000000"/>
                <w:sz w:val="21"/>
                <w:szCs w:val="21"/>
              </w:rPr>
            </w:pPr>
            <w:r w:rsidRPr="00B97923">
              <w:rPr>
                <w:rFonts w:ascii="Arial" w:hAnsi="Arial" w:cs="Arial"/>
                <w:b/>
                <w:bCs/>
                <w:color w:val="000000"/>
                <w:sz w:val="21"/>
                <w:szCs w:val="21"/>
              </w:rPr>
              <w:t>E</w:t>
            </w:r>
            <w:r w:rsidR="004576CC" w:rsidRPr="00B97923">
              <w:rPr>
                <w:rFonts w:ascii="Arial" w:hAnsi="Arial" w:cs="Arial"/>
                <w:b/>
                <w:bCs/>
                <w:color w:val="000000"/>
                <w:sz w:val="21"/>
                <w:szCs w:val="21"/>
              </w:rPr>
              <w:t>ntity</w:t>
            </w:r>
          </w:p>
        </w:tc>
        <w:tc>
          <w:tcPr>
            <w:tcW w:w="1605" w:type="dxa"/>
            <w:tcBorders>
              <w:top w:val="nil"/>
              <w:left w:val="nil"/>
              <w:bottom w:val="nil"/>
              <w:right w:val="nil"/>
            </w:tcBorders>
            <w:shd w:val="clear" w:color="auto" w:fill="FFFFFF" w:themeFill="background1"/>
            <w:noWrap/>
            <w:vAlign w:val="bottom"/>
            <w:hideMark/>
          </w:tcPr>
          <w:p w14:paraId="69891C03" w14:textId="38CAFB07" w:rsidR="004576CC" w:rsidRPr="00B97923" w:rsidRDefault="00412B0B" w:rsidP="004576CC">
            <w:pPr>
              <w:rPr>
                <w:rFonts w:ascii="Arial" w:hAnsi="Arial" w:cs="Arial"/>
                <w:b/>
                <w:bCs/>
                <w:color w:val="000000"/>
                <w:sz w:val="21"/>
                <w:szCs w:val="21"/>
              </w:rPr>
            </w:pPr>
            <w:r w:rsidRPr="00B97923">
              <w:rPr>
                <w:rFonts w:ascii="Arial" w:hAnsi="Arial" w:cs="Arial"/>
                <w:b/>
                <w:bCs/>
                <w:color w:val="000000"/>
                <w:sz w:val="21"/>
                <w:szCs w:val="21"/>
              </w:rPr>
              <w:t>P</w:t>
            </w:r>
            <w:r w:rsidR="004576CC" w:rsidRPr="00B97923">
              <w:rPr>
                <w:rFonts w:ascii="Arial" w:hAnsi="Arial" w:cs="Arial"/>
                <w:b/>
                <w:bCs/>
                <w:color w:val="000000"/>
                <w:sz w:val="21"/>
                <w:szCs w:val="21"/>
              </w:rPr>
              <w:t>arameter</w:t>
            </w:r>
          </w:p>
        </w:tc>
        <w:tc>
          <w:tcPr>
            <w:tcW w:w="715" w:type="dxa"/>
            <w:tcBorders>
              <w:top w:val="nil"/>
              <w:left w:val="nil"/>
              <w:bottom w:val="nil"/>
              <w:right w:val="nil"/>
            </w:tcBorders>
            <w:shd w:val="clear" w:color="auto" w:fill="FFFFFF" w:themeFill="background1"/>
            <w:noWrap/>
            <w:vAlign w:val="bottom"/>
            <w:hideMark/>
          </w:tcPr>
          <w:p w14:paraId="4C0484EB" w14:textId="36A3E627" w:rsidR="004576CC" w:rsidRPr="00B97923" w:rsidRDefault="00412B0B" w:rsidP="004576CC">
            <w:pPr>
              <w:rPr>
                <w:rFonts w:ascii="Arial" w:hAnsi="Arial" w:cs="Arial"/>
                <w:b/>
                <w:bCs/>
                <w:color w:val="000000"/>
                <w:sz w:val="21"/>
                <w:szCs w:val="21"/>
              </w:rPr>
            </w:pPr>
            <w:r w:rsidRPr="00B97923">
              <w:rPr>
                <w:rFonts w:ascii="Arial" w:hAnsi="Arial" w:cs="Arial"/>
                <w:b/>
                <w:bCs/>
                <w:color w:val="000000"/>
                <w:sz w:val="21"/>
                <w:szCs w:val="21"/>
              </w:rPr>
              <w:t>U</w:t>
            </w:r>
            <w:r w:rsidR="004576CC" w:rsidRPr="00B97923">
              <w:rPr>
                <w:rFonts w:ascii="Arial" w:hAnsi="Arial" w:cs="Arial"/>
                <w:b/>
                <w:bCs/>
                <w:color w:val="000000"/>
                <w:sz w:val="21"/>
                <w:szCs w:val="21"/>
              </w:rPr>
              <w:t>nit</w:t>
            </w:r>
          </w:p>
        </w:tc>
        <w:tc>
          <w:tcPr>
            <w:tcW w:w="5363" w:type="dxa"/>
            <w:gridSpan w:val="6"/>
            <w:tcBorders>
              <w:top w:val="nil"/>
              <w:left w:val="nil"/>
              <w:bottom w:val="single" w:sz="4" w:space="0" w:color="auto"/>
              <w:right w:val="nil"/>
            </w:tcBorders>
            <w:shd w:val="clear" w:color="auto" w:fill="FFFFFF" w:themeFill="background1"/>
            <w:noWrap/>
            <w:vAlign w:val="bottom"/>
            <w:hideMark/>
          </w:tcPr>
          <w:p w14:paraId="646BFF70" w14:textId="2671E141"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 xml:space="preserve">First </w:t>
            </w:r>
            <w:r w:rsidR="00410EB9">
              <w:rPr>
                <w:rFonts w:ascii="Arial" w:hAnsi="Arial" w:cs="Arial"/>
                <w:b/>
                <w:bCs/>
                <w:color w:val="000000"/>
                <w:sz w:val="21"/>
                <w:szCs w:val="21"/>
              </w:rPr>
              <w:t>R</w:t>
            </w:r>
            <w:r w:rsidRPr="00B97923">
              <w:rPr>
                <w:rFonts w:ascii="Arial" w:hAnsi="Arial" w:cs="Arial"/>
                <w:b/>
                <w:bCs/>
                <w:color w:val="000000"/>
                <w:sz w:val="21"/>
                <w:szCs w:val="21"/>
              </w:rPr>
              <w:t>ead</w:t>
            </w:r>
          </w:p>
        </w:tc>
        <w:tc>
          <w:tcPr>
            <w:tcW w:w="873" w:type="dxa"/>
            <w:tcBorders>
              <w:top w:val="nil"/>
              <w:left w:val="nil"/>
              <w:bottom w:val="nil"/>
              <w:right w:val="nil"/>
            </w:tcBorders>
            <w:shd w:val="clear" w:color="auto" w:fill="FFFFFF" w:themeFill="background1"/>
            <w:noWrap/>
            <w:vAlign w:val="bottom"/>
            <w:hideMark/>
          </w:tcPr>
          <w:p w14:paraId="1E336440"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5363" w:type="dxa"/>
            <w:gridSpan w:val="6"/>
            <w:tcBorders>
              <w:top w:val="nil"/>
              <w:left w:val="nil"/>
              <w:bottom w:val="single" w:sz="4" w:space="0" w:color="auto"/>
              <w:right w:val="nil"/>
            </w:tcBorders>
            <w:shd w:val="clear" w:color="auto" w:fill="FFFFFF" w:themeFill="background1"/>
            <w:noWrap/>
            <w:vAlign w:val="bottom"/>
            <w:hideMark/>
          </w:tcPr>
          <w:p w14:paraId="3499A8B1" w14:textId="69922DDE"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 xml:space="preserve">Second </w:t>
            </w:r>
            <w:r w:rsidR="00410EB9">
              <w:rPr>
                <w:rFonts w:ascii="Arial" w:hAnsi="Arial" w:cs="Arial"/>
                <w:b/>
                <w:bCs/>
                <w:color w:val="000000"/>
                <w:sz w:val="21"/>
                <w:szCs w:val="21"/>
              </w:rPr>
              <w:t>R</w:t>
            </w:r>
            <w:r w:rsidRPr="00B97923">
              <w:rPr>
                <w:rFonts w:ascii="Arial" w:hAnsi="Arial" w:cs="Arial"/>
                <w:b/>
                <w:bCs/>
                <w:color w:val="000000"/>
                <w:sz w:val="21"/>
                <w:szCs w:val="21"/>
              </w:rPr>
              <w:t>ead</w:t>
            </w:r>
          </w:p>
        </w:tc>
      </w:tr>
      <w:tr w:rsidR="004576CC" w:rsidRPr="00B97923" w14:paraId="64CB8E1E"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65FC825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23225034"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nil"/>
              <w:right w:val="nil"/>
            </w:tcBorders>
            <w:shd w:val="clear" w:color="auto" w:fill="FFFFFF" w:themeFill="background1"/>
            <w:noWrap/>
            <w:vAlign w:val="bottom"/>
            <w:hideMark/>
          </w:tcPr>
          <w:p w14:paraId="766B9E9F"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19B141C2"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40347D0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38AD4F4F"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6BC85466"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7F5AD0ED"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5" w:type="dxa"/>
            <w:tcBorders>
              <w:top w:val="nil"/>
              <w:left w:val="nil"/>
              <w:bottom w:val="nil"/>
              <w:right w:val="nil"/>
            </w:tcBorders>
            <w:shd w:val="clear" w:color="auto" w:fill="FFFFFF" w:themeFill="background1"/>
            <w:noWrap/>
            <w:vAlign w:val="bottom"/>
            <w:hideMark/>
          </w:tcPr>
          <w:p w14:paraId="5A0E084F"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6761B469"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2A5307B2"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4E5B128D"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16E391BA"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335A52A1"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2B20BDF6" w14:textId="77777777" w:rsidR="004576CC" w:rsidRPr="00B97923" w:rsidRDefault="004576CC" w:rsidP="004576CC">
            <w:pPr>
              <w:rPr>
                <w:rFonts w:ascii="Arial" w:hAnsi="Arial" w:cs="Arial"/>
                <w:sz w:val="21"/>
                <w:szCs w:val="21"/>
              </w:rPr>
            </w:pPr>
            <w:r w:rsidRPr="00B97923">
              <w:rPr>
                <w:rFonts w:ascii="Arial" w:hAnsi="Arial" w:cs="Arial"/>
                <w:sz w:val="21"/>
                <w:szCs w:val="21"/>
              </w:rPr>
              <w:t> </w:t>
            </w:r>
          </w:p>
        </w:tc>
        <w:tc>
          <w:tcPr>
            <w:tcW w:w="875" w:type="dxa"/>
            <w:tcBorders>
              <w:top w:val="nil"/>
              <w:left w:val="nil"/>
              <w:bottom w:val="nil"/>
              <w:right w:val="nil"/>
            </w:tcBorders>
            <w:shd w:val="clear" w:color="auto" w:fill="FFFFFF" w:themeFill="background1"/>
            <w:noWrap/>
            <w:vAlign w:val="bottom"/>
            <w:hideMark/>
          </w:tcPr>
          <w:p w14:paraId="2224472F" w14:textId="77777777" w:rsidR="004576CC" w:rsidRPr="00B97923" w:rsidRDefault="004576CC" w:rsidP="004576CC">
            <w:pPr>
              <w:rPr>
                <w:rFonts w:ascii="Arial" w:hAnsi="Arial" w:cs="Arial"/>
                <w:sz w:val="21"/>
                <w:szCs w:val="21"/>
              </w:rPr>
            </w:pPr>
            <w:r w:rsidRPr="00B97923">
              <w:rPr>
                <w:rFonts w:ascii="Arial" w:hAnsi="Arial" w:cs="Arial"/>
                <w:sz w:val="21"/>
                <w:szCs w:val="21"/>
              </w:rPr>
              <w:t> </w:t>
            </w:r>
          </w:p>
        </w:tc>
      </w:tr>
      <w:tr w:rsidR="004576CC" w:rsidRPr="00B97923" w14:paraId="1711C7AE"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70181001"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662AE0E9"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nil"/>
              <w:right w:val="nil"/>
            </w:tcBorders>
            <w:shd w:val="clear" w:color="auto" w:fill="FFFFFF" w:themeFill="background1"/>
            <w:noWrap/>
            <w:vAlign w:val="bottom"/>
            <w:hideMark/>
          </w:tcPr>
          <w:p w14:paraId="16032FE0"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1787" w:type="dxa"/>
            <w:gridSpan w:val="2"/>
            <w:tcBorders>
              <w:top w:val="nil"/>
              <w:left w:val="nil"/>
              <w:bottom w:val="single" w:sz="4" w:space="0" w:color="auto"/>
              <w:right w:val="nil"/>
            </w:tcBorders>
            <w:shd w:val="clear" w:color="auto" w:fill="FFFFFF" w:themeFill="background1"/>
            <w:noWrap/>
            <w:vAlign w:val="bottom"/>
            <w:hideMark/>
          </w:tcPr>
          <w:p w14:paraId="13506710"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FWHM</w:t>
            </w:r>
          </w:p>
        </w:tc>
        <w:tc>
          <w:tcPr>
            <w:tcW w:w="1787" w:type="dxa"/>
            <w:gridSpan w:val="2"/>
            <w:tcBorders>
              <w:top w:val="nil"/>
              <w:left w:val="nil"/>
              <w:bottom w:val="single" w:sz="4" w:space="0" w:color="auto"/>
              <w:right w:val="nil"/>
            </w:tcBorders>
            <w:shd w:val="clear" w:color="auto" w:fill="FFFFFF" w:themeFill="background1"/>
            <w:noWrap/>
            <w:vAlign w:val="bottom"/>
            <w:hideMark/>
          </w:tcPr>
          <w:p w14:paraId="0E8E9D9E"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Manual</w:t>
            </w:r>
          </w:p>
        </w:tc>
        <w:tc>
          <w:tcPr>
            <w:tcW w:w="1789" w:type="dxa"/>
            <w:gridSpan w:val="2"/>
            <w:tcBorders>
              <w:top w:val="nil"/>
              <w:left w:val="nil"/>
              <w:bottom w:val="single" w:sz="4" w:space="0" w:color="auto"/>
              <w:right w:val="nil"/>
            </w:tcBorders>
            <w:shd w:val="clear" w:color="auto" w:fill="FFFFFF" w:themeFill="background1"/>
            <w:noWrap/>
            <w:vAlign w:val="bottom"/>
            <w:hideMark/>
          </w:tcPr>
          <w:p w14:paraId="104170D9"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6-SD</w:t>
            </w:r>
          </w:p>
        </w:tc>
        <w:tc>
          <w:tcPr>
            <w:tcW w:w="873" w:type="dxa"/>
            <w:tcBorders>
              <w:top w:val="nil"/>
              <w:left w:val="nil"/>
              <w:bottom w:val="nil"/>
              <w:right w:val="nil"/>
            </w:tcBorders>
            <w:shd w:val="clear" w:color="auto" w:fill="FFFFFF" w:themeFill="background1"/>
            <w:noWrap/>
            <w:vAlign w:val="bottom"/>
            <w:hideMark/>
          </w:tcPr>
          <w:p w14:paraId="3992DC05"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1787" w:type="dxa"/>
            <w:gridSpan w:val="2"/>
            <w:tcBorders>
              <w:top w:val="nil"/>
              <w:left w:val="nil"/>
              <w:bottom w:val="single" w:sz="4" w:space="0" w:color="auto"/>
              <w:right w:val="nil"/>
            </w:tcBorders>
            <w:shd w:val="clear" w:color="auto" w:fill="FFFFFF" w:themeFill="background1"/>
            <w:noWrap/>
            <w:vAlign w:val="bottom"/>
            <w:hideMark/>
          </w:tcPr>
          <w:p w14:paraId="520F8594"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FWHM</w:t>
            </w:r>
          </w:p>
        </w:tc>
        <w:tc>
          <w:tcPr>
            <w:tcW w:w="1787" w:type="dxa"/>
            <w:gridSpan w:val="2"/>
            <w:tcBorders>
              <w:top w:val="nil"/>
              <w:left w:val="nil"/>
              <w:bottom w:val="single" w:sz="4" w:space="0" w:color="auto"/>
              <w:right w:val="nil"/>
            </w:tcBorders>
            <w:shd w:val="clear" w:color="auto" w:fill="FFFFFF" w:themeFill="background1"/>
            <w:noWrap/>
            <w:vAlign w:val="bottom"/>
            <w:hideMark/>
          </w:tcPr>
          <w:p w14:paraId="38846FD5"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Manual</w:t>
            </w:r>
          </w:p>
        </w:tc>
        <w:tc>
          <w:tcPr>
            <w:tcW w:w="1789" w:type="dxa"/>
            <w:gridSpan w:val="2"/>
            <w:tcBorders>
              <w:top w:val="nil"/>
              <w:left w:val="nil"/>
              <w:bottom w:val="single" w:sz="4" w:space="0" w:color="auto"/>
              <w:right w:val="nil"/>
            </w:tcBorders>
            <w:shd w:val="clear" w:color="auto" w:fill="FFFFFF" w:themeFill="background1"/>
            <w:noWrap/>
            <w:vAlign w:val="bottom"/>
            <w:hideMark/>
          </w:tcPr>
          <w:p w14:paraId="4BC31BE4"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6-SD</w:t>
            </w:r>
          </w:p>
        </w:tc>
      </w:tr>
      <w:tr w:rsidR="004576CC" w:rsidRPr="00B97923" w14:paraId="3115BB90" w14:textId="77777777" w:rsidTr="27EEF6FD">
        <w:trPr>
          <w:trHeight w:val="194"/>
        </w:trPr>
        <w:tc>
          <w:tcPr>
            <w:tcW w:w="963" w:type="dxa"/>
            <w:tcBorders>
              <w:top w:val="single" w:sz="4" w:space="0" w:color="auto"/>
              <w:left w:val="nil"/>
              <w:bottom w:val="nil"/>
              <w:right w:val="nil"/>
            </w:tcBorders>
            <w:shd w:val="clear" w:color="auto" w:fill="FFFFFF" w:themeFill="background1"/>
            <w:noWrap/>
            <w:vAlign w:val="bottom"/>
            <w:hideMark/>
          </w:tcPr>
          <w:p w14:paraId="20262D7D"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CMI</w:t>
            </w:r>
          </w:p>
        </w:tc>
        <w:tc>
          <w:tcPr>
            <w:tcW w:w="1605" w:type="dxa"/>
            <w:tcBorders>
              <w:top w:val="single" w:sz="4" w:space="0" w:color="auto"/>
              <w:left w:val="nil"/>
              <w:bottom w:val="nil"/>
              <w:right w:val="nil"/>
            </w:tcBorders>
            <w:shd w:val="clear" w:color="auto" w:fill="FFFFFF" w:themeFill="background1"/>
            <w:noWrap/>
            <w:vAlign w:val="bottom"/>
            <w:hideMark/>
          </w:tcPr>
          <w:p w14:paraId="73ABCEA0" w14:textId="77777777" w:rsidR="004576CC" w:rsidRPr="00B97923" w:rsidRDefault="004576CC" w:rsidP="004576CC">
            <w:pPr>
              <w:rPr>
                <w:rFonts w:ascii="Arial" w:hAnsi="Arial" w:cs="Arial"/>
                <w:b/>
                <w:bCs/>
                <w:color w:val="000000"/>
                <w:sz w:val="21"/>
                <w:szCs w:val="21"/>
              </w:rPr>
            </w:pPr>
            <w:r w:rsidRPr="00B97923">
              <w:rPr>
                <w:rFonts w:ascii="Arial" w:hAnsi="Arial" w:cs="Arial"/>
                <w:b/>
                <w:bCs/>
                <w:color w:val="000000"/>
                <w:sz w:val="21"/>
                <w:szCs w:val="21"/>
                <w:lang w:val="en-US"/>
              </w:rPr>
              <w:t>LVM</w:t>
            </w:r>
          </w:p>
        </w:tc>
        <w:tc>
          <w:tcPr>
            <w:tcW w:w="715" w:type="dxa"/>
            <w:tcBorders>
              <w:top w:val="single" w:sz="4" w:space="0" w:color="auto"/>
              <w:left w:val="nil"/>
              <w:bottom w:val="nil"/>
              <w:right w:val="nil"/>
            </w:tcBorders>
            <w:shd w:val="clear" w:color="auto" w:fill="FFFFFF" w:themeFill="background1"/>
            <w:noWrap/>
            <w:vAlign w:val="bottom"/>
            <w:hideMark/>
          </w:tcPr>
          <w:p w14:paraId="2122D580"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lang w:val="en-US"/>
              </w:rPr>
              <w:t>[ml]</w:t>
            </w:r>
          </w:p>
        </w:tc>
        <w:tc>
          <w:tcPr>
            <w:tcW w:w="914" w:type="dxa"/>
            <w:tcBorders>
              <w:top w:val="nil"/>
              <w:left w:val="nil"/>
              <w:bottom w:val="nil"/>
              <w:right w:val="nil"/>
            </w:tcBorders>
            <w:shd w:val="clear" w:color="auto" w:fill="FFFFFF" w:themeFill="background1"/>
            <w:noWrap/>
            <w:vAlign w:val="bottom"/>
            <w:hideMark/>
          </w:tcPr>
          <w:p w14:paraId="50654F43"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91.6</w:t>
            </w:r>
          </w:p>
        </w:tc>
        <w:tc>
          <w:tcPr>
            <w:tcW w:w="873" w:type="dxa"/>
            <w:tcBorders>
              <w:top w:val="nil"/>
              <w:left w:val="nil"/>
              <w:bottom w:val="nil"/>
              <w:right w:val="nil"/>
            </w:tcBorders>
            <w:shd w:val="clear" w:color="auto" w:fill="FFFFFF" w:themeFill="background1"/>
            <w:noWrap/>
            <w:vAlign w:val="bottom"/>
            <w:hideMark/>
          </w:tcPr>
          <w:p w14:paraId="599EAD48" w14:textId="77777777" w:rsidR="004576CC" w:rsidRPr="00B97923" w:rsidRDefault="004576CC" w:rsidP="004576CC">
            <w:pPr>
              <w:rPr>
                <w:rFonts w:ascii="Arial" w:hAnsi="Arial" w:cs="Arial"/>
                <w:sz w:val="21"/>
                <w:szCs w:val="21"/>
              </w:rPr>
            </w:pPr>
            <w:r w:rsidRPr="00B97923">
              <w:rPr>
                <w:rFonts w:ascii="Arial" w:hAnsi="Arial" w:cs="Arial"/>
                <w:sz w:val="21"/>
                <w:szCs w:val="21"/>
              </w:rPr>
              <w:t>± 27.0</w:t>
            </w:r>
          </w:p>
        </w:tc>
        <w:tc>
          <w:tcPr>
            <w:tcW w:w="914" w:type="dxa"/>
            <w:tcBorders>
              <w:top w:val="nil"/>
              <w:left w:val="nil"/>
              <w:bottom w:val="nil"/>
              <w:right w:val="nil"/>
            </w:tcBorders>
            <w:shd w:val="clear" w:color="auto" w:fill="FFFFFF" w:themeFill="background1"/>
            <w:noWrap/>
            <w:vAlign w:val="bottom"/>
            <w:hideMark/>
          </w:tcPr>
          <w:p w14:paraId="376A8B3C"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91.6</w:t>
            </w:r>
          </w:p>
        </w:tc>
        <w:tc>
          <w:tcPr>
            <w:tcW w:w="873" w:type="dxa"/>
            <w:tcBorders>
              <w:top w:val="nil"/>
              <w:left w:val="nil"/>
              <w:bottom w:val="nil"/>
              <w:right w:val="nil"/>
            </w:tcBorders>
            <w:shd w:val="clear" w:color="auto" w:fill="FFFFFF" w:themeFill="background1"/>
            <w:noWrap/>
            <w:vAlign w:val="bottom"/>
            <w:hideMark/>
          </w:tcPr>
          <w:p w14:paraId="0D6C3BBD" w14:textId="77777777" w:rsidR="004576CC" w:rsidRPr="00B97923" w:rsidRDefault="004576CC" w:rsidP="004576CC">
            <w:pPr>
              <w:rPr>
                <w:rFonts w:ascii="Arial" w:hAnsi="Arial" w:cs="Arial"/>
                <w:sz w:val="21"/>
                <w:szCs w:val="21"/>
              </w:rPr>
            </w:pPr>
            <w:r w:rsidRPr="00B97923">
              <w:rPr>
                <w:rFonts w:ascii="Arial" w:hAnsi="Arial" w:cs="Arial"/>
                <w:sz w:val="21"/>
                <w:szCs w:val="21"/>
              </w:rPr>
              <w:t>± 27.0</w:t>
            </w:r>
          </w:p>
        </w:tc>
        <w:tc>
          <w:tcPr>
            <w:tcW w:w="914" w:type="dxa"/>
            <w:tcBorders>
              <w:top w:val="nil"/>
              <w:left w:val="nil"/>
              <w:bottom w:val="nil"/>
              <w:right w:val="nil"/>
            </w:tcBorders>
            <w:shd w:val="clear" w:color="auto" w:fill="FFFFFF" w:themeFill="background1"/>
            <w:noWrap/>
            <w:vAlign w:val="bottom"/>
            <w:hideMark/>
          </w:tcPr>
          <w:p w14:paraId="0C3C8B51" w14:textId="59B823DD" w:rsidR="004576CC" w:rsidRPr="00B97923" w:rsidRDefault="004576CC" w:rsidP="004576CC">
            <w:pPr>
              <w:jc w:val="right"/>
              <w:rPr>
                <w:rFonts w:ascii="Arial" w:hAnsi="Arial" w:cs="Arial"/>
                <w:sz w:val="21"/>
                <w:szCs w:val="21"/>
              </w:rPr>
            </w:pPr>
            <w:r w:rsidRPr="00B97923">
              <w:rPr>
                <w:rFonts w:ascii="Arial" w:hAnsi="Arial" w:cs="Arial"/>
                <w:sz w:val="21"/>
                <w:szCs w:val="21"/>
              </w:rPr>
              <w:t>91.6</w:t>
            </w:r>
          </w:p>
        </w:tc>
        <w:tc>
          <w:tcPr>
            <w:tcW w:w="875" w:type="dxa"/>
            <w:tcBorders>
              <w:top w:val="nil"/>
              <w:left w:val="nil"/>
              <w:bottom w:val="nil"/>
              <w:right w:val="nil"/>
            </w:tcBorders>
            <w:shd w:val="clear" w:color="auto" w:fill="FFFFFF" w:themeFill="background1"/>
            <w:noWrap/>
            <w:vAlign w:val="bottom"/>
            <w:hideMark/>
          </w:tcPr>
          <w:p w14:paraId="09B96B1C" w14:textId="77777777" w:rsidR="004576CC" w:rsidRPr="00B97923" w:rsidRDefault="004576CC" w:rsidP="004576CC">
            <w:pPr>
              <w:rPr>
                <w:rFonts w:ascii="Arial" w:hAnsi="Arial" w:cs="Arial"/>
                <w:sz w:val="21"/>
                <w:szCs w:val="21"/>
              </w:rPr>
            </w:pPr>
            <w:r w:rsidRPr="00B97923">
              <w:rPr>
                <w:rFonts w:ascii="Arial" w:hAnsi="Arial" w:cs="Arial"/>
                <w:sz w:val="21"/>
                <w:szCs w:val="21"/>
              </w:rPr>
              <w:t>± 27.0</w:t>
            </w:r>
          </w:p>
        </w:tc>
        <w:tc>
          <w:tcPr>
            <w:tcW w:w="873" w:type="dxa"/>
            <w:tcBorders>
              <w:top w:val="nil"/>
              <w:left w:val="nil"/>
              <w:bottom w:val="nil"/>
              <w:right w:val="nil"/>
            </w:tcBorders>
            <w:shd w:val="clear" w:color="auto" w:fill="FFFFFF" w:themeFill="background1"/>
            <w:noWrap/>
            <w:vAlign w:val="bottom"/>
            <w:hideMark/>
          </w:tcPr>
          <w:p w14:paraId="294ECBF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4EF4994D"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88.5</w:t>
            </w:r>
          </w:p>
        </w:tc>
        <w:tc>
          <w:tcPr>
            <w:tcW w:w="873" w:type="dxa"/>
            <w:tcBorders>
              <w:top w:val="nil"/>
              <w:left w:val="nil"/>
              <w:bottom w:val="nil"/>
              <w:right w:val="nil"/>
            </w:tcBorders>
            <w:shd w:val="clear" w:color="auto" w:fill="FFFFFF" w:themeFill="background1"/>
            <w:noWrap/>
            <w:vAlign w:val="bottom"/>
            <w:hideMark/>
          </w:tcPr>
          <w:p w14:paraId="18AA0A7F" w14:textId="77777777" w:rsidR="004576CC" w:rsidRPr="00B97923" w:rsidRDefault="004576CC" w:rsidP="004576CC">
            <w:pPr>
              <w:rPr>
                <w:rFonts w:ascii="Arial" w:hAnsi="Arial" w:cs="Arial"/>
                <w:sz w:val="21"/>
                <w:szCs w:val="21"/>
              </w:rPr>
            </w:pPr>
            <w:r w:rsidRPr="00B97923">
              <w:rPr>
                <w:rFonts w:ascii="Arial" w:hAnsi="Arial" w:cs="Arial"/>
                <w:sz w:val="21"/>
                <w:szCs w:val="21"/>
              </w:rPr>
              <w:t>± 26.4</w:t>
            </w:r>
          </w:p>
        </w:tc>
        <w:tc>
          <w:tcPr>
            <w:tcW w:w="914" w:type="dxa"/>
            <w:tcBorders>
              <w:top w:val="nil"/>
              <w:left w:val="nil"/>
              <w:bottom w:val="nil"/>
              <w:right w:val="nil"/>
            </w:tcBorders>
            <w:shd w:val="clear" w:color="auto" w:fill="FFFFFF" w:themeFill="background1"/>
            <w:noWrap/>
            <w:vAlign w:val="bottom"/>
            <w:hideMark/>
          </w:tcPr>
          <w:p w14:paraId="4E6176B6"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88.5</w:t>
            </w:r>
          </w:p>
        </w:tc>
        <w:tc>
          <w:tcPr>
            <w:tcW w:w="873" w:type="dxa"/>
            <w:tcBorders>
              <w:top w:val="nil"/>
              <w:left w:val="nil"/>
              <w:bottom w:val="nil"/>
              <w:right w:val="nil"/>
            </w:tcBorders>
            <w:shd w:val="clear" w:color="auto" w:fill="FFFFFF" w:themeFill="background1"/>
            <w:noWrap/>
            <w:vAlign w:val="bottom"/>
            <w:hideMark/>
          </w:tcPr>
          <w:p w14:paraId="0C141663" w14:textId="77777777" w:rsidR="004576CC" w:rsidRPr="00B97923" w:rsidRDefault="004576CC" w:rsidP="004576CC">
            <w:pPr>
              <w:rPr>
                <w:rFonts w:ascii="Arial" w:hAnsi="Arial" w:cs="Arial"/>
                <w:sz w:val="21"/>
                <w:szCs w:val="21"/>
              </w:rPr>
            </w:pPr>
            <w:r w:rsidRPr="00B97923">
              <w:rPr>
                <w:rFonts w:ascii="Arial" w:hAnsi="Arial" w:cs="Arial"/>
                <w:sz w:val="21"/>
                <w:szCs w:val="21"/>
              </w:rPr>
              <w:t>± 26.4</w:t>
            </w:r>
          </w:p>
        </w:tc>
        <w:tc>
          <w:tcPr>
            <w:tcW w:w="914" w:type="dxa"/>
            <w:tcBorders>
              <w:top w:val="nil"/>
              <w:left w:val="nil"/>
              <w:bottom w:val="nil"/>
              <w:right w:val="nil"/>
            </w:tcBorders>
            <w:shd w:val="clear" w:color="auto" w:fill="FFFFFF" w:themeFill="background1"/>
            <w:noWrap/>
            <w:vAlign w:val="bottom"/>
            <w:hideMark/>
          </w:tcPr>
          <w:p w14:paraId="79AB8783"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88.5</w:t>
            </w:r>
          </w:p>
        </w:tc>
        <w:tc>
          <w:tcPr>
            <w:tcW w:w="875" w:type="dxa"/>
            <w:tcBorders>
              <w:top w:val="nil"/>
              <w:left w:val="nil"/>
              <w:bottom w:val="nil"/>
              <w:right w:val="nil"/>
            </w:tcBorders>
            <w:shd w:val="clear" w:color="auto" w:fill="FFFFFF" w:themeFill="background1"/>
            <w:noWrap/>
            <w:vAlign w:val="bottom"/>
            <w:hideMark/>
          </w:tcPr>
          <w:p w14:paraId="447AAB98" w14:textId="77777777" w:rsidR="004576CC" w:rsidRPr="00B97923" w:rsidRDefault="004576CC" w:rsidP="004576CC">
            <w:pPr>
              <w:rPr>
                <w:rFonts w:ascii="Arial" w:hAnsi="Arial" w:cs="Arial"/>
                <w:sz w:val="21"/>
                <w:szCs w:val="21"/>
              </w:rPr>
            </w:pPr>
            <w:r w:rsidRPr="00B97923">
              <w:rPr>
                <w:rFonts w:ascii="Arial" w:hAnsi="Arial" w:cs="Arial"/>
                <w:sz w:val="21"/>
                <w:szCs w:val="21"/>
              </w:rPr>
              <w:t>± 26.4</w:t>
            </w:r>
          </w:p>
        </w:tc>
      </w:tr>
      <w:tr w:rsidR="004576CC" w:rsidRPr="00B97923" w14:paraId="0374F86A"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29C958E2"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2C639A3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nil"/>
              <w:right w:val="nil"/>
            </w:tcBorders>
            <w:shd w:val="clear" w:color="auto" w:fill="FFFFFF" w:themeFill="background1"/>
            <w:noWrap/>
            <w:vAlign w:val="bottom"/>
            <w:hideMark/>
          </w:tcPr>
          <w:p w14:paraId="041FE7BB"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lang w:val="en-US"/>
              </w:rPr>
              <w:t>[g]</w:t>
            </w:r>
          </w:p>
        </w:tc>
        <w:tc>
          <w:tcPr>
            <w:tcW w:w="914" w:type="dxa"/>
            <w:tcBorders>
              <w:top w:val="nil"/>
              <w:left w:val="nil"/>
              <w:bottom w:val="nil"/>
              <w:right w:val="nil"/>
            </w:tcBorders>
            <w:shd w:val="clear" w:color="auto" w:fill="FFFFFF" w:themeFill="background1"/>
            <w:noWrap/>
            <w:vAlign w:val="bottom"/>
            <w:hideMark/>
          </w:tcPr>
          <w:p w14:paraId="5709A9CE"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96.2</w:t>
            </w:r>
          </w:p>
        </w:tc>
        <w:tc>
          <w:tcPr>
            <w:tcW w:w="873" w:type="dxa"/>
            <w:tcBorders>
              <w:top w:val="nil"/>
              <w:left w:val="nil"/>
              <w:bottom w:val="nil"/>
              <w:right w:val="nil"/>
            </w:tcBorders>
            <w:shd w:val="clear" w:color="auto" w:fill="FFFFFF" w:themeFill="background1"/>
            <w:noWrap/>
            <w:vAlign w:val="bottom"/>
            <w:hideMark/>
          </w:tcPr>
          <w:p w14:paraId="28C41882" w14:textId="77777777" w:rsidR="004576CC" w:rsidRPr="00B97923" w:rsidRDefault="004576CC" w:rsidP="004576CC">
            <w:pPr>
              <w:rPr>
                <w:rFonts w:ascii="Arial" w:hAnsi="Arial" w:cs="Arial"/>
                <w:sz w:val="21"/>
                <w:szCs w:val="21"/>
              </w:rPr>
            </w:pPr>
            <w:r w:rsidRPr="00B97923">
              <w:rPr>
                <w:rFonts w:ascii="Arial" w:hAnsi="Arial" w:cs="Arial"/>
                <w:sz w:val="21"/>
                <w:szCs w:val="21"/>
              </w:rPr>
              <w:t>± 28.4</w:t>
            </w:r>
          </w:p>
        </w:tc>
        <w:tc>
          <w:tcPr>
            <w:tcW w:w="914" w:type="dxa"/>
            <w:tcBorders>
              <w:top w:val="nil"/>
              <w:left w:val="nil"/>
              <w:bottom w:val="nil"/>
              <w:right w:val="nil"/>
            </w:tcBorders>
            <w:shd w:val="clear" w:color="auto" w:fill="FFFFFF" w:themeFill="background1"/>
            <w:noWrap/>
            <w:vAlign w:val="bottom"/>
            <w:hideMark/>
          </w:tcPr>
          <w:p w14:paraId="05ECF072"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96.2</w:t>
            </w:r>
          </w:p>
        </w:tc>
        <w:tc>
          <w:tcPr>
            <w:tcW w:w="873" w:type="dxa"/>
            <w:tcBorders>
              <w:top w:val="nil"/>
              <w:left w:val="nil"/>
              <w:bottom w:val="nil"/>
              <w:right w:val="nil"/>
            </w:tcBorders>
            <w:shd w:val="clear" w:color="auto" w:fill="FFFFFF" w:themeFill="background1"/>
            <w:noWrap/>
            <w:vAlign w:val="bottom"/>
            <w:hideMark/>
          </w:tcPr>
          <w:p w14:paraId="6DD1083F" w14:textId="77777777" w:rsidR="004576CC" w:rsidRPr="00B97923" w:rsidRDefault="004576CC" w:rsidP="004576CC">
            <w:pPr>
              <w:rPr>
                <w:rFonts w:ascii="Arial" w:hAnsi="Arial" w:cs="Arial"/>
                <w:sz w:val="21"/>
                <w:szCs w:val="21"/>
              </w:rPr>
            </w:pPr>
            <w:r w:rsidRPr="00B97923">
              <w:rPr>
                <w:rFonts w:ascii="Arial" w:hAnsi="Arial" w:cs="Arial"/>
                <w:sz w:val="21"/>
                <w:szCs w:val="21"/>
              </w:rPr>
              <w:t>± 28.4</w:t>
            </w:r>
          </w:p>
        </w:tc>
        <w:tc>
          <w:tcPr>
            <w:tcW w:w="914" w:type="dxa"/>
            <w:tcBorders>
              <w:top w:val="nil"/>
              <w:left w:val="nil"/>
              <w:bottom w:val="nil"/>
              <w:right w:val="nil"/>
            </w:tcBorders>
            <w:shd w:val="clear" w:color="auto" w:fill="FFFFFF" w:themeFill="background1"/>
            <w:noWrap/>
            <w:vAlign w:val="bottom"/>
            <w:hideMark/>
          </w:tcPr>
          <w:p w14:paraId="073659FE" w14:textId="7EA0DC3C" w:rsidR="004576CC" w:rsidRPr="00B97923" w:rsidRDefault="004576CC" w:rsidP="004576CC">
            <w:pPr>
              <w:jc w:val="right"/>
              <w:rPr>
                <w:rFonts w:ascii="Arial" w:hAnsi="Arial" w:cs="Arial"/>
                <w:sz w:val="21"/>
                <w:szCs w:val="21"/>
              </w:rPr>
            </w:pPr>
            <w:r w:rsidRPr="00B97923">
              <w:rPr>
                <w:rFonts w:ascii="Arial" w:hAnsi="Arial" w:cs="Arial"/>
                <w:sz w:val="21"/>
                <w:szCs w:val="21"/>
              </w:rPr>
              <w:t>96.</w:t>
            </w:r>
            <w:r w:rsidR="79EDCDA0" w:rsidRPr="00B97923">
              <w:rPr>
                <w:rFonts w:ascii="Arial" w:hAnsi="Arial" w:cs="Arial"/>
                <w:sz w:val="21"/>
                <w:szCs w:val="21"/>
              </w:rPr>
              <w:t>2</w:t>
            </w:r>
          </w:p>
        </w:tc>
        <w:tc>
          <w:tcPr>
            <w:tcW w:w="875" w:type="dxa"/>
            <w:tcBorders>
              <w:top w:val="nil"/>
              <w:left w:val="nil"/>
              <w:bottom w:val="nil"/>
              <w:right w:val="nil"/>
            </w:tcBorders>
            <w:shd w:val="clear" w:color="auto" w:fill="FFFFFF" w:themeFill="background1"/>
            <w:noWrap/>
            <w:vAlign w:val="bottom"/>
            <w:hideMark/>
          </w:tcPr>
          <w:p w14:paraId="4B27178D" w14:textId="77777777" w:rsidR="004576CC" w:rsidRPr="00B97923" w:rsidRDefault="004576CC" w:rsidP="004576CC">
            <w:pPr>
              <w:rPr>
                <w:rFonts w:ascii="Arial" w:hAnsi="Arial" w:cs="Arial"/>
                <w:sz w:val="21"/>
                <w:szCs w:val="21"/>
              </w:rPr>
            </w:pPr>
            <w:r w:rsidRPr="00B97923">
              <w:rPr>
                <w:rFonts w:ascii="Arial" w:hAnsi="Arial" w:cs="Arial"/>
                <w:sz w:val="21"/>
                <w:szCs w:val="21"/>
              </w:rPr>
              <w:t>± 28.4</w:t>
            </w:r>
          </w:p>
        </w:tc>
        <w:tc>
          <w:tcPr>
            <w:tcW w:w="873" w:type="dxa"/>
            <w:tcBorders>
              <w:top w:val="nil"/>
              <w:left w:val="nil"/>
              <w:bottom w:val="nil"/>
              <w:right w:val="nil"/>
            </w:tcBorders>
            <w:shd w:val="clear" w:color="auto" w:fill="FFFFFF" w:themeFill="background1"/>
            <w:noWrap/>
            <w:vAlign w:val="bottom"/>
            <w:hideMark/>
          </w:tcPr>
          <w:p w14:paraId="35BF517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07A61D61"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93.0</w:t>
            </w:r>
          </w:p>
        </w:tc>
        <w:tc>
          <w:tcPr>
            <w:tcW w:w="873" w:type="dxa"/>
            <w:tcBorders>
              <w:top w:val="nil"/>
              <w:left w:val="nil"/>
              <w:bottom w:val="nil"/>
              <w:right w:val="nil"/>
            </w:tcBorders>
            <w:shd w:val="clear" w:color="auto" w:fill="FFFFFF" w:themeFill="background1"/>
            <w:noWrap/>
            <w:vAlign w:val="bottom"/>
            <w:hideMark/>
          </w:tcPr>
          <w:p w14:paraId="0AC1B41C" w14:textId="77777777" w:rsidR="004576CC" w:rsidRPr="00B97923" w:rsidRDefault="004576CC" w:rsidP="004576CC">
            <w:pPr>
              <w:rPr>
                <w:rFonts w:ascii="Arial" w:hAnsi="Arial" w:cs="Arial"/>
                <w:sz w:val="21"/>
                <w:szCs w:val="21"/>
              </w:rPr>
            </w:pPr>
            <w:r w:rsidRPr="00B97923">
              <w:rPr>
                <w:rFonts w:ascii="Arial" w:hAnsi="Arial" w:cs="Arial"/>
                <w:sz w:val="21"/>
                <w:szCs w:val="21"/>
              </w:rPr>
              <w:t>± 27.7</w:t>
            </w:r>
          </w:p>
        </w:tc>
        <w:tc>
          <w:tcPr>
            <w:tcW w:w="914" w:type="dxa"/>
            <w:tcBorders>
              <w:top w:val="nil"/>
              <w:left w:val="nil"/>
              <w:bottom w:val="nil"/>
              <w:right w:val="nil"/>
            </w:tcBorders>
            <w:shd w:val="clear" w:color="auto" w:fill="FFFFFF" w:themeFill="background1"/>
            <w:noWrap/>
            <w:vAlign w:val="bottom"/>
            <w:hideMark/>
          </w:tcPr>
          <w:p w14:paraId="44274D8B"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93.0</w:t>
            </w:r>
          </w:p>
        </w:tc>
        <w:tc>
          <w:tcPr>
            <w:tcW w:w="873" w:type="dxa"/>
            <w:tcBorders>
              <w:top w:val="nil"/>
              <w:left w:val="nil"/>
              <w:bottom w:val="nil"/>
              <w:right w:val="nil"/>
            </w:tcBorders>
            <w:shd w:val="clear" w:color="auto" w:fill="FFFFFF" w:themeFill="background1"/>
            <w:noWrap/>
            <w:vAlign w:val="bottom"/>
            <w:hideMark/>
          </w:tcPr>
          <w:p w14:paraId="32D6B041" w14:textId="77777777" w:rsidR="004576CC" w:rsidRPr="00B97923" w:rsidRDefault="004576CC" w:rsidP="004576CC">
            <w:pPr>
              <w:rPr>
                <w:rFonts w:ascii="Arial" w:hAnsi="Arial" w:cs="Arial"/>
                <w:sz w:val="21"/>
                <w:szCs w:val="21"/>
              </w:rPr>
            </w:pPr>
            <w:r w:rsidRPr="00B97923">
              <w:rPr>
                <w:rFonts w:ascii="Arial" w:hAnsi="Arial" w:cs="Arial"/>
                <w:sz w:val="21"/>
                <w:szCs w:val="21"/>
              </w:rPr>
              <w:t>± 27.7</w:t>
            </w:r>
          </w:p>
        </w:tc>
        <w:tc>
          <w:tcPr>
            <w:tcW w:w="914" w:type="dxa"/>
            <w:tcBorders>
              <w:top w:val="nil"/>
              <w:left w:val="nil"/>
              <w:bottom w:val="nil"/>
              <w:right w:val="nil"/>
            </w:tcBorders>
            <w:shd w:val="clear" w:color="auto" w:fill="FFFFFF" w:themeFill="background1"/>
            <w:noWrap/>
            <w:vAlign w:val="bottom"/>
            <w:hideMark/>
          </w:tcPr>
          <w:p w14:paraId="71347086"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93.0</w:t>
            </w:r>
          </w:p>
        </w:tc>
        <w:tc>
          <w:tcPr>
            <w:tcW w:w="875" w:type="dxa"/>
            <w:tcBorders>
              <w:top w:val="nil"/>
              <w:left w:val="nil"/>
              <w:bottom w:val="nil"/>
              <w:right w:val="nil"/>
            </w:tcBorders>
            <w:shd w:val="clear" w:color="auto" w:fill="FFFFFF" w:themeFill="background1"/>
            <w:noWrap/>
            <w:vAlign w:val="bottom"/>
            <w:hideMark/>
          </w:tcPr>
          <w:p w14:paraId="03CDA664" w14:textId="77777777" w:rsidR="004576CC" w:rsidRPr="00B97923" w:rsidRDefault="004576CC" w:rsidP="004576CC">
            <w:pPr>
              <w:rPr>
                <w:rFonts w:ascii="Arial" w:hAnsi="Arial" w:cs="Arial"/>
                <w:sz w:val="21"/>
                <w:szCs w:val="21"/>
              </w:rPr>
            </w:pPr>
            <w:r w:rsidRPr="00B97923">
              <w:rPr>
                <w:rFonts w:ascii="Arial" w:hAnsi="Arial" w:cs="Arial"/>
                <w:sz w:val="21"/>
                <w:szCs w:val="21"/>
              </w:rPr>
              <w:t>± 27.7</w:t>
            </w:r>
          </w:p>
        </w:tc>
      </w:tr>
      <w:tr w:rsidR="004576CC" w:rsidRPr="00B97923" w14:paraId="2FB0C82D"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396AA2D2"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4AF5217D"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nil"/>
              <w:right w:val="nil"/>
            </w:tcBorders>
            <w:shd w:val="clear" w:color="auto" w:fill="FFFFFF" w:themeFill="background1"/>
            <w:noWrap/>
            <w:vAlign w:val="bottom"/>
            <w:hideMark/>
          </w:tcPr>
          <w:p w14:paraId="39129206" w14:textId="77777777" w:rsidR="004576CC" w:rsidRPr="00B97923" w:rsidRDefault="004576CC" w:rsidP="004576CC">
            <w:pPr>
              <w:rPr>
                <w:rFonts w:ascii="Aptos Narrow" w:hAnsi="Aptos Narrow"/>
                <w:color w:val="000000"/>
                <w:sz w:val="21"/>
                <w:szCs w:val="21"/>
              </w:rPr>
            </w:pPr>
            <w:r w:rsidRPr="00B97923">
              <w:rPr>
                <w:rFonts w:ascii="Aptos Narrow" w:hAnsi="Aptos Narrow"/>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1878D350"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6E4F6373"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76A7263D"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0572EEEB"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2544717C"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5" w:type="dxa"/>
            <w:tcBorders>
              <w:top w:val="nil"/>
              <w:left w:val="nil"/>
              <w:bottom w:val="nil"/>
              <w:right w:val="nil"/>
            </w:tcBorders>
            <w:shd w:val="clear" w:color="auto" w:fill="FFFFFF" w:themeFill="background1"/>
            <w:noWrap/>
            <w:vAlign w:val="bottom"/>
            <w:hideMark/>
          </w:tcPr>
          <w:p w14:paraId="4DC259CB"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33FB9FFB"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573534DA"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2F3972C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49F4FF21"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56EC6FBA"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47870B23"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5" w:type="dxa"/>
            <w:tcBorders>
              <w:top w:val="nil"/>
              <w:left w:val="nil"/>
              <w:bottom w:val="nil"/>
              <w:right w:val="nil"/>
            </w:tcBorders>
            <w:shd w:val="clear" w:color="auto" w:fill="FFFFFF" w:themeFill="background1"/>
            <w:noWrap/>
            <w:vAlign w:val="bottom"/>
            <w:hideMark/>
          </w:tcPr>
          <w:p w14:paraId="22C30C04"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r>
      <w:tr w:rsidR="004576CC" w:rsidRPr="00B97923" w14:paraId="21B7A080"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2BFC2E35"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04856227" w14:textId="77777777" w:rsidR="004576CC" w:rsidRPr="00B97923" w:rsidRDefault="004576CC" w:rsidP="004576CC">
            <w:pPr>
              <w:rPr>
                <w:rFonts w:ascii="Arial" w:hAnsi="Arial" w:cs="Arial"/>
                <w:b/>
                <w:bCs/>
                <w:color w:val="000000"/>
                <w:sz w:val="21"/>
                <w:szCs w:val="21"/>
              </w:rPr>
            </w:pPr>
            <w:r w:rsidRPr="00B97923">
              <w:rPr>
                <w:rFonts w:ascii="Arial" w:hAnsi="Arial" w:cs="Arial"/>
                <w:b/>
                <w:bCs/>
                <w:color w:val="000000"/>
                <w:sz w:val="21"/>
                <w:szCs w:val="21"/>
                <w:lang w:val="en-US"/>
              </w:rPr>
              <w:t>LGE extent</w:t>
            </w:r>
          </w:p>
        </w:tc>
        <w:tc>
          <w:tcPr>
            <w:tcW w:w="715" w:type="dxa"/>
            <w:tcBorders>
              <w:top w:val="nil"/>
              <w:left w:val="nil"/>
              <w:bottom w:val="nil"/>
              <w:right w:val="nil"/>
            </w:tcBorders>
            <w:shd w:val="clear" w:color="auto" w:fill="FFFFFF" w:themeFill="background1"/>
            <w:noWrap/>
            <w:vAlign w:val="bottom"/>
            <w:hideMark/>
          </w:tcPr>
          <w:p w14:paraId="0C131CC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lang w:val="en-US"/>
              </w:rPr>
              <w:t>[ml]</w:t>
            </w:r>
          </w:p>
        </w:tc>
        <w:tc>
          <w:tcPr>
            <w:tcW w:w="914" w:type="dxa"/>
            <w:tcBorders>
              <w:top w:val="nil"/>
              <w:left w:val="nil"/>
              <w:bottom w:val="nil"/>
              <w:right w:val="nil"/>
            </w:tcBorders>
            <w:shd w:val="clear" w:color="auto" w:fill="FFFFFF" w:themeFill="background1"/>
            <w:noWrap/>
            <w:vAlign w:val="bottom"/>
            <w:hideMark/>
          </w:tcPr>
          <w:p w14:paraId="5444CBDF"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15.2</w:t>
            </w:r>
          </w:p>
        </w:tc>
        <w:tc>
          <w:tcPr>
            <w:tcW w:w="873" w:type="dxa"/>
            <w:tcBorders>
              <w:top w:val="nil"/>
              <w:left w:val="nil"/>
              <w:bottom w:val="nil"/>
              <w:right w:val="nil"/>
            </w:tcBorders>
            <w:shd w:val="clear" w:color="auto" w:fill="FFFFFF" w:themeFill="background1"/>
            <w:noWrap/>
            <w:vAlign w:val="bottom"/>
            <w:hideMark/>
          </w:tcPr>
          <w:p w14:paraId="6E4E1D53" w14:textId="77777777" w:rsidR="004576CC" w:rsidRPr="00B97923" w:rsidRDefault="004576CC" w:rsidP="004576CC">
            <w:pPr>
              <w:rPr>
                <w:rFonts w:ascii="Arial" w:hAnsi="Arial" w:cs="Arial"/>
                <w:sz w:val="21"/>
                <w:szCs w:val="21"/>
              </w:rPr>
            </w:pPr>
            <w:r w:rsidRPr="00B97923">
              <w:rPr>
                <w:rFonts w:ascii="Arial" w:hAnsi="Arial" w:cs="Arial"/>
                <w:sz w:val="21"/>
                <w:szCs w:val="21"/>
              </w:rPr>
              <w:t>± 9.6</w:t>
            </w:r>
          </w:p>
        </w:tc>
        <w:tc>
          <w:tcPr>
            <w:tcW w:w="914" w:type="dxa"/>
            <w:tcBorders>
              <w:top w:val="nil"/>
              <w:left w:val="nil"/>
              <w:bottom w:val="nil"/>
              <w:right w:val="nil"/>
            </w:tcBorders>
            <w:shd w:val="clear" w:color="auto" w:fill="FFFFFF" w:themeFill="background1"/>
            <w:noWrap/>
            <w:vAlign w:val="bottom"/>
            <w:hideMark/>
          </w:tcPr>
          <w:p w14:paraId="45C7E7E5"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17.4</w:t>
            </w:r>
          </w:p>
        </w:tc>
        <w:tc>
          <w:tcPr>
            <w:tcW w:w="873" w:type="dxa"/>
            <w:tcBorders>
              <w:top w:val="nil"/>
              <w:left w:val="nil"/>
              <w:bottom w:val="nil"/>
              <w:right w:val="nil"/>
            </w:tcBorders>
            <w:shd w:val="clear" w:color="auto" w:fill="FFFFFF" w:themeFill="background1"/>
            <w:noWrap/>
            <w:vAlign w:val="bottom"/>
            <w:hideMark/>
          </w:tcPr>
          <w:p w14:paraId="21182804" w14:textId="77777777" w:rsidR="004576CC" w:rsidRPr="00B97923" w:rsidRDefault="004576CC" w:rsidP="004576CC">
            <w:pPr>
              <w:rPr>
                <w:rFonts w:ascii="Arial" w:hAnsi="Arial" w:cs="Arial"/>
                <w:sz w:val="21"/>
                <w:szCs w:val="21"/>
              </w:rPr>
            </w:pPr>
            <w:r w:rsidRPr="00B97923">
              <w:rPr>
                <w:rFonts w:ascii="Arial" w:hAnsi="Arial" w:cs="Arial"/>
                <w:sz w:val="21"/>
                <w:szCs w:val="21"/>
              </w:rPr>
              <w:t>± 12.9</w:t>
            </w:r>
          </w:p>
        </w:tc>
        <w:tc>
          <w:tcPr>
            <w:tcW w:w="914" w:type="dxa"/>
            <w:tcBorders>
              <w:top w:val="nil"/>
              <w:left w:val="nil"/>
              <w:bottom w:val="nil"/>
              <w:right w:val="nil"/>
            </w:tcBorders>
            <w:shd w:val="clear" w:color="auto" w:fill="FFFFFF" w:themeFill="background1"/>
            <w:noWrap/>
            <w:vAlign w:val="bottom"/>
            <w:hideMark/>
          </w:tcPr>
          <w:p w14:paraId="36C3E38A" w14:textId="31DFEF81" w:rsidR="004576CC" w:rsidRPr="00B97923" w:rsidRDefault="004576CC" w:rsidP="004576CC">
            <w:pPr>
              <w:jc w:val="right"/>
              <w:rPr>
                <w:rFonts w:ascii="Arial" w:hAnsi="Arial" w:cs="Arial"/>
                <w:sz w:val="21"/>
                <w:szCs w:val="21"/>
              </w:rPr>
            </w:pPr>
            <w:r w:rsidRPr="00B97923">
              <w:rPr>
                <w:rFonts w:ascii="Arial" w:hAnsi="Arial" w:cs="Arial"/>
                <w:sz w:val="21"/>
                <w:szCs w:val="21"/>
              </w:rPr>
              <w:t>13.</w:t>
            </w:r>
            <w:r w:rsidR="58C0CE23" w:rsidRPr="00B97923">
              <w:rPr>
                <w:rFonts w:ascii="Arial" w:hAnsi="Arial" w:cs="Arial"/>
                <w:sz w:val="21"/>
                <w:szCs w:val="21"/>
              </w:rPr>
              <w:t>6</w:t>
            </w:r>
          </w:p>
        </w:tc>
        <w:tc>
          <w:tcPr>
            <w:tcW w:w="875" w:type="dxa"/>
            <w:tcBorders>
              <w:top w:val="nil"/>
              <w:left w:val="nil"/>
              <w:bottom w:val="nil"/>
              <w:right w:val="nil"/>
            </w:tcBorders>
            <w:shd w:val="clear" w:color="auto" w:fill="FFFFFF" w:themeFill="background1"/>
            <w:noWrap/>
            <w:vAlign w:val="bottom"/>
            <w:hideMark/>
          </w:tcPr>
          <w:p w14:paraId="13FD06EB" w14:textId="77777777" w:rsidR="004576CC" w:rsidRPr="00B97923" w:rsidRDefault="004576CC" w:rsidP="004576CC">
            <w:pPr>
              <w:rPr>
                <w:rFonts w:ascii="Arial" w:hAnsi="Arial" w:cs="Arial"/>
                <w:sz w:val="21"/>
                <w:szCs w:val="21"/>
              </w:rPr>
            </w:pPr>
            <w:r w:rsidRPr="00B97923">
              <w:rPr>
                <w:rFonts w:ascii="Arial" w:hAnsi="Arial" w:cs="Arial"/>
                <w:sz w:val="21"/>
                <w:szCs w:val="21"/>
              </w:rPr>
              <w:t>± 9.9</w:t>
            </w:r>
          </w:p>
        </w:tc>
        <w:tc>
          <w:tcPr>
            <w:tcW w:w="873" w:type="dxa"/>
            <w:tcBorders>
              <w:top w:val="nil"/>
              <w:left w:val="nil"/>
              <w:bottom w:val="nil"/>
              <w:right w:val="nil"/>
            </w:tcBorders>
            <w:shd w:val="clear" w:color="auto" w:fill="FFFFFF" w:themeFill="background1"/>
            <w:noWrap/>
            <w:vAlign w:val="bottom"/>
            <w:hideMark/>
          </w:tcPr>
          <w:p w14:paraId="6CFF1A6B"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11A56BCB"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14.0</w:t>
            </w:r>
          </w:p>
        </w:tc>
        <w:tc>
          <w:tcPr>
            <w:tcW w:w="873" w:type="dxa"/>
            <w:tcBorders>
              <w:top w:val="nil"/>
              <w:left w:val="nil"/>
              <w:bottom w:val="nil"/>
              <w:right w:val="nil"/>
            </w:tcBorders>
            <w:shd w:val="clear" w:color="auto" w:fill="FFFFFF" w:themeFill="background1"/>
            <w:noWrap/>
            <w:vAlign w:val="bottom"/>
            <w:hideMark/>
          </w:tcPr>
          <w:p w14:paraId="1224F409" w14:textId="77777777" w:rsidR="004576CC" w:rsidRPr="00B97923" w:rsidRDefault="004576CC" w:rsidP="004576CC">
            <w:pPr>
              <w:rPr>
                <w:rFonts w:ascii="Arial" w:hAnsi="Arial" w:cs="Arial"/>
                <w:sz w:val="21"/>
                <w:szCs w:val="21"/>
              </w:rPr>
            </w:pPr>
            <w:r w:rsidRPr="00B97923">
              <w:rPr>
                <w:rFonts w:ascii="Arial" w:hAnsi="Arial" w:cs="Arial"/>
                <w:sz w:val="21"/>
                <w:szCs w:val="21"/>
              </w:rPr>
              <w:t>± 8.5</w:t>
            </w:r>
          </w:p>
        </w:tc>
        <w:tc>
          <w:tcPr>
            <w:tcW w:w="914" w:type="dxa"/>
            <w:tcBorders>
              <w:top w:val="nil"/>
              <w:left w:val="nil"/>
              <w:bottom w:val="nil"/>
              <w:right w:val="nil"/>
            </w:tcBorders>
            <w:shd w:val="clear" w:color="auto" w:fill="FFFFFF" w:themeFill="background1"/>
            <w:noWrap/>
            <w:vAlign w:val="bottom"/>
            <w:hideMark/>
          </w:tcPr>
          <w:p w14:paraId="2EB2B3F8"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15.1</w:t>
            </w:r>
          </w:p>
        </w:tc>
        <w:tc>
          <w:tcPr>
            <w:tcW w:w="873" w:type="dxa"/>
            <w:tcBorders>
              <w:top w:val="nil"/>
              <w:left w:val="nil"/>
              <w:bottom w:val="nil"/>
              <w:right w:val="nil"/>
            </w:tcBorders>
            <w:shd w:val="clear" w:color="auto" w:fill="FFFFFF" w:themeFill="background1"/>
            <w:noWrap/>
            <w:vAlign w:val="bottom"/>
            <w:hideMark/>
          </w:tcPr>
          <w:p w14:paraId="18AEFB80" w14:textId="77777777" w:rsidR="004576CC" w:rsidRPr="00B97923" w:rsidRDefault="004576CC" w:rsidP="004576CC">
            <w:pPr>
              <w:rPr>
                <w:rFonts w:ascii="Arial" w:hAnsi="Arial" w:cs="Arial"/>
                <w:sz w:val="21"/>
                <w:szCs w:val="21"/>
              </w:rPr>
            </w:pPr>
            <w:r w:rsidRPr="00B97923">
              <w:rPr>
                <w:rFonts w:ascii="Arial" w:hAnsi="Arial" w:cs="Arial"/>
                <w:sz w:val="21"/>
                <w:szCs w:val="21"/>
              </w:rPr>
              <w:t>± 9.8</w:t>
            </w:r>
          </w:p>
        </w:tc>
        <w:tc>
          <w:tcPr>
            <w:tcW w:w="914" w:type="dxa"/>
            <w:tcBorders>
              <w:top w:val="nil"/>
              <w:left w:val="nil"/>
              <w:bottom w:val="nil"/>
              <w:right w:val="nil"/>
            </w:tcBorders>
            <w:shd w:val="clear" w:color="auto" w:fill="FFFFFF" w:themeFill="background1"/>
            <w:noWrap/>
            <w:vAlign w:val="bottom"/>
            <w:hideMark/>
          </w:tcPr>
          <w:p w14:paraId="0BF31F24"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10.9</w:t>
            </w:r>
          </w:p>
        </w:tc>
        <w:tc>
          <w:tcPr>
            <w:tcW w:w="875" w:type="dxa"/>
            <w:tcBorders>
              <w:top w:val="nil"/>
              <w:left w:val="nil"/>
              <w:bottom w:val="nil"/>
              <w:right w:val="nil"/>
            </w:tcBorders>
            <w:shd w:val="clear" w:color="auto" w:fill="FFFFFF" w:themeFill="background1"/>
            <w:noWrap/>
            <w:vAlign w:val="bottom"/>
            <w:hideMark/>
          </w:tcPr>
          <w:p w14:paraId="08FE600E" w14:textId="77777777" w:rsidR="004576CC" w:rsidRPr="00B97923" w:rsidRDefault="004576CC" w:rsidP="004576CC">
            <w:pPr>
              <w:rPr>
                <w:rFonts w:ascii="Arial" w:hAnsi="Arial" w:cs="Arial"/>
                <w:sz w:val="21"/>
                <w:szCs w:val="21"/>
              </w:rPr>
            </w:pPr>
            <w:r w:rsidRPr="00B97923">
              <w:rPr>
                <w:rFonts w:ascii="Arial" w:hAnsi="Arial" w:cs="Arial"/>
                <w:sz w:val="21"/>
                <w:szCs w:val="21"/>
              </w:rPr>
              <w:t>± 8.7</w:t>
            </w:r>
          </w:p>
        </w:tc>
      </w:tr>
      <w:tr w:rsidR="004576CC" w:rsidRPr="00B97923" w14:paraId="5BE9182F"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1C9516CF"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1E98C18B"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nil"/>
              <w:right w:val="nil"/>
            </w:tcBorders>
            <w:shd w:val="clear" w:color="auto" w:fill="FFFFFF" w:themeFill="background1"/>
            <w:noWrap/>
            <w:vAlign w:val="bottom"/>
            <w:hideMark/>
          </w:tcPr>
          <w:p w14:paraId="6545A9C4"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lang w:val="en-US"/>
              </w:rPr>
              <w:t>[g]</w:t>
            </w:r>
          </w:p>
        </w:tc>
        <w:tc>
          <w:tcPr>
            <w:tcW w:w="914" w:type="dxa"/>
            <w:tcBorders>
              <w:top w:val="nil"/>
              <w:left w:val="nil"/>
              <w:bottom w:val="nil"/>
              <w:right w:val="nil"/>
            </w:tcBorders>
            <w:shd w:val="clear" w:color="auto" w:fill="FFFFFF" w:themeFill="background1"/>
            <w:noWrap/>
            <w:vAlign w:val="bottom"/>
            <w:hideMark/>
          </w:tcPr>
          <w:p w14:paraId="3C8EADDA"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16.0</w:t>
            </w:r>
          </w:p>
        </w:tc>
        <w:tc>
          <w:tcPr>
            <w:tcW w:w="873" w:type="dxa"/>
            <w:tcBorders>
              <w:top w:val="nil"/>
              <w:left w:val="nil"/>
              <w:bottom w:val="nil"/>
              <w:right w:val="nil"/>
            </w:tcBorders>
            <w:shd w:val="clear" w:color="auto" w:fill="FFFFFF" w:themeFill="background1"/>
            <w:noWrap/>
            <w:vAlign w:val="bottom"/>
            <w:hideMark/>
          </w:tcPr>
          <w:p w14:paraId="48B06261" w14:textId="77777777" w:rsidR="004576CC" w:rsidRPr="00B97923" w:rsidRDefault="004576CC" w:rsidP="004576CC">
            <w:pPr>
              <w:rPr>
                <w:rFonts w:ascii="Arial" w:hAnsi="Arial" w:cs="Arial"/>
                <w:sz w:val="21"/>
                <w:szCs w:val="21"/>
              </w:rPr>
            </w:pPr>
            <w:r w:rsidRPr="00B97923">
              <w:rPr>
                <w:rFonts w:ascii="Arial" w:hAnsi="Arial" w:cs="Arial"/>
                <w:sz w:val="21"/>
                <w:szCs w:val="21"/>
              </w:rPr>
              <w:t>± 10.1</w:t>
            </w:r>
          </w:p>
        </w:tc>
        <w:tc>
          <w:tcPr>
            <w:tcW w:w="914" w:type="dxa"/>
            <w:tcBorders>
              <w:top w:val="nil"/>
              <w:left w:val="nil"/>
              <w:bottom w:val="nil"/>
              <w:right w:val="nil"/>
            </w:tcBorders>
            <w:shd w:val="clear" w:color="auto" w:fill="FFFFFF" w:themeFill="background1"/>
            <w:noWrap/>
            <w:vAlign w:val="bottom"/>
            <w:hideMark/>
          </w:tcPr>
          <w:p w14:paraId="31BB0971"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18.3</w:t>
            </w:r>
          </w:p>
        </w:tc>
        <w:tc>
          <w:tcPr>
            <w:tcW w:w="873" w:type="dxa"/>
            <w:tcBorders>
              <w:top w:val="nil"/>
              <w:left w:val="nil"/>
              <w:bottom w:val="nil"/>
              <w:right w:val="nil"/>
            </w:tcBorders>
            <w:shd w:val="clear" w:color="auto" w:fill="FFFFFF" w:themeFill="background1"/>
            <w:noWrap/>
            <w:vAlign w:val="bottom"/>
            <w:hideMark/>
          </w:tcPr>
          <w:p w14:paraId="6F660499" w14:textId="77777777" w:rsidR="004576CC" w:rsidRPr="00B97923" w:rsidRDefault="004576CC" w:rsidP="004576CC">
            <w:pPr>
              <w:rPr>
                <w:rFonts w:ascii="Arial" w:hAnsi="Arial" w:cs="Arial"/>
                <w:sz w:val="21"/>
                <w:szCs w:val="21"/>
              </w:rPr>
            </w:pPr>
            <w:r w:rsidRPr="00B97923">
              <w:rPr>
                <w:rFonts w:ascii="Arial" w:hAnsi="Arial" w:cs="Arial"/>
                <w:sz w:val="21"/>
                <w:szCs w:val="21"/>
              </w:rPr>
              <w:t>± 13.6</w:t>
            </w:r>
          </w:p>
        </w:tc>
        <w:tc>
          <w:tcPr>
            <w:tcW w:w="914" w:type="dxa"/>
            <w:tcBorders>
              <w:top w:val="nil"/>
              <w:left w:val="nil"/>
              <w:bottom w:val="nil"/>
              <w:right w:val="nil"/>
            </w:tcBorders>
            <w:shd w:val="clear" w:color="auto" w:fill="FFFFFF" w:themeFill="background1"/>
            <w:noWrap/>
            <w:vAlign w:val="bottom"/>
            <w:hideMark/>
          </w:tcPr>
          <w:p w14:paraId="37CB458A" w14:textId="16DC1019" w:rsidR="004576CC" w:rsidRPr="00B97923" w:rsidRDefault="004576CC" w:rsidP="004576CC">
            <w:pPr>
              <w:jc w:val="right"/>
              <w:rPr>
                <w:rFonts w:ascii="Arial" w:hAnsi="Arial" w:cs="Arial"/>
                <w:sz w:val="21"/>
                <w:szCs w:val="21"/>
              </w:rPr>
            </w:pPr>
            <w:r w:rsidRPr="00B97923">
              <w:rPr>
                <w:rFonts w:ascii="Arial" w:hAnsi="Arial" w:cs="Arial"/>
                <w:sz w:val="21"/>
                <w:szCs w:val="21"/>
              </w:rPr>
              <w:t>14.</w:t>
            </w:r>
            <w:r w:rsidR="413E9615" w:rsidRPr="00B97923">
              <w:rPr>
                <w:rFonts w:ascii="Arial" w:hAnsi="Arial" w:cs="Arial"/>
                <w:sz w:val="21"/>
                <w:szCs w:val="21"/>
              </w:rPr>
              <w:t>3</w:t>
            </w:r>
          </w:p>
        </w:tc>
        <w:tc>
          <w:tcPr>
            <w:tcW w:w="875" w:type="dxa"/>
            <w:tcBorders>
              <w:top w:val="nil"/>
              <w:left w:val="nil"/>
              <w:bottom w:val="nil"/>
              <w:right w:val="nil"/>
            </w:tcBorders>
            <w:shd w:val="clear" w:color="auto" w:fill="FFFFFF" w:themeFill="background1"/>
            <w:noWrap/>
            <w:vAlign w:val="bottom"/>
            <w:hideMark/>
          </w:tcPr>
          <w:p w14:paraId="0C377E9A" w14:textId="77777777" w:rsidR="004576CC" w:rsidRPr="00B97923" w:rsidRDefault="004576CC" w:rsidP="004576CC">
            <w:pPr>
              <w:rPr>
                <w:rFonts w:ascii="Arial" w:hAnsi="Arial" w:cs="Arial"/>
                <w:sz w:val="21"/>
                <w:szCs w:val="21"/>
              </w:rPr>
            </w:pPr>
            <w:r w:rsidRPr="00B97923">
              <w:rPr>
                <w:rFonts w:ascii="Arial" w:hAnsi="Arial" w:cs="Arial"/>
                <w:sz w:val="21"/>
                <w:szCs w:val="21"/>
              </w:rPr>
              <w:t>± 10.4</w:t>
            </w:r>
          </w:p>
        </w:tc>
        <w:tc>
          <w:tcPr>
            <w:tcW w:w="873" w:type="dxa"/>
            <w:tcBorders>
              <w:top w:val="nil"/>
              <w:left w:val="nil"/>
              <w:bottom w:val="nil"/>
              <w:right w:val="nil"/>
            </w:tcBorders>
            <w:shd w:val="clear" w:color="auto" w:fill="FFFFFF" w:themeFill="background1"/>
            <w:noWrap/>
            <w:vAlign w:val="bottom"/>
            <w:hideMark/>
          </w:tcPr>
          <w:p w14:paraId="480087A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5760E3DD"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14.7</w:t>
            </w:r>
          </w:p>
        </w:tc>
        <w:tc>
          <w:tcPr>
            <w:tcW w:w="873" w:type="dxa"/>
            <w:tcBorders>
              <w:top w:val="nil"/>
              <w:left w:val="nil"/>
              <w:bottom w:val="nil"/>
              <w:right w:val="nil"/>
            </w:tcBorders>
            <w:shd w:val="clear" w:color="auto" w:fill="FFFFFF" w:themeFill="background1"/>
            <w:noWrap/>
            <w:vAlign w:val="bottom"/>
            <w:hideMark/>
          </w:tcPr>
          <w:p w14:paraId="3B127917" w14:textId="77777777" w:rsidR="004576CC" w:rsidRPr="00B97923" w:rsidRDefault="004576CC" w:rsidP="004576CC">
            <w:pPr>
              <w:rPr>
                <w:rFonts w:ascii="Arial" w:hAnsi="Arial" w:cs="Arial"/>
                <w:sz w:val="21"/>
                <w:szCs w:val="21"/>
              </w:rPr>
            </w:pPr>
            <w:r w:rsidRPr="00B97923">
              <w:rPr>
                <w:rFonts w:ascii="Arial" w:hAnsi="Arial" w:cs="Arial"/>
                <w:sz w:val="21"/>
                <w:szCs w:val="21"/>
              </w:rPr>
              <w:t>± 8.9</w:t>
            </w:r>
          </w:p>
        </w:tc>
        <w:tc>
          <w:tcPr>
            <w:tcW w:w="914" w:type="dxa"/>
            <w:tcBorders>
              <w:top w:val="nil"/>
              <w:left w:val="nil"/>
              <w:bottom w:val="nil"/>
              <w:right w:val="nil"/>
            </w:tcBorders>
            <w:shd w:val="clear" w:color="auto" w:fill="FFFFFF" w:themeFill="background1"/>
            <w:noWrap/>
            <w:vAlign w:val="bottom"/>
            <w:hideMark/>
          </w:tcPr>
          <w:p w14:paraId="4EBC3F19"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15.8</w:t>
            </w:r>
          </w:p>
        </w:tc>
        <w:tc>
          <w:tcPr>
            <w:tcW w:w="873" w:type="dxa"/>
            <w:tcBorders>
              <w:top w:val="nil"/>
              <w:left w:val="nil"/>
              <w:bottom w:val="nil"/>
              <w:right w:val="nil"/>
            </w:tcBorders>
            <w:shd w:val="clear" w:color="auto" w:fill="FFFFFF" w:themeFill="background1"/>
            <w:noWrap/>
            <w:vAlign w:val="bottom"/>
            <w:hideMark/>
          </w:tcPr>
          <w:p w14:paraId="26CD7075" w14:textId="77777777" w:rsidR="004576CC" w:rsidRPr="00B97923" w:rsidRDefault="004576CC" w:rsidP="004576CC">
            <w:pPr>
              <w:rPr>
                <w:rFonts w:ascii="Arial" w:hAnsi="Arial" w:cs="Arial"/>
                <w:sz w:val="21"/>
                <w:szCs w:val="21"/>
              </w:rPr>
            </w:pPr>
            <w:r w:rsidRPr="00B97923">
              <w:rPr>
                <w:rFonts w:ascii="Arial" w:hAnsi="Arial" w:cs="Arial"/>
                <w:sz w:val="21"/>
                <w:szCs w:val="21"/>
              </w:rPr>
              <w:t>± 10.3</w:t>
            </w:r>
          </w:p>
        </w:tc>
        <w:tc>
          <w:tcPr>
            <w:tcW w:w="914" w:type="dxa"/>
            <w:tcBorders>
              <w:top w:val="nil"/>
              <w:left w:val="nil"/>
              <w:bottom w:val="nil"/>
              <w:right w:val="nil"/>
            </w:tcBorders>
            <w:shd w:val="clear" w:color="auto" w:fill="FFFFFF" w:themeFill="background1"/>
            <w:noWrap/>
            <w:vAlign w:val="bottom"/>
            <w:hideMark/>
          </w:tcPr>
          <w:p w14:paraId="32601232"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11.4</w:t>
            </w:r>
          </w:p>
        </w:tc>
        <w:tc>
          <w:tcPr>
            <w:tcW w:w="875" w:type="dxa"/>
            <w:tcBorders>
              <w:top w:val="nil"/>
              <w:left w:val="nil"/>
              <w:bottom w:val="nil"/>
              <w:right w:val="nil"/>
            </w:tcBorders>
            <w:shd w:val="clear" w:color="auto" w:fill="FFFFFF" w:themeFill="background1"/>
            <w:noWrap/>
            <w:vAlign w:val="bottom"/>
            <w:hideMark/>
          </w:tcPr>
          <w:p w14:paraId="2AA6CBE7" w14:textId="77777777" w:rsidR="004576CC" w:rsidRPr="00B97923" w:rsidRDefault="004576CC" w:rsidP="004576CC">
            <w:pPr>
              <w:rPr>
                <w:rFonts w:ascii="Arial" w:hAnsi="Arial" w:cs="Arial"/>
                <w:sz w:val="21"/>
                <w:szCs w:val="21"/>
              </w:rPr>
            </w:pPr>
            <w:r w:rsidRPr="00B97923">
              <w:rPr>
                <w:rFonts w:ascii="Arial" w:hAnsi="Arial" w:cs="Arial"/>
                <w:sz w:val="21"/>
                <w:szCs w:val="21"/>
              </w:rPr>
              <w:t>± 9.2</w:t>
            </w:r>
          </w:p>
        </w:tc>
      </w:tr>
      <w:tr w:rsidR="004576CC" w:rsidRPr="00B97923" w14:paraId="2336A6EF"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1851B6EB"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11E301CF"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nil"/>
              <w:right w:val="nil"/>
            </w:tcBorders>
            <w:shd w:val="clear" w:color="auto" w:fill="FFFFFF" w:themeFill="background1"/>
            <w:noWrap/>
            <w:vAlign w:val="bottom"/>
            <w:hideMark/>
          </w:tcPr>
          <w:p w14:paraId="4CC90AA9"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57AAD28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4F5B7CC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03CEC22D"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2DFBF0B2"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354DA6EB"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5" w:type="dxa"/>
            <w:tcBorders>
              <w:top w:val="nil"/>
              <w:left w:val="nil"/>
              <w:bottom w:val="nil"/>
              <w:right w:val="nil"/>
            </w:tcBorders>
            <w:shd w:val="clear" w:color="auto" w:fill="FFFFFF" w:themeFill="background1"/>
            <w:noWrap/>
            <w:vAlign w:val="bottom"/>
            <w:hideMark/>
          </w:tcPr>
          <w:p w14:paraId="7F095F6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259F0BE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61986A04"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2F281823"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3032B3C8"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2427DAEC"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28064C5A"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5" w:type="dxa"/>
            <w:tcBorders>
              <w:top w:val="nil"/>
              <w:left w:val="nil"/>
              <w:bottom w:val="nil"/>
              <w:right w:val="nil"/>
            </w:tcBorders>
            <w:shd w:val="clear" w:color="auto" w:fill="FFFFFF" w:themeFill="background1"/>
            <w:noWrap/>
            <w:vAlign w:val="bottom"/>
            <w:hideMark/>
          </w:tcPr>
          <w:p w14:paraId="14ABF084"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r>
      <w:tr w:rsidR="004576CC" w:rsidRPr="00B97923" w14:paraId="0F2C55DB"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02AEF465"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0CE28AC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single" w:sz="4" w:space="0" w:color="auto"/>
              <w:right w:val="nil"/>
            </w:tcBorders>
            <w:shd w:val="clear" w:color="auto" w:fill="FFFFFF" w:themeFill="background1"/>
            <w:noWrap/>
            <w:vAlign w:val="bottom"/>
            <w:hideMark/>
          </w:tcPr>
          <w:p w14:paraId="69F3B895"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lang w:val="en-US"/>
              </w:rPr>
              <w:t>[%]</w:t>
            </w:r>
          </w:p>
        </w:tc>
        <w:tc>
          <w:tcPr>
            <w:tcW w:w="914" w:type="dxa"/>
            <w:tcBorders>
              <w:top w:val="nil"/>
              <w:left w:val="nil"/>
              <w:bottom w:val="single" w:sz="4" w:space="0" w:color="auto"/>
              <w:right w:val="nil"/>
            </w:tcBorders>
            <w:shd w:val="clear" w:color="auto" w:fill="FFFFFF" w:themeFill="background1"/>
            <w:noWrap/>
            <w:vAlign w:val="bottom"/>
            <w:hideMark/>
          </w:tcPr>
          <w:p w14:paraId="45FD225B"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16.5</w:t>
            </w:r>
          </w:p>
        </w:tc>
        <w:tc>
          <w:tcPr>
            <w:tcW w:w="873" w:type="dxa"/>
            <w:tcBorders>
              <w:top w:val="nil"/>
              <w:left w:val="nil"/>
              <w:bottom w:val="single" w:sz="4" w:space="0" w:color="auto"/>
              <w:right w:val="nil"/>
            </w:tcBorders>
            <w:shd w:val="clear" w:color="auto" w:fill="FFFFFF" w:themeFill="background1"/>
            <w:noWrap/>
            <w:vAlign w:val="bottom"/>
            <w:hideMark/>
          </w:tcPr>
          <w:p w14:paraId="1B1BDFBE" w14:textId="77777777" w:rsidR="004576CC" w:rsidRPr="00B97923" w:rsidRDefault="004576CC" w:rsidP="004576CC">
            <w:pPr>
              <w:rPr>
                <w:rFonts w:ascii="Arial" w:hAnsi="Arial" w:cs="Arial"/>
                <w:sz w:val="21"/>
                <w:szCs w:val="21"/>
              </w:rPr>
            </w:pPr>
            <w:r w:rsidRPr="00B97923">
              <w:rPr>
                <w:rFonts w:ascii="Arial" w:hAnsi="Arial" w:cs="Arial"/>
                <w:sz w:val="21"/>
                <w:szCs w:val="21"/>
              </w:rPr>
              <w:t>± 9.0</w:t>
            </w:r>
          </w:p>
        </w:tc>
        <w:tc>
          <w:tcPr>
            <w:tcW w:w="914" w:type="dxa"/>
            <w:tcBorders>
              <w:top w:val="nil"/>
              <w:left w:val="nil"/>
              <w:bottom w:val="single" w:sz="4" w:space="0" w:color="auto"/>
              <w:right w:val="nil"/>
            </w:tcBorders>
            <w:shd w:val="clear" w:color="auto" w:fill="FFFFFF" w:themeFill="background1"/>
            <w:noWrap/>
            <w:vAlign w:val="bottom"/>
            <w:hideMark/>
          </w:tcPr>
          <w:p w14:paraId="176337F8"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18.6</w:t>
            </w:r>
          </w:p>
        </w:tc>
        <w:tc>
          <w:tcPr>
            <w:tcW w:w="873" w:type="dxa"/>
            <w:tcBorders>
              <w:top w:val="nil"/>
              <w:left w:val="nil"/>
              <w:bottom w:val="single" w:sz="4" w:space="0" w:color="auto"/>
              <w:right w:val="nil"/>
            </w:tcBorders>
            <w:shd w:val="clear" w:color="auto" w:fill="FFFFFF" w:themeFill="background1"/>
            <w:noWrap/>
            <w:vAlign w:val="bottom"/>
            <w:hideMark/>
          </w:tcPr>
          <w:p w14:paraId="5466E48F" w14:textId="77777777" w:rsidR="004576CC" w:rsidRPr="00B97923" w:rsidRDefault="004576CC" w:rsidP="004576CC">
            <w:pPr>
              <w:rPr>
                <w:rFonts w:ascii="Arial" w:hAnsi="Arial" w:cs="Arial"/>
                <w:sz w:val="21"/>
                <w:szCs w:val="21"/>
              </w:rPr>
            </w:pPr>
            <w:r w:rsidRPr="00B97923">
              <w:rPr>
                <w:rFonts w:ascii="Arial" w:hAnsi="Arial" w:cs="Arial"/>
                <w:sz w:val="21"/>
                <w:szCs w:val="21"/>
              </w:rPr>
              <w:t>± 12.0</w:t>
            </w:r>
          </w:p>
        </w:tc>
        <w:tc>
          <w:tcPr>
            <w:tcW w:w="914" w:type="dxa"/>
            <w:tcBorders>
              <w:top w:val="nil"/>
              <w:left w:val="nil"/>
              <w:bottom w:val="single" w:sz="4" w:space="0" w:color="auto"/>
              <w:right w:val="nil"/>
            </w:tcBorders>
            <w:shd w:val="clear" w:color="auto" w:fill="FFFFFF" w:themeFill="background1"/>
            <w:noWrap/>
            <w:vAlign w:val="bottom"/>
            <w:hideMark/>
          </w:tcPr>
          <w:p w14:paraId="0A5B1606" w14:textId="2C2C435B" w:rsidR="004576CC" w:rsidRPr="00B97923" w:rsidRDefault="004576CC" w:rsidP="004576CC">
            <w:pPr>
              <w:jc w:val="right"/>
              <w:rPr>
                <w:rFonts w:ascii="Arial" w:hAnsi="Arial" w:cs="Arial"/>
                <w:sz w:val="21"/>
                <w:szCs w:val="21"/>
              </w:rPr>
            </w:pPr>
            <w:r w:rsidRPr="00B97923">
              <w:rPr>
                <w:rFonts w:ascii="Arial" w:hAnsi="Arial" w:cs="Arial"/>
                <w:sz w:val="21"/>
                <w:szCs w:val="21"/>
              </w:rPr>
              <w:t>14.1</w:t>
            </w:r>
          </w:p>
        </w:tc>
        <w:tc>
          <w:tcPr>
            <w:tcW w:w="875" w:type="dxa"/>
            <w:tcBorders>
              <w:top w:val="nil"/>
              <w:left w:val="nil"/>
              <w:bottom w:val="single" w:sz="4" w:space="0" w:color="auto"/>
              <w:right w:val="nil"/>
            </w:tcBorders>
            <w:shd w:val="clear" w:color="auto" w:fill="FFFFFF" w:themeFill="background1"/>
            <w:noWrap/>
            <w:vAlign w:val="bottom"/>
            <w:hideMark/>
          </w:tcPr>
          <w:p w14:paraId="63689003" w14:textId="77777777" w:rsidR="004576CC" w:rsidRPr="00B97923" w:rsidRDefault="004576CC" w:rsidP="004576CC">
            <w:pPr>
              <w:rPr>
                <w:rFonts w:ascii="Arial" w:hAnsi="Arial" w:cs="Arial"/>
                <w:sz w:val="21"/>
                <w:szCs w:val="21"/>
              </w:rPr>
            </w:pPr>
            <w:r w:rsidRPr="00B97923">
              <w:rPr>
                <w:rFonts w:ascii="Arial" w:hAnsi="Arial" w:cs="Arial"/>
                <w:sz w:val="21"/>
                <w:szCs w:val="21"/>
              </w:rPr>
              <w:t>± 8.7</w:t>
            </w:r>
          </w:p>
        </w:tc>
        <w:tc>
          <w:tcPr>
            <w:tcW w:w="873" w:type="dxa"/>
            <w:tcBorders>
              <w:top w:val="nil"/>
              <w:left w:val="nil"/>
              <w:bottom w:val="nil"/>
              <w:right w:val="nil"/>
            </w:tcBorders>
            <w:shd w:val="clear" w:color="auto" w:fill="FFFFFF" w:themeFill="background1"/>
            <w:noWrap/>
            <w:vAlign w:val="bottom"/>
            <w:hideMark/>
          </w:tcPr>
          <w:p w14:paraId="3D69A6E5"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single" w:sz="4" w:space="0" w:color="auto"/>
              <w:right w:val="nil"/>
            </w:tcBorders>
            <w:shd w:val="clear" w:color="auto" w:fill="FFFFFF" w:themeFill="background1"/>
            <w:noWrap/>
            <w:vAlign w:val="bottom"/>
            <w:hideMark/>
          </w:tcPr>
          <w:p w14:paraId="193476EF"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16.0</w:t>
            </w:r>
          </w:p>
        </w:tc>
        <w:tc>
          <w:tcPr>
            <w:tcW w:w="873" w:type="dxa"/>
            <w:tcBorders>
              <w:top w:val="nil"/>
              <w:left w:val="nil"/>
              <w:bottom w:val="single" w:sz="4" w:space="0" w:color="auto"/>
              <w:right w:val="nil"/>
            </w:tcBorders>
            <w:shd w:val="clear" w:color="auto" w:fill="FFFFFF" w:themeFill="background1"/>
            <w:noWrap/>
            <w:vAlign w:val="bottom"/>
            <w:hideMark/>
          </w:tcPr>
          <w:p w14:paraId="0CC37D34" w14:textId="77777777" w:rsidR="004576CC" w:rsidRPr="00B97923" w:rsidRDefault="004576CC" w:rsidP="004576CC">
            <w:pPr>
              <w:rPr>
                <w:rFonts w:ascii="Arial" w:hAnsi="Arial" w:cs="Arial"/>
                <w:sz w:val="21"/>
                <w:szCs w:val="21"/>
              </w:rPr>
            </w:pPr>
            <w:r w:rsidRPr="00B97923">
              <w:rPr>
                <w:rFonts w:ascii="Arial" w:hAnsi="Arial" w:cs="Arial"/>
                <w:sz w:val="21"/>
                <w:szCs w:val="21"/>
              </w:rPr>
              <w:t>± 8.4</w:t>
            </w:r>
          </w:p>
        </w:tc>
        <w:tc>
          <w:tcPr>
            <w:tcW w:w="914" w:type="dxa"/>
            <w:tcBorders>
              <w:top w:val="nil"/>
              <w:left w:val="nil"/>
              <w:bottom w:val="single" w:sz="4" w:space="0" w:color="auto"/>
              <w:right w:val="nil"/>
            </w:tcBorders>
            <w:shd w:val="clear" w:color="auto" w:fill="FFFFFF" w:themeFill="background1"/>
            <w:noWrap/>
            <w:vAlign w:val="bottom"/>
            <w:hideMark/>
          </w:tcPr>
          <w:p w14:paraId="42A6E737"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16.9</w:t>
            </w:r>
          </w:p>
        </w:tc>
        <w:tc>
          <w:tcPr>
            <w:tcW w:w="873" w:type="dxa"/>
            <w:tcBorders>
              <w:top w:val="nil"/>
              <w:left w:val="nil"/>
              <w:bottom w:val="single" w:sz="4" w:space="0" w:color="auto"/>
              <w:right w:val="nil"/>
            </w:tcBorders>
            <w:shd w:val="clear" w:color="auto" w:fill="FFFFFF" w:themeFill="background1"/>
            <w:noWrap/>
            <w:vAlign w:val="bottom"/>
            <w:hideMark/>
          </w:tcPr>
          <w:p w14:paraId="18011315" w14:textId="77777777" w:rsidR="004576CC" w:rsidRPr="00B97923" w:rsidRDefault="004576CC" w:rsidP="004576CC">
            <w:pPr>
              <w:rPr>
                <w:rFonts w:ascii="Arial" w:hAnsi="Arial" w:cs="Arial"/>
                <w:sz w:val="21"/>
                <w:szCs w:val="21"/>
              </w:rPr>
            </w:pPr>
            <w:r w:rsidRPr="00B97923">
              <w:rPr>
                <w:rFonts w:ascii="Arial" w:hAnsi="Arial" w:cs="Arial"/>
                <w:sz w:val="21"/>
                <w:szCs w:val="21"/>
              </w:rPr>
              <w:t>± 10.1</w:t>
            </w:r>
          </w:p>
        </w:tc>
        <w:tc>
          <w:tcPr>
            <w:tcW w:w="914" w:type="dxa"/>
            <w:tcBorders>
              <w:top w:val="nil"/>
              <w:left w:val="nil"/>
              <w:bottom w:val="single" w:sz="4" w:space="0" w:color="auto"/>
              <w:right w:val="nil"/>
            </w:tcBorders>
            <w:shd w:val="clear" w:color="auto" w:fill="FFFFFF" w:themeFill="background1"/>
            <w:noWrap/>
            <w:vAlign w:val="bottom"/>
            <w:hideMark/>
          </w:tcPr>
          <w:p w14:paraId="7C45C7E5"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11.7</w:t>
            </w:r>
          </w:p>
        </w:tc>
        <w:tc>
          <w:tcPr>
            <w:tcW w:w="875" w:type="dxa"/>
            <w:tcBorders>
              <w:top w:val="nil"/>
              <w:left w:val="nil"/>
              <w:bottom w:val="single" w:sz="4" w:space="0" w:color="auto"/>
              <w:right w:val="nil"/>
            </w:tcBorders>
            <w:shd w:val="clear" w:color="auto" w:fill="FFFFFF" w:themeFill="background1"/>
            <w:noWrap/>
            <w:vAlign w:val="bottom"/>
            <w:hideMark/>
          </w:tcPr>
          <w:p w14:paraId="1C129008" w14:textId="77777777" w:rsidR="004576CC" w:rsidRPr="00B97923" w:rsidRDefault="004576CC" w:rsidP="004576CC">
            <w:pPr>
              <w:rPr>
                <w:rFonts w:ascii="Arial" w:hAnsi="Arial" w:cs="Arial"/>
                <w:sz w:val="21"/>
                <w:szCs w:val="21"/>
              </w:rPr>
            </w:pPr>
            <w:r w:rsidRPr="00B97923">
              <w:rPr>
                <w:rFonts w:ascii="Arial" w:hAnsi="Arial" w:cs="Arial"/>
                <w:sz w:val="21"/>
                <w:szCs w:val="21"/>
              </w:rPr>
              <w:t>± 8.0</w:t>
            </w:r>
          </w:p>
        </w:tc>
      </w:tr>
      <w:tr w:rsidR="004576CC" w:rsidRPr="00B97923" w14:paraId="75C6AE03" w14:textId="77777777" w:rsidTr="27EEF6FD">
        <w:trPr>
          <w:trHeight w:val="84"/>
        </w:trPr>
        <w:tc>
          <w:tcPr>
            <w:tcW w:w="963" w:type="dxa"/>
            <w:tcBorders>
              <w:top w:val="nil"/>
              <w:left w:val="nil"/>
              <w:bottom w:val="nil"/>
              <w:right w:val="nil"/>
            </w:tcBorders>
            <w:shd w:val="clear" w:color="auto" w:fill="FFFFFF" w:themeFill="background1"/>
            <w:noWrap/>
            <w:vAlign w:val="bottom"/>
            <w:hideMark/>
          </w:tcPr>
          <w:p w14:paraId="32E668F5"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4C5553E6"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nil"/>
              <w:right w:val="nil"/>
            </w:tcBorders>
            <w:shd w:val="clear" w:color="auto" w:fill="FFFFFF" w:themeFill="background1"/>
            <w:noWrap/>
            <w:vAlign w:val="bottom"/>
            <w:hideMark/>
          </w:tcPr>
          <w:p w14:paraId="008070A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5A6F79AF"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019C0A71"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5A49442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47C8615D"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6D4BFFE1"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5" w:type="dxa"/>
            <w:tcBorders>
              <w:top w:val="nil"/>
              <w:left w:val="nil"/>
              <w:bottom w:val="nil"/>
              <w:right w:val="nil"/>
            </w:tcBorders>
            <w:shd w:val="clear" w:color="auto" w:fill="FFFFFF" w:themeFill="background1"/>
            <w:noWrap/>
            <w:vAlign w:val="bottom"/>
            <w:hideMark/>
          </w:tcPr>
          <w:p w14:paraId="17A44570"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1408A658"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2AE22A7A"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4184601D"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0E68118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49761FF8"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53B54D73"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5" w:type="dxa"/>
            <w:tcBorders>
              <w:top w:val="nil"/>
              <w:left w:val="nil"/>
              <w:bottom w:val="nil"/>
              <w:right w:val="nil"/>
            </w:tcBorders>
            <w:shd w:val="clear" w:color="auto" w:fill="FFFFFF" w:themeFill="background1"/>
            <w:noWrap/>
            <w:vAlign w:val="bottom"/>
            <w:hideMark/>
          </w:tcPr>
          <w:p w14:paraId="6D69253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r>
      <w:tr w:rsidR="004576CC" w:rsidRPr="00B97923" w14:paraId="3C951F02"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620E97E8"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64E691FF"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nil"/>
              <w:right w:val="nil"/>
            </w:tcBorders>
            <w:shd w:val="clear" w:color="auto" w:fill="FFFFFF" w:themeFill="background1"/>
            <w:noWrap/>
            <w:vAlign w:val="bottom"/>
            <w:hideMark/>
          </w:tcPr>
          <w:p w14:paraId="7C7BC0F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1787" w:type="dxa"/>
            <w:gridSpan w:val="2"/>
            <w:tcBorders>
              <w:top w:val="nil"/>
              <w:left w:val="nil"/>
              <w:bottom w:val="single" w:sz="4" w:space="0" w:color="auto"/>
              <w:right w:val="nil"/>
            </w:tcBorders>
            <w:shd w:val="clear" w:color="auto" w:fill="FFFFFF" w:themeFill="background1"/>
            <w:noWrap/>
            <w:vAlign w:val="bottom"/>
            <w:hideMark/>
          </w:tcPr>
          <w:p w14:paraId="32A7DCEA"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FWHM</w:t>
            </w:r>
          </w:p>
        </w:tc>
        <w:tc>
          <w:tcPr>
            <w:tcW w:w="1787" w:type="dxa"/>
            <w:gridSpan w:val="2"/>
            <w:tcBorders>
              <w:top w:val="nil"/>
              <w:left w:val="nil"/>
              <w:bottom w:val="single" w:sz="4" w:space="0" w:color="auto"/>
              <w:right w:val="nil"/>
            </w:tcBorders>
            <w:shd w:val="clear" w:color="auto" w:fill="FFFFFF" w:themeFill="background1"/>
            <w:noWrap/>
            <w:vAlign w:val="bottom"/>
            <w:hideMark/>
          </w:tcPr>
          <w:p w14:paraId="6CD2D499"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5-SD</w:t>
            </w:r>
          </w:p>
        </w:tc>
        <w:tc>
          <w:tcPr>
            <w:tcW w:w="1789" w:type="dxa"/>
            <w:gridSpan w:val="2"/>
            <w:tcBorders>
              <w:top w:val="nil"/>
              <w:left w:val="nil"/>
              <w:bottom w:val="single" w:sz="4" w:space="0" w:color="auto"/>
              <w:right w:val="nil"/>
            </w:tcBorders>
            <w:shd w:val="clear" w:color="auto" w:fill="FFFFFF" w:themeFill="background1"/>
            <w:noWrap/>
            <w:vAlign w:val="bottom"/>
            <w:hideMark/>
          </w:tcPr>
          <w:p w14:paraId="6F32D862"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6-SD</w:t>
            </w:r>
          </w:p>
        </w:tc>
        <w:tc>
          <w:tcPr>
            <w:tcW w:w="873" w:type="dxa"/>
            <w:tcBorders>
              <w:top w:val="nil"/>
              <w:left w:val="nil"/>
              <w:bottom w:val="nil"/>
              <w:right w:val="nil"/>
            </w:tcBorders>
            <w:shd w:val="clear" w:color="auto" w:fill="FFFFFF" w:themeFill="background1"/>
            <w:noWrap/>
            <w:vAlign w:val="bottom"/>
            <w:hideMark/>
          </w:tcPr>
          <w:p w14:paraId="0CA40989" w14:textId="77777777" w:rsidR="004576CC" w:rsidRPr="00B97923" w:rsidRDefault="004576CC" w:rsidP="004576CC">
            <w:pPr>
              <w:rPr>
                <w:rFonts w:ascii="Arial" w:hAnsi="Arial" w:cs="Arial"/>
                <w:b/>
                <w:bCs/>
                <w:color w:val="000000"/>
                <w:sz w:val="21"/>
                <w:szCs w:val="21"/>
              </w:rPr>
            </w:pPr>
            <w:r w:rsidRPr="00B97923">
              <w:rPr>
                <w:rFonts w:ascii="Arial" w:hAnsi="Arial" w:cs="Arial"/>
                <w:b/>
                <w:bCs/>
                <w:color w:val="000000"/>
                <w:sz w:val="21"/>
                <w:szCs w:val="21"/>
              </w:rPr>
              <w:t> </w:t>
            </w:r>
          </w:p>
        </w:tc>
        <w:tc>
          <w:tcPr>
            <w:tcW w:w="1787" w:type="dxa"/>
            <w:gridSpan w:val="2"/>
            <w:tcBorders>
              <w:top w:val="nil"/>
              <w:left w:val="nil"/>
              <w:bottom w:val="single" w:sz="4" w:space="0" w:color="auto"/>
              <w:right w:val="nil"/>
            </w:tcBorders>
            <w:shd w:val="clear" w:color="auto" w:fill="FFFFFF" w:themeFill="background1"/>
            <w:noWrap/>
            <w:vAlign w:val="bottom"/>
            <w:hideMark/>
          </w:tcPr>
          <w:p w14:paraId="0C0E8FD5"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FWHM</w:t>
            </w:r>
          </w:p>
        </w:tc>
        <w:tc>
          <w:tcPr>
            <w:tcW w:w="1787" w:type="dxa"/>
            <w:gridSpan w:val="2"/>
            <w:tcBorders>
              <w:top w:val="nil"/>
              <w:left w:val="nil"/>
              <w:bottom w:val="single" w:sz="4" w:space="0" w:color="auto"/>
              <w:right w:val="nil"/>
            </w:tcBorders>
            <w:shd w:val="clear" w:color="auto" w:fill="FFFFFF" w:themeFill="background1"/>
            <w:noWrap/>
            <w:vAlign w:val="bottom"/>
            <w:hideMark/>
          </w:tcPr>
          <w:p w14:paraId="25B0A7A9"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5-SD</w:t>
            </w:r>
          </w:p>
        </w:tc>
        <w:tc>
          <w:tcPr>
            <w:tcW w:w="1789" w:type="dxa"/>
            <w:gridSpan w:val="2"/>
            <w:tcBorders>
              <w:top w:val="nil"/>
              <w:left w:val="nil"/>
              <w:bottom w:val="single" w:sz="4" w:space="0" w:color="auto"/>
              <w:right w:val="nil"/>
            </w:tcBorders>
            <w:shd w:val="clear" w:color="auto" w:fill="FFFFFF" w:themeFill="background1"/>
            <w:noWrap/>
            <w:vAlign w:val="bottom"/>
            <w:hideMark/>
          </w:tcPr>
          <w:p w14:paraId="051CCA9A"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6-SD</w:t>
            </w:r>
          </w:p>
        </w:tc>
      </w:tr>
      <w:tr w:rsidR="004576CC" w:rsidRPr="00B97923" w14:paraId="431048BB" w14:textId="77777777" w:rsidTr="27EEF6FD">
        <w:trPr>
          <w:trHeight w:val="194"/>
        </w:trPr>
        <w:tc>
          <w:tcPr>
            <w:tcW w:w="963" w:type="dxa"/>
            <w:tcBorders>
              <w:top w:val="single" w:sz="4" w:space="0" w:color="auto"/>
              <w:left w:val="nil"/>
              <w:bottom w:val="nil"/>
              <w:right w:val="nil"/>
            </w:tcBorders>
            <w:shd w:val="clear" w:color="auto" w:fill="FFFFFF" w:themeFill="background1"/>
            <w:noWrap/>
            <w:vAlign w:val="bottom"/>
            <w:hideMark/>
          </w:tcPr>
          <w:p w14:paraId="3FD357E2"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HCM</w:t>
            </w:r>
          </w:p>
        </w:tc>
        <w:tc>
          <w:tcPr>
            <w:tcW w:w="1605" w:type="dxa"/>
            <w:tcBorders>
              <w:top w:val="single" w:sz="4" w:space="0" w:color="auto"/>
              <w:left w:val="nil"/>
              <w:bottom w:val="nil"/>
              <w:right w:val="nil"/>
            </w:tcBorders>
            <w:shd w:val="clear" w:color="auto" w:fill="FFFFFF" w:themeFill="background1"/>
            <w:noWrap/>
            <w:vAlign w:val="bottom"/>
            <w:hideMark/>
          </w:tcPr>
          <w:p w14:paraId="29DF4FDF" w14:textId="77777777" w:rsidR="004576CC" w:rsidRPr="00B97923" w:rsidRDefault="004576CC" w:rsidP="004576CC">
            <w:pPr>
              <w:rPr>
                <w:rFonts w:ascii="Arial" w:hAnsi="Arial" w:cs="Arial"/>
                <w:b/>
                <w:bCs/>
                <w:color w:val="000000"/>
                <w:sz w:val="21"/>
                <w:szCs w:val="21"/>
              </w:rPr>
            </w:pPr>
            <w:r w:rsidRPr="00B97923">
              <w:rPr>
                <w:rFonts w:ascii="Arial" w:hAnsi="Arial" w:cs="Arial"/>
                <w:b/>
                <w:bCs/>
                <w:color w:val="000000"/>
                <w:sz w:val="21"/>
                <w:szCs w:val="21"/>
                <w:lang w:val="en-US"/>
              </w:rPr>
              <w:t>LVM</w:t>
            </w:r>
          </w:p>
        </w:tc>
        <w:tc>
          <w:tcPr>
            <w:tcW w:w="715" w:type="dxa"/>
            <w:tcBorders>
              <w:top w:val="single" w:sz="4" w:space="0" w:color="auto"/>
              <w:left w:val="nil"/>
              <w:bottom w:val="nil"/>
              <w:right w:val="nil"/>
            </w:tcBorders>
            <w:shd w:val="clear" w:color="auto" w:fill="FFFFFF" w:themeFill="background1"/>
            <w:noWrap/>
            <w:vAlign w:val="bottom"/>
            <w:hideMark/>
          </w:tcPr>
          <w:p w14:paraId="7707DE86"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lang w:val="en-US"/>
              </w:rPr>
              <w:t>[ml]</w:t>
            </w:r>
          </w:p>
        </w:tc>
        <w:tc>
          <w:tcPr>
            <w:tcW w:w="914" w:type="dxa"/>
            <w:tcBorders>
              <w:top w:val="nil"/>
              <w:left w:val="nil"/>
              <w:bottom w:val="nil"/>
              <w:right w:val="nil"/>
            </w:tcBorders>
            <w:shd w:val="clear" w:color="auto" w:fill="FFFFFF" w:themeFill="background1"/>
            <w:noWrap/>
            <w:vAlign w:val="bottom"/>
            <w:hideMark/>
          </w:tcPr>
          <w:p w14:paraId="03F0A395"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130.8</w:t>
            </w:r>
          </w:p>
        </w:tc>
        <w:tc>
          <w:tcPr>
            <w:tcW w:w="873" w:type="dxa"/>
            <w:tcBorders>
              <w:top w:val="nil"/>
              <w:left w:val="nil"/>
              <w:bottom w:val="nil"/>
              <w:right w:val="nil"/>
            </w:tcBorders>
            <w:shd w:val="clear" w:color="auto" w:fill="FFFFFF" w:themeFill="background1"/>
            <w:noWrap/>
            <w:vAlign w:val="bottom"/>
            <w:hideMark/>
          </w:tcPr>
          <w:p w14:paraId="41C049FE" w14:textId="77777777" w:rsidR="004576CC" w:rsidRPr="00B97923" w:rsidRDefault="004576CC" w:rsidP="004576CC">
            <w:pPr>
              <w:rPr>
                <w:rFonts w:ascii="Arial" w:hAnsi="Arial" w:cs="Arial"/>
                <w:sz w:val="21"/>
                <w:szCs w:val="21"/>
              </w:rPr>
            </w:pPr>
            <w:r w:rsidRPr="00B97923">
              <w:rPr>
                <w:rFonts w:ascii="Arial" w:hAnsi="Arial" w:cs="Arial"/>
                <w:sz w:val="21"/>
                <w:szCs w:val="21"/>
              </w:rPr>
              <w:t>± 59.8</w:t>
            </w:r>
          </w:p>
        </w:tc>
        <w:tc>
          <w:tcPr>
            <w:tcW w:w="914" w:type="dxa"/>
            <w:tcBorders>
              <w:top w:val="nil"/>
              <w:left w:val="nil"/>
              <w:bottom w:val="nil"/>
              <w:right w:val="nil"/>
            </w:tcBorders>
            <w:shd w:val="clear" w:color="auto" w:fill="FFFFFF" w:themeFill="background1"/>
            <w:noWrap/>
            <w:vAlign w:val="bottom"/>
            <w:hideMark/>
          </w:tcPr>
          <w:p w14:paraId="08E37E54"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130.8</w:t>
            </w:r>
          </w:p>
        </w:tc>
        <w:tc>
          <w:tcPr>
            <w:tcW w:w="873" w:type="dxa"/>
            <w:tcBorders>
              <w:top w:val="nil"/>
              <w:left w:val="nil"/>
              <w:bottom w:val="nil"/>
              <w:right w:val="nil"/>
            </w:tcBorders>
            <w:shd w:val="clear" w:color="auto" w:fill="FFFFFF" w:themeFill="background1"/>
            <w:noWrap/>
            <w:vAlign w:val="bottom"/>
            <w:hideMark/>
          </w:tcPr>
          <w:p w14:paraId="1A7202F5" w14:textId="77777777" w:rsidR="004576CC" w:rsidRPr="00B97923" w:rsidRDefault="004576CC" w:rsidP="004576CC">
            <w:pPr>
              <w:rPr>
                <w:rFonts w:ascii="Arial" w:hAnsi="Arial" w:cs="Arial"/>
                <w:sz w:val="21"/>
                <w:szCs w:val="21"/>
              </w:rPr>
            </w:pPr>
            <w:r w:rsidRPr="00B97923">
              <w:rPr>
                <w:rFonts w:ascii="Arial" w:hAnsi="Arial" w:cs="Arial"/>
                <w:sz w:val="21"/>
                <w:szCs w:val="21"/>
              </w:rPr>
              <w:t>± 59.8</w:t>
            </w:r>
          </w:p>
        </w:tc>
        <w:tc>
          <w:tcPr>
            <w:tcW w:w="914" w:type="dxa"/>
            <w:tcBorders>
              <w:top w:val="nil"/>
              <w:left w:val="nil"/>
              <w:bottom w:val="nil"/>
              <w:right w:val="nil"/>
            </w:tcBorders>
            <w:shd w:val="clear" w:color="auto" w:fill="FFFFFF" w:themeFill="background1"/>
            <w:noWrap/>
            <w:vAlign w:val="bottom"/>
            <w:hideMark/>
          </w:tcPr>
          <w:p w14:paraId="22E82B73"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130.8</w:t>
            </w:r>
          </w:p>
        </w:tc>
        <w:tc>
          <w:tcPr>
            <w:tcW w:w="875" w:type="dxa"/>
            <w:tcBorders>
              <w:top w:val="nil"/>
              <w:left w:val="nil"/>
              <w:bottom w:val="nil"/>
              <w:right w:val="nil"/>
            </w:tcBorders>
            <w:shd w:val="clear" w:color="auto" w:fill="FFFFFF" w:themeFill="background1"/>
            <w:noWrap/>
            <w:vAlign w:val="bottom"/>
            <w:hideMark/>
          </w:tcPr>
          <w:p w14:paraId="3FD7A854" w14:textId="77777777" w:rsidR="004576CC" w:rsidRPr="00B97923" w:rsidRDefault="004576CC" w:rsidP="004576CC">
            <w:pPr>
              <w:rPr>
                <w:rFonts w:ascii="Arial" w:hAnsi="Arial" w:cs="Arial"/>
                <w:sz w:val="21"/>
                <w:szCs w:val="21"/>
              </w:rPr>
            </w:pPr>
            <w:r w:rsidRPr="00B97923">
              <w:rPr>
                <w:rFonts w:ascii="Arial" w:hAnsi="Arial" w:cs="Arial"/>
                <w:sz w:val="21"/>
                <w:szCs w:val="21"/>
              </w:rPr>
              <w:t>± 59.8</w:t>
            </w:r>
          </w:p>
        </w:tc>
        <w:tc>
          <w:tcPr>
            <w:tcW w:w="873" w:type="dxa"/>
            <w:tcBorders>
              <w:top w:val="nil"/>
              <w:left w:val="nil"/>
              <w:bottom w:val="nil"/>
              <w:right w:val="nil"/>
            </w:tcBorders>
            <w:shd w:val="clear" w:color="auto" w:fill="FFFFFF" w:themeFill="background1"/>
            <w:noWrap/>
            <w:vAlign w:val="bottom"/>
            <w:hideMark/>
          </w:tcPr>
          <w:p w14:paraId="4F61784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69502CDC"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131.1</w:t>
            </w:r>
          </w:p>
        </w:tc>
        <w:tc>
          <w:tcPr>
            <w:tcW w:w="873" w:type="dxa"/>
            <w:tcBorders>
              <w:top w:val="nil"/>
              <w:left w:val="nil"/>
              <w:bottom w:val="nil"/>
              <w:right w:val="nil"/>
            </w:tcBorders>
            <w:shd w:val="clear" w:color="auto" w:fill="FFFFFF" w:themeFill="background1"/>
            <w:noWrap/>
            <w:vAlign w:val="bottom"/>
            <w:hideMark/>
          </w:tcPr>
          <w:p w14:paraId="43D5D16F" w14:textId="77777777" w:rsidR="004576CC" w:rsidRPr="00B97923" w:rsidRDefault="004576CC" w:rsidP="004576CC">
            <w:pPr>
              <w:rPr>
                <w:rFonts w:ascii="Arial" w:hAnsi="Arial" w:cs="Arial"/>
                <w:sz w:val="21"/>
                <w:szCs w:val="21"/>
              </w:rPr>
            </w:pPr>
            <w:r w:rsidRPr="00B97923">
              <w:rPr>
                <w:rFonts w:ascii="Arial" w:hAnsi="Arial" w:cs="Arial"/>
                <w:sz w:val="21"/>
                <w:szCs w:val="21"/>
              </w:rPr>
              <w:t>± 57.3</w:t>
            </w:r>
          </w:p>
        </w:tc>
        <w:tc>
          <w:tcPr>
            <w:tcW w:w="914" w:type="dxa"/>
            <w:tcBorders>
              <w:top w:val="nil"/>
              <w:left w:val="nil"/>
              <w:bottom w:val="nil"/>
              <w:right w:val="nil"/>
            </w:tcBorders>
            <w:shd w:val="clear" w:color="auto" w:fill="FFFFFF" w:themeFill="background1"/>
            <w:noWrap/>
            <w:vAlign w:val="bottom"/>
            <w:hideMark/>
          </w:tcPr>
          <w:p w14:paraId="7CD05D2C"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131.1</w:t>
            </w:r>
          </w:p>
        </w:tc>
        <w:tc>
          <w:tcPr>
            <w:tcW w:w="873" w:type="dxa"/>
            <w:tcBorders>
              <w:top w:val="nil"/>
              <w:left w:val="nil"/>
              <w:bottom w:val="nil"/>
              <w:right w:val="nil"/>
            </w:tcBorders>
            <w:shd w:val="clear" w:color="auto" w:fill="FFFFFF" w:themeFill="background1"/>
            <w:noWrap/>
            <w:vAlign w:val="bottom"/>
            <w:hideMark/>
          </w:tcPr>
          <w:p w14:paraId="6093569F" w14:textId="77777777" w:rsidR="004576CC" w:rsidRPr="00B97923" w:rsidRDefault="004576CC" w:rsidP="004576CC">
            <w:pPr>
              <w:rPr>
                <w:rFonts w:ascii="Arial" w:hAnsi="Arial" w:cs="Arial"/>
                <w:sz w:val="21"/>
                <w:szCs w:val="21"/>
              </w:rPr>
            </w:pPr>
            <w:r w:rsidRPr="00B97923">
              <w:rPr>
                <w:rFonts w:ascii="Arial" w:hAnsi="Arial" w:cs="Arial"/>
                <w:sz w:val="21"/>
                <w:szCs w:val="21"/>
              </w:rPr>
              <w:t>± 57.3</w:t>
            </w:r>
          </w:p>
        </w:tc>
        <w:tc>
          <w:tcPr>
            <w:tcW w:w="914" w:type="dxa"/>
            <w:tcBorders>
              <w:top w:val="nil"/>
              <w:left w:val="nil"/>
              <w:bottom w:val="nil"/>
              <w:right w:val="nil"/>
            </w:tcBorders>
            <w:shd w:val="clear" w:color="auto" w:fill="FFFFFF" w:themeFill="background1"/>
            <w:noWrap/>
            <w:vAlign w:val="bottom"/>
            <w:hideMark/>
          </w:tcPr>
          <w:p w14:paraId="0F6EF27F"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131.1</w:t>
            </w:r>
          </w:p>
        </w:tc>
        <w:tc>
          <w:tcPr>
            <w:tcW w:w="875" w:type="dxa"/>
            <w:tcBorders>
              <w:top w:val="nil"/>
              <w:left w:val="nil"/>
              <w:bottom w:val="nil"/>
              <w:right w:val="nil"/>
            </w:tcBorders>
            <w:shd w:val="clear" w:color="auto" w:fill="FFFFFF" w:themeFill="background1"/>
            <w:noWrap/>
            <w:vAlign w:val="bottom"/>
            <w:hideMark/>
          </w:tcPr>
          <w:p w14:paraId="2E59B8B8" w14:textId="77777777" w:rsidR="004576CC" w:rsidRPr="00B97923" w:rsidRDefault="004576CC" w:rsidP="004576CC">
            <w:pPr>
              <w:rPr>
                <w:rFonts w:ascii="Arial" w:hAnsi="Arial" w:cs="Arial"/>
                <w:sz w:val="21"/>
                <w:szCs w:val="21"/>
              </w:rPr>
            </w:pPr>
            <w:r w:rsidRPr="00B97923">
              <w:rPr>
                <w:rFonts w:ascii="Arial" w:hAnsi="Arial" w:cs="Arial"/>
                <w:sz w:val="21"/>
                <w:szCs w:val="21"/>
              </w:rPr>
              <w:t>± 57.3</w:t>
            </w:r>
          </w:p>
        </w:tc>
      </w:tr>
      <w:tr w:rsidR="004576CC" w:rsidRPr="00B97923" w14:paraId="5A555FA3"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62C2F843"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6CBB035F"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nil"/>
              <w:right w:val="nil"/>
            </w:tcBorders>
            <w:shd w:val="clear" w:color="auto" w:fill="FFFFFF" w:themeFill="background1"/>
            <w:noWrap/>
            <w:vAlign w:val="bottom"/>
            <w:hideMark/>
          </w:tcPr>
          <w:p w14:paraId="5D7D35F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lang w:val="en-US"/>
              </w:rPr>
              <w:t>[g]</w:t>
            </w:r>
          </w:p>
        </w:tc>
        <w:tc>
          <w:tcPr>
            <w:tcW w:w="914" w:type="dxa"/>
            <w:tcBorders>
              <w:top w:val="nil"/>
              <w:left w:val="nil"/>
              <w:bottom w:val="nil"/>
              <w:right w:val="nil"/>
            </w:tcBorders>
            <w:shd w:val="clear" w:color="auto" w:fill="FFFFFF" w:themeFill="background1"/>
            <w:noWrap/>
            <w:vAlign w:val="bottom"/>
            <w:hideMark/>
          </w:tcPr>
          <w:p w14:paraId="278C38A5"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137.3</w:t>
            </w:r>
          </w:p>
        </w:tc>
        <w:tc>
          <w:tcPr>
            <w:tcW w:w="873" w:type="dxa"/>
            <w:tcBorders>
              <w:top w:val="nil"/>
              <w:left w:val="nil"/>
              <w:bottom w:val="nil"/>
              <w:right w:val="nil"/>
            </w:tcBorders>
            <w:shd w:val="clear" w:color="auto" w:fill="FFFFFF" w:themeFill="background1"/>
            <w:noWrap/>
            <w:vAlign w:val="bottom"/>
            <w:hideMark/>
          </w:tcPr>
          <w:p w14:paraId="4965EBB5" w14:textId="77777777" w:rsidR="004576CC" w:rsidRPr="00B97923" w:rsidRDefault="004576CC" w:rsidP="004576CC">
            <w:pPr>
              <w:rPr>
                <w:rFonts w:ascii="Arial" w:hAnsi="Arial" w:cs="Arial"/>
                <w:sz w:val="21"/>
                <w:szCs w:val="21"/>
              </w:rPr>
            </w:pPr>
            <w:r w:rsidRPr="00B97923">
              <w:rPr>
                <w:rFonts w:ascii="Arial" w:hAnsi="Arial" w:cs="Arial"/>
                <w:sz w:val="21"/>
                <w:szCs w:val="21"/>
              </w:rPr>
              <w:t>± 62.8</w:t>
            </w:r>
          </w:p>
        </w:tc>
        <w:tc>
          <w:tcPr>
            <w:tcW w:w="914" w:type="dxa"/>
            <w:tcBorders>
              <w:top w:val="nil"/>
              <w:left w:val="nil"/>
              <w:bottom w:val="nil"/>
              <w:right w:val="nil"/>
            </w:tcBorders>
            <w:shd w:val="clear" w:color="auto" w:fill="FFFFFF" w:themeFill="background1"/>
            <w:noWrap/>
            <w:vAlign w:val="bottom"/>
            <w:hideMark/>
          </w:tcPr>
          <w:p w14:paraId="66104975"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137.3</w:t>
            </w:r>
          </w:p>
        </w:tc>
        <w:tc>
          <w:tcPr>
            <w:tcW w:w="873" w:type="dxa"/>
            <w:tcBorders>
              <w:top w:val="nil"/>
              <w:left w:val="nil"/>
              <w:bottom w:val="nil"/>
              <w:right w:val="nil"/>
            </w:tcBorders>
            <w:shd w:val="clear" w:color="auto" w:fill="FFFFFF" w:themeFill="background1"/>
            <w:noWrap/>
            <w:vAlign w:val="bottom"/>
            <w:hideMark/>
          </w:tcPr>
          <w:p w14:paraId="19DEEB04" w14:textId="77777777" w:rsidR="004576CC" w:rsidRPr="00B97923" w:rsidRDefault="004576CC" w:rsidP="004576CC">
            <w:pPr>
              <w:rPr>
                <w:rFonts w:ascii="Arial" w:hAnsi="Arial" w:cs="Arial"/>
                <w:sz w:val="21"/>
                <w:szCs w:val="21"/>
              </w:rPr>
            </w:pPr>
            <w:r w:rsidRPr="00B97923">
              <w:rPr>
                <w:rFonts w:ascii="Arial" w:hAnsi="Arial" w:cs="Arial"/>
                <w:sz w:val="21"/>
                <w:szCs w:val="21"/>
              </w:rPr>
              <w:t>± 62.8</w:t>
            </w:r>
          </w:p>
        </w:tc>
        <w:tc>
          <w:tcPr>
            <w:tcW w:w="914" w:type="dxa"/>
            <w:tcBorders>
              <w:top w:val="nil"/>
              <w:left w:val="nil"/>
              <w:bottom w:val="nil"/>
              <w:right w:val="nil"/>
            </w:tcBorders>
            <w:shd w:val="clear" w:color="auto" w:fill="FFFFFF" w:themeFill="background1"/>
            <w:noWrap/>
            <w:vAlign w:val="bottom"/>
            <w:hideMark/>
          </w:tcPr>
          <w:p w14:paraId="17EAC64E"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137.3</w:t>
            </w:r>
          </w:p>
        </w:tc>
        <w:tc>
          <w:tcPr>
            <w:tcW w:w="875" w:type="dxa"/>
            <w:tcBorders>
              <w:top w:val="nil"/>
              <w:left w:val="nil"/>
              <w:bottom w:val="nil"/>
              <w:right w:val="nil"/>
            </w:tcBorders>
            <w:shd w:val="clear" w:color="auto" w:fill="FFFFFF" w:themeFill="background1"/>
            <w:noWrap/>
            <w:vAlign w:val="bottom"/>
            <w:hideMark/>
          </w:tcPr>
          <w:p w14:paraId="24C66D9D" w14:textId="77777777" w:rsidR="004576CC" w:rsidRPr="00B97923" w:rsidRDefault="004576CC" w:rsidP="004576CC">
            <w:pPr>
              <w:rPr>
                <w:rFonts w:ascii="Arial" w:hAnsi="Arial" w:cs="Arial"/>
                <w:sz w:val="21"/>
                <w:szCs w:val="21"/>
              </w:rPr>
            </w:pPr>
            <w:r w:rsidRPr="00B97923">
              <w:rPr>
                <w:rFonts w:ascii="Arial" w:hAnsi="Arial" w:cs="Arial"/>
                <w:sz w:val="21"/>
                <w:szCs w:val="21"/>
              </w:rPr>
              <w:t>± 62.8</w:t>
            </w:r>
          </w:p>
        </w:tc>
        <w:tc>
          <w:tcPr>
            <w:tcW w:w="873" w:type="dxa"/>
            <w:tcBorders>
              <w:top w:val="nil"/>
              <w:left w:val="nil"/>
              <w:bottom w:val="nil"/>
              <w:right w:val="nil"/>
            </w:tcBorders>
            <w:shd w:val="clear" w:color="auto" w:fill="FFFFFF" w:themeFill="background1"/>
            <w:noWrap/>
            <w:vAlign w:val="bottom"/>
            <w:hideMark/>
          </w:tcPr>
          <w:p w14:paraId="6B67DA41"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0A2CCEA0"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137.7</w:t>
            </w:r>
          </w:p>
        </w:tc>
        <w:tc>
          <w:tcPr>
            <w:tcW w:w="873" w:type="dxa"/>
            <w:tcBorders>
              <w:top w:val="nil"/>
              <w:left w:val="nil"/>
              <w:bottom w:val="nil"/>
              <w:right w:val="nil"/>
            </w:tcBorders>
            <w:shd w:val="clear" w:color="auto" w:fill="FFFFFF" w:themeFill="background1"/>
            <w:noWrap/>
            <w:vAlign w:val="bottom"/>
            <w:hideMark/>
          </w:tcPr>
          <w:p w14:paraId="73FF8FE3" w14:textId="77777777" w:rsidR="004576CC" w:rsidRPr="00B97923" w:rsidRDefault="004576CC" w:rsidP="004576CC">
            <w:pPr>
              <w:rPr>
                <w:rFonts w:ascii="Arial" w:hAnsi="Arial" w:cs="Arial"/>
                <w:sz w:val="21"/>
                <w:szCs w:val="21"/>
              </w:rPr>
            </w:pPr>
            <w:r w:rsidRPr="00B97923">
              <w:rPr>
                <w:rFonts w:ascii="Arial" w:hAnsi="Arial" w:cs="Arial"/>
                <w:sz w:val="21"/>
                <w:szCs w:val="21"/>
              </w:rPr>
              <w:t>± 60.1</w:t>
            </w:r>
          </w:p>
        </w:tc>
        <w:tc>
          <w:tcPr>
            <w:tcW w:w="914" w:type="dxa"/>
            <w:tcBorders>
              <w:top w:val="nil"/>
              <w:left w:val="nil"/>
              <w:bottom w:val="nil"/>
              <w:right w:val="nil"/>
            </w:tcBorders>
            <w:shd w:val="clear" w:color="auto" w:fill="FFFFFF" w:themeFill="background1"/>
            <w:noWrap/>
            <w:vAlign w:val="bottom"/>
            <w:hideMark/>
          </w:tcPr>
          <w:p w14:paraId="2E3FE769"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137.7</w:t>
            </w:r>
          </w:p>
        </w:tc>
        <w:tc>
          <w:tcPr>
            <w:tcW w:w="873" w:type="dxa"/>
            <w:tcBorders>
              <w:top w:val="nil"/>
              <w:left w:val="nil"/>
              <w:bottom w:val="nil"/>
              <w:right w:val="nil"/>
            </w:tcBorders>
            <w:shd w:val="clear" w:color="auto" w:fill="FFFFFF" w:themeFill="background1"/>
            <w:noWrap/>
            <w:vAlign w:val="bottom"/>
            <w:hideMark/>
          </w:tcPr>
          <w:p w14:paraId="649D6901" w14:textId="77777777" w:rsidR="004576CC" w:rsidRPr="00B97923" w:rsidRDefault="004576CC" w:rsidP="004576CC">
            <w:pPr>
              <w:rPr>
                <w:rFonts w:ascii="Arial" w:hAnsi="Arial" w:cs="Arial"/>
                <w:sz w:val="21"/>
                <w:szCs w:val="21"/>
              </w:rPr>
            </w:pPr>
            <w:r w:rsidRPr="00B97923">
              <w:rPr>
                <w:rFonts w:ascii="Arial" w:hAnsi="Arial" w:cs="Arial"/>
                <w:sz w:val="21"/>
                <w:szCs w:val="21"/>
              </w:rPr>
              <w:t>± 60.1</w:t>
            </w:r>
          </w:p>
        </w:tc>
        <w:tc>
          <w:tcPr>
            <w:tcW w:w="914" w:type="dxa"/>
            <w:tcBorders>
              <w:top w:val="nil"/>
              <w:left w:val="nil"/>
              <w:bottom w:val="nil"/>
              <w:right w:val="nil"/>
            </w:tcBorders>
            <w:shd w:val="clear" w:color="auto" w:fill="FFFFFF" w:themeFill="background1"/>
            <w:noWrap/>
            <w:vAlign w:val="bottom"/>
            <w:hideMark/>
          </w:tcPr>
          <w:p w14:paraId="05D23E9B"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137.7</w:t>
            </w:r>
          </w:p>
        </w:tc>
        <w:tc>
          <w:tcPr>
            <w:tcW w:w="875" w:type="dxa"/>
            <w:tcBorders>
              <w:top w:val="nil"/>
              <w:left w:val="nil"/>
              <w:bottom w:val="nil"/>
              <w:right w:val="nil"/>
            </w:tcBorders>
            <w:shd w:val="clear" w:color="auto" w:fill="FFFFFF" w:themeFill="background1"/>
            <w:noWrap/>
            <w:vAlign w:val="bottom"/>
            <w:hideMark/>
          </w:tcPr>
          <w:p w14:paraId="6DB881B8" w14:textId="77777777" w:rsidR="004576CC" w:rsidRPr="00B97923" w:rsidRDefault="004576CC" w:rsidP="004576CC">
            <w:pPr>
              <w:rPr>
                <w:rFonts w:ascii="Arial" w:hAnsi="Arial" w:cs="Arial"/>
                <w:sz w:val="21"/>
                <w:szCs w:val="21"/>
              </w:rPr>
            </w:pPr>
            <w:r w:rsidRPr="00B97923">
              <w:rPr>
                <w:rFonts w:ascii="Arial" w:hAnsi="Arial" w:cs="Arial"/>
                <w:sz w:val="21"/>
                <w:szCs w:val="21"/>
              </w:rPr>
              <w:t>± 60.1</w:t>
            </w:r>
          </w:p>
        </w:tc>
      </w:tr>
      <w:tr w:rsidR="004576CC" w:rsidRPr="00B97923" w14:paraId="0232BE7B"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1842CA5B"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5559CC3D"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nil"/>
              <w:right w:val="nil"/>
            </w:tcBorders>
            <w:shd w:val="clear" w:color="auto" w:fill="FFFFFF" w:themeFill="background1"/>
            <w:noWrap/>
            <w:vAlign w:val="bottom"/>
            <w:hideMark/>
          </w:tcPr>
          <w:p w14:paraId="70FD2F6D"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3C115EAF"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016A439C"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64B05797" w14:textId="77777777" w:rsidR="004576CC" w:rsidRPr="00B97923" w:rsidRDefault="004576CC" w:rsidP="004576CC">
            <w:pPr>
              <w:rPr>
                <w:rFonts w:ascii="Aptos Narrow" w:hAnsi="Aptos Narrow"/>
                <w:color w:val="000000"/>
                <w:sz w:val="21"/>
                <w:szCs w:val="21"/>
              </w:rPr>
            </w:pPr>
            <w:r w:rsidRPr="00B97923">
              <w:rPr>
                <w:rFonts w:ascii="Aptos Narrow" w:hAnsi="Aptos Narrow"/>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5C1D243B" w14:textId="77777777" w:rsidR="004576CC" w:rsidRPr="00B97923" w:rsidRDefault="004576CC" w:rsidP="004576CC">
            <w:pPr>
              <w:rPr>
                <w:rFonts w:ascii="Aptos Narrow" w:hAnsi="Aptos Narrow"/>
                <w:color w:val="000000"/>
                <w:sz w:val="21"/>
                <w:szCs w:val="21"/>
              </w:rPr>
            </w:pPr>
            <w:r w:rsidRPr="00B97923">
              <w:rPr>
                <w:rFonts w:ascii="Aptos Narrow" w:hAnsi="Aptos Narrow"/>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6503D1B5"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5" w:type="dxa"/>
            <w:tcBorders>
              <w:top w:val="nil"/>
              <w:left w:val="nil"/>
              <w:bottom w:val="nil"/>
              <w:right w:val="nil"/>
            </w:tcBorders>
            <w:shd w:val="clear" w:color="auto" w:fill="FFFFFF" w:themeFill="background1"/>
            <w:noWrap/>
            <w:vAlign w:val="bottom"/>
            <w:hideMark/>
          </w:tcPr>
          <w:p w14:paraId="5E910AA2"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7D51C8A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458CC7A0"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44D32E40"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74A22104"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0AD99982"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58E2B7DD"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5" w:type="dxa"/>
            <w:tcBorders>
              <w:top w:val="nil"/>
              <w:left w:val="nil"/>
              <w:bottom w:val="nil"/>
              <w:right w:val="nil"/>
            </w:tcBorders>
            <w:shd w:val="clear" w:color="auto" w:fill="FFFFFF" w:themeFill="background1"/>
            <w:noWrap/>
            <w:vAlign w:val="bottom"/>
            <w:hideMark/>
          </w:tcPr>
          <w:p w14:paraId="0CB47680"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r>
      <w:tr w:rsidR="004576CC" w:rsidRPr="00B97923" w14:paraId="7D598DAA"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6FC22E13"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076E945B" w14:textId="77777777" w:rsidR="004576CC" w:rsidRPr="00B97923" w:rsidRDefault="004576CC" w:rsidP="004576CC">
            <w:pPr>
              <w:rPr>
                <w:rFonts w:ascii="Arial" w:hAnsi="Arial" w:cs="Arial"/>
                <w:b/>
                <w:bCs/>
                <w:color w:val="000000"/>
                <w:sz w:val="21"/>
                <w:szCs w:val="21"/>
              </w:rPr>
            </w:pPr>
            <w:r w:rsidRPr="00B97923">
              <w:rPr>
                <w:rFonts w:ascii="Arial" w:hAnsi="Arial" w:cs="Arial"/>
                <w:b/>
                <w:bCs/>
                <w:color w:val="000000"/>
                <w:sz w:val="21"/>
                <w:szCs w:val="21"/>
                <w:lang w:val="en-US"/>
              </w:rPr>
              <w:t>LGE extent</w:t>
            </w:r>
          </w:p>
        </w:tc>
        <w:tc>
          <w:tcPr>
            <w:tcW w:w="715" w:type="dxa"/>
            <w:tcBorders>
              <w:top w:val="nil"/>
              <w:left w:val="nil"/>
              <w:bottom w:val="nil"/>
              <w:right w:val="nil"/>
            </w:tcBorders>
            <w:shd w:val="clear" w:color="auto" w:fill="FFFFFF" w:themeFill="background1"/>
            <w:noWrap/>
            <w:vAlign w:val="bottom"/>
            <w:hideMark/>
          </w:tcPr>
          <w:p w14:paraId="383E1E6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lang w:val="en-US"/>
              </w:rPr>
              <w:t>[ml]</w:t>
            </w:r>
          </w:p>
        </w:tc>
        <w:tc>
          <w:tcPr>
            <w:tcW w:w="914" w:type="dxa"/>
            <w:tcBorders>
              <w:top w:val="nil"/>
              <w:left w:val="nil"/>
              <w:bottom w:val="nil"/>
              <w:right w:val="nil"/>
            </w:tcBorders>
            <w:shd w:val="clear" w:color="auto" w:fill="FFFFFF" w:themeFill="background1"/>
            <w:noWrap/>
            <w:vAlign w:val="bottom"/>
            <w:hideMark/>
          </w:tcPr>
          <w:p w14:paraId="422244B7"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26.7</w:t>
            </w:r>
          </w:p>
        </w:tc>
        <w:tc>
          <w:tcPr>
            <w:tcW w:w="873" w:type="dxa"/>
            <w:tcBorders>
              <w:top w:val="nil"/>
              <w:left w:val="nil"/>
              <w:bottom w:val="nil"/>
              <w:right w:val="nil"/>
            </w:tcBorders>
            <w:shd w:val="clear" w:color="auto" w:fill="FFFFFF" w:themeFill="background1"/>
            <w:noWrap/>
            <w:vAlign w:val="bottom"/>
            <w:hideMark/>
          </w:tcPr>
          <w:p w14:paraId="37B309C1" w14:textId="77777777" w:rsidR="004576CC" w:rsidRPr="00B97923" w:rsidRDefault="004576CC" w:rsidP="004576CC">
            <w:pPr>
              <w:rPr>
                <w:rFonts w:ascii="Arial" w:hAnsi="Arial" w:cs="Arial"/>
                <w:sz w:val="21"/>
                <w:szCs w:val="21"/>
              </w:rPr>
            </w:pPr>
            <w:r w:rsidRPr="00B97923">
              <w:rPr>
                <w:rFonts w:ascii="Arial" w:hAnsi="Arial" w:cs="Arial"/>
                <w:sz w:val="21"/>
                <w:szCs w:val="21"/>
              </w:rPr>
              <w:t>± 18.3</w:t>
            </w:r>
          </w:p>
        </w:tc>
        <w:tc>
          <w:tcPr>
            <w:tcW w:w="914" w:type="dxa"/>
            <w:tcBorders>
              <w:top w:val="nil"/>
              <w:left w:val="nil"/>
              <w:bottom w:val="nil"/>
              <w:right w:val="nil"/>
            </w:tcBorders>
            <w:shd w:val="clear" w:color="auto" w:fill="FFFFFF" w:themeFill="background1"/>
            <w:noWrap/>
            <w:vAlign w:val="bottom"/>
            <w:hideMark/>
          </w:tcPr>
          <w:p w14:paraId="6A8A12D1"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18.4</w:t>
            </w:r>
          </w:p>
        </w:tc>
        <w:tc>
          <w:tcPr>
            <w:tcW w:w="873" w:type="dxa"/>
            <w:tcBorders>
              <w:top w:val="nil"/>
              <w:left w:val="nil"/>
              <w:bottom w:val="nil"/>
              <w:right w:val="nil"/>
            </w:tcBorders>
            <w:shd w:val="clear" w:color="auto" w:fill="FFFFFF" w:themeFill="background1"/>
            <w:noWrap/>
            <w:vAlign w:val="bottom"/>
            <w:hideMark/>
          </w:tcPr>
          <w:p w14:paraId="4E00D6BC" w14:textId="77777777" w:rsidR="004576CC" w:rsidRPr="00B97923" w:rsidRDefault="004576CC" w:rsidP="004576CC">
            <w:pPr>
              <w:rPr>
                <w:rFonts w:ascii="Arial" w:hAnsi="Arial" w:cs="Arial"/>
                <w:sz w:val="21"/>
                <w:szCs w:val="21"/>
              </w:rPr>
            </w:pPr>
            <w:r w:rsidRPr="00B97923">
              <w:rPr>
                <w:rFonts w:ascii="Arial" w:hAnsi="Arial" w:cs="Arial"/>
                <w:sz w:val="21"/>
                <w:szCs w:val="21"/>
              </w:rPr>
              <w:t>± 18.1</w:t>
            </w:r>
          </w:p>
        </w:tc>
        <w:tc>
          <w:tcPr>
            <w:tcW w:w="914" w:type="dxa"/>
            <w:tcBorders>
              <w:top w:val="nil"/>
              <w:left w:val="nil"/>
              <w:bottom w:val="nil"/>
              <w:right w:val="nil"/>
            </w:tcBorders>
            <w:shd w:val="clear" w:color="auto" w:fill="FFFFFF" w:themeFill="background1"/>
            <w:noWrap/>
            <w:vAlign w:val="bottom"/>
            <w:hideMark/>
          </w:tcPr>
          <w:p w14:paraId="113AB8FA" w14:textId="257DE2E2" w:rsidR="004576CC" w:rsidRPr="00B97923" w:rsidRDefault="004576CC" w:rsidP="004576CC">
            <w:pPr>
              <w:jc w:val="right"/>
              <w:rPr>
                <w:rFonts w:ascii="Arial" w:hAnsi="Arial" w:cs="Arial"/>
                <w:sz w:val="21"/>
                <w:szCs w:val="21"/>
              </w:rPr>
            </w:pPr>
            <w:r w:rsidRPr="00B97923">
              <w:rPr>
                <w:rFonts w:ascii="Arial" w:hAnsi="Arial" w:cs="Arial"/>
                <w:sz w:val="21"/>
                <w:szCs w:val="21"/>
              </w:rPr>
              <w:t>12.</w:t>
            </w:r>
            <w:r w:rsidR="3512B074" w:rsidRPr="00B97923">
              <w:rPr>
                <w:rFonts w:ascii="Arial" w:hAnsi="Arial" w:cs="Arial"/>
                <w:sz w:val="21"/>
                <w:szCs w:val="21"/>
              </w:rPr>
              <w:t>4</w:t>
            </w:r>
          </w:p>
        </w:tc>
        <w:tc>
          <w:tcPr>
            <w:tcW w:w="875" w:type="dxa"/>
            <w:tcBorders>
              <w:top w:val="nil"/>
              <w:left w:val="nil"/>
              <w:bottom w:val="nil"/>
              <w:right w:val="nil"/>
            </w:tcBorders>
            <w:shd w:val="clear" w:color="auto" w:fill="FFFFFF" w:themeFill="background1"/>
            <w:noWrap/>
            <w:vAlign w:val="bottom"/>
            <w:hideMark/>
          </w:tcPr>
          <w:p w14:paraId="14D6F7A9" w14:textId="77777777" w:rsidR="004576CC" w:rsidRPr="00B97923" w:rsidRDefault="004576CC" w:rsidP="004576CC">
            <w:pPr>
              <w:rPr>
                <w:rFonts w:ascii="Arial" w:hAnsi="Arial" w:cs="Arial"/>
                <w:sz w:val="21"/>
                <w:szCs w:val="21"/>
              </w:rPr>
            </w:pPr>
            <w:r w:rsidRPr="00B97923">
              <w:rPr>
                <w:rFonts w:ascii="Arial" w:hAnsi="Arial" w:cs="Arial"/>
                <w:sz w:val="21"/>
                <w:szCs w:val="21"/>
              </w:rPr>
              <w:t>± 13.0</w:t>
            </w:r>
          </w:p>
        </w:tc>
        <w:tc>
          <w:tcPr>
            <w:tcW w:w="873" w:type="dxa"/>
            <w:tcBorders>
              <w:top w:val="nil"/>
              <w:left w:val="nil"/>
              <w:bottom w:val="nil"/>
              <w:right w:val="nil"/>
            </w:tcBorders>
            <w:shd w:val="clear" w:color="auto" w:fill="FFFFFF" w:themeFill="background1"/>
            <w:noWrap/>
            <w:vAlign w:val="bottom"/>
            <w:hideMark/>
          </w:tcPr>
          <w:p w14:paraId="15E7C1A6"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76FCBA12"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24.7</w:t>
            </w:r>
          </w:p>
        </w:tc>
        <w:tc>
          <w:tcPr>
            <w:tcW w:w="873" w:type="dxa"/>
            <w:tcBorders>
              <w:top w:val="nil"/>
              <w:left w:val="nil"/>
              <w:bottom w:val="nil"/>
              <w:right w:val="nil"/>
            </w:tcBorders>
            <w:shd w:val="clear" w:color="auto" w:fill="FFFFFF" w:themeFill="background1"/>
            <w:noWrap/>
            <w:vAlign w:val="bottom"/>
            <w:hideMark/>
          </w:tcPr>
          <w:p w14:paraId="587B2A4A" w14:textId="77777777" w:rsidR="004576CC" w:rsidRPr="00B97923" w:rsidRDefault="004576CC" w:rsidP="004576CC">
            <w:pPr>
              <w:rPr>
                <w:rFonts w:ascii="Arial" w:hAnsi="Arial" w:cs="Arial"/>
                <w:sz w:val="21"/>
                <w:szCs w:val="21"/>
              </w:rPr>
            </w:pPr>
            <w:r w:rsidRPr="00B97923">
              <w:rPr>
                <w:rFonts w:ascii="Arial" w:hAnsi="Arial" w:cs="Arial"/>
                <w:sz w:val="21"/>
                <w:szCs w:val="21"/>
              </w:rPr>
              <w:t>± 19.1</w:t>
            </w:r>
          </w:p>
        </w:tc>
        <w:tc>
          <w:tcPr>
            <w:tcW w:w="914" w:type="dxa"/>
            <w:tcBorders>
              <w:top w:val="nil"/>
              <w:left w:val="nil"/>
              <w:bottom w:val="nil"/>
              <w:right w:val="nil"/>
            </w:tcBorders>
            <w:shd w:val="clear" w:color="auto" w:fill="FFFFFF" w:themeFill="background1"/>
            <w:noWrap/>
            <w:vAlign w:val="bottom"/>
            <w:hideMark/>
          </w:tcPr>
          <w:p w14:paraId="08124C80"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18.0</w:t>
            </w:r>
          </w:p>
        </w:tc>
        <w:tc>
          <w:tcPr>
            <w:tcW w:w="873" w:type="dxa"/>
            <w:tcBorders>
              <w:top w:val="nil"/>
              <w:left w:val="nil"/>
              <w:bottom w:val="nil"/>
              <w:right w:val="nil"/>
            </w:tcBorders>
            <w:shd w:val="clear" w:color="auto" w:fill="FFFFFF" w:themeFill="background1"/>
            <w:noWrap/>
            <w:vAlign w:val="bottom"/>
            <w:hideMark/>
          </w:tcPr>
          <w:p w14:paraId="410D8864" w14:textId="77777777" w:rsidR="004576CC" w:rsidRPr="00B97923" w:rsidRDefault="004576CC" w:rsidP="004576CC">
            <w:pPr>
              <w:rPr>
                <w:rFonts w:ascii="Arial" w:hAnsi="Arial" w:cs="Arial"/>
                <w:sz w:val="21"/>
                <w:szCs w:val="21"/>
              </w:rPr>
            </w:pPr>
            <w:r w:rsidRPr="00B97923">
              <w:rPr>
                <w:rFonts w:ascii="Arial" w:hAnsi="Arial" w:cs="Arial"/>
                <w:sz w:val="21"/>
                <w:szCs w:val="21"/>
              </w:rPr>
              <w:t>± 17.1</w:t>
            </w:r>
          </w:p>
        </w:tc>
        <w:tc>
          <w:tcPr>
            <w:tcW w:w="914" w:type="dxa"/>
            <w:tcBorders>
              <w:top w:val="nil"/>
              <w:left w:val="nil"/>
              <w:bottom w:val="nil"/>
              <w:right w:val="nil"/>
            </w:tcBorders>
            <w:shd w:val="clear" w:color="auto" w:fill="FFFFFF" w:themeFill="background1"/>
            <w:noWrap/>
            <w:vAlign w:val="bottom"/>
            <w:hideMark/>
          </w:tcPr>
          <w:p w14:paraId="3F363F84"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12.3</w:t>
            </w:r>
          </w:p>
        </w:tc>
        <w:tc>
          <w:tcPr>
            <w:tcW w:w="875" w:type="dxa"/>
            <w:tcBorders>
              <w:top w:val="nil"/>
              <w:left w:val="nil"/>
              <w:bottom w:val="nil"/>
              <w:right w:val="nil"/>
            </w:tcBorders>
            <w:shd w:val="clear" w:color="auto" w:fill="FFFFFF" w:themeFill="background1"/>
            <w:noWrap/>
            <w:vAlign w:val="bottom"/>
            <w:hideMark/>
          </w:tcPr>
          <w:p w14:paraId="1F2F86F8" w14:textId="77777777" w:rsidR="004576CC" w:rsidRPr="00B97923" w:rsidRDefault="004576CC" w:rsidP="004576CC">
            <w:pPr>
              <w:rPr>
                <w:rFonts w:ascii="Arial" w:hAnsi="Arial" w:cs="Arial"/>
                <w:sz w:val="21"/>
                <w:szCs w:val="21"/>
              </w:rPr>
            </w:pPr>
            <w:r w:rsidRPr="00B97923">
              <w:rPr>
                <w:rFonts w:ascii="Arial" w:hAnsi="Arial" w:cs="Arial"/>
                <w:sz w:val="21"/>
                <w:szCs w:val="21"/>
              </w:rPr>
              <w:t>± 13.0</w:t>
            </w:r>
          </w:p>
        </w:tc>
      </w:tr>
      <w:tr w:rsidR="004576CC" w:rsidRPr="00B97923" w14:paraId="5740EC1C"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6F9CAE16"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68CF8198"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nil"/>
              <w:right w:val="nil"/>
            </w:tcBorders>
            <w:shd w:val="clear" w:color="auto" w:fill="FFFFFF" w:themeFill="background1"/>
            <w:noWrap/>
            <w:vAlign w:val="bottom"/>
            <w:hideMark/>
          </w:tcPr>
          <w:p w14:paraId="7BAB8AF1"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lang w:val="en-US"/>
              </w:rPr>
              <w:t>[g]</w:t>
            </w:r>
          </w:p>
        </w:tc>
        <w:tc>
          <w:tcPr>
            <w:tcW w:w="914" w:type="dxa"/>
            <w:tcBorders>
              <w:top w:val="nil"/>
              <w:left w:val="nil"/>
              <w:bottom w:val="nil"/>
              <w:right w:val="nil"/>
            </w:tcBorders>
            <w:shd w:val="clear" w:color="auto" w:fill="FFFFFF" w:themeFill="background1"/>
            <w:noWrap/>
            <w:vAlign w:val="bottom"/>
            <w:hideMark/>
          </w:tcPr>
          <w:p w14:paraId="7EFE40E0"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28.0</w:t>
            </w:r>
          </w:p>
        </w:tc>
        <w:tc>
          <w:tcPr>
            <w:tcW w:w="873" w:type="dxa"/>
            <w:tcBorders>
              <w:top w:val="nil"/>
              <w:left w:val="nil"/>
              <w:bottom w:val="nil"/>
              <w:right w:val="nil"/>
            </w:tcBorders>
            <w:shd w:val="clear" w:color="auto" w:fill="FFFFFF" w:themeFill="background1"/>
            <w:noWrap/>
            <w:vAlign w:val="bottom"/>
            <w:hideMark/>
          </w:tcPr>
          <w:p w14:paraId="7B0BBEFE" w14:textId="77777777" w:rsidR="004576CC" w:rsidRPr="00B97923" w:rsidRDefault="004576CC" w:rsidP="004576CC">
            <w:pPr>
              <w:rPr>
                <w:rFonts w:ascii="Arial" w:hAnsi="Arial" w:cs="Arial"/>
                <w:sz w:val="21"/>
                <w:szCs w:val="21"/>
              </w:rPr>
            </w:pPr>
            <w:r w:rsidRPr="00B97923">
              <w:rPr>
                <w:rFonts w:ascii="Arial" w:hAnsi="Arial" w:cs="Arial"/>
                <w:sz w:val="21"/>
                <w:szCs w:val="21"/>
              </w:rPr>
              <w:t>± 19.2</w:t>
            </w:r>
          </w:p>
        </w:tc>
        <w:tc>
          <w:tcPr>
            <w:tcW w:w="914" w:type="dxa"/>
            <w:tcBorders>
              <w:top w:val="nil"/>
              <w:left w:val="nil"/>
              <w:bottom w:val="nil"/>
              <w:right w:val="nil"/>
            </w:tcBorders>
            <w:shd w:val="clear" w:color="auto" w:fill="FFFFFF" w:themeFill="background1"/>
            <w:noWrap/>
            <w:vAlign w:val="bottom"/>
            <w:hideMark/>
          </w:tcPr>
          <w:p w14:paraId="0CAB0C97"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19.4</w:t>
            </w:r>
          </w:p>
        </w:tc>
        <w:tc>
          <w:tcPr>
            <w:tcW w:w="873" w:type="dxa"/>
            <w:tcBorders>
              <w:top w:val="nil"/>
              <w:left w:val="nil"/>
              <w:bottom w:val="nil"/>
              <w:right w:val="nil"/>
            </w:tcBorders>
            <w:shd w:val="clear" w:color="auto" w:fill="FFFFFF" w:themeFill="background1"/>
            <w:noWrap/>
            <w:vAlign w:val="bottom"/>
            <w:hideMark/>
          </w:tcPr>
          <w:p w14:paraId="190EA924" w14:textId="77777777" w:rsidR="004576CC" w:rsidRPr="00B97923" w:rsidRDefault="004576CC" w:rsidP="004576CC">
            <w:pPr>
              <w:rPr>
                <w:rFonts w:ascii="Arial" w:hAnsi="Arial" w:cs="Arial"/>
                <w:sz w:val="21"/>
                <w:szCs w:val="21"/>
              </w:rPr>
            </w:pPr>
            <w:r w:rsidRPr="00B97923">
              <w:rPr>
                <w:rFonts w:ascii="Arial" w:hAnsi="Arial" w:cs="Arial"/>
                <w:sz w:val="21"/>
                <w:szCs w:val="21"/>
              </w:rPr>
              <w:t>± 19.0</w:t>
            </w:r>
          </w:p>
        </w:tc>
        <w:tc>
          <w:tcPr>
            <w:tcW w:w="914" w:type="dxa"/>
            <w:tcBorders>
              <w:top w:val="nil"/>
              <w:left w:val="nil"/>
              <w:bottom w:val="nil"/>
              <w:right w:val="nil"/>
            </w:tcBorders>
            <w:shd w:val="clear" w:color="auto" w:fill="FFFFFF" w:themeFill="background1"/>
            <w:noWrap/>
            <w:vAlign w:val="bottom"/>
            <w:hideMark/>
          </w:tcPr>
          <w:p w14:paraId="627B8AF7" w14:textId="1A9EE471" w:rsidR="004576CC" w:rsidRPr="00B97923" w:rsidRDefault="004576CC" w:rsidP="004576CC">
            <w:pPr>
              <w:jc w:val="right"/>
              <w:rPr>
                <w:rFonts w:ascii="Arial" w:hAnsi="Arial" w:cs="Arial"/>
                <w:sz w:val="21"/>
                <w:szCs w:val="21"/>
              </w:rPr>
            </w:pPr>
            <w:r w:rsidRPr="00B97923">
              <w:rPr>
                <w:rFonts w:ascii="Arial" w:hAnsi="Arial" w:cs="Arial"/>
                <w:sz w:val="21"/>
                <w:szCs w:val="21"/>
              </w:rPr>
              <w:t>1</w:t>
            </w:r>
            <w:r w:rsidR="54D82E5A" w:rsidRPr="00B97923">
              <w:rPr>
                <w:rFonts w:ascii="Arial" w:hAnsi="Arial" w:cs="Arial"/>
                <w:sz w:val="21"/>
                <w:szCs w:val="21"/>
              </w:rPr>
              <w:t>3.0</w:t>
            </w:r>
          </w:p>
        </w:tc>
        <w:tc>
          <w:tcPr>
            <w:tcW w:w="875" w:type="dxa"/>
            <w:tcBorders>
              <w:top w:val="nil"/>
              <w:left w:val="nil"/>
              <w:bottom w:val="nil"/>
              <w:right w:val="nil"/>
            </w:tcBorders>
            <w:shd w:val="clear" w:color="auto" w:fill="FFFFFF" w:themeFill="background1"/>
            <w:noWrap/>
            <w:vAlign w:val="bottom"/>
            <w:hideMark/>
          </w:tcPr>
          <w:p w14:paraId="388F0B1C" w14:textId="77777777" w:rsidR="004576CC" w:rsidRPr="00B97923" w:rsidRDefault="004576CC" w:rsidP="004576CC">
            <w:pPr>
              <w:rPr>
                <w:rFonts w:ascii="Arial" w:hAnsi="Arial" w:cs="Arial"/>
                <w:sz w:val="21"/>
                <w:szCs w:val="21"/>
              </w:rPr>
            </w:pPr>
            <w:r w:rsidRPr="00B97923">
              <w:rPr>
                <w:rFonts w:ascii="Arial" w:hAnsi="Arial" w:cs="Arial"/>
                <w:sz w:val="21"/>
                <w:szCs w:val="21"/>
              </w:rPr>
              <w:t>± 13.6</w:t>
            </w:r>
          </w:p>
        </w:tc>
        <w:tc>
          <w:tcPr>
            <w:tcW w:w="873" w:type="dxa"/>
            <w:tcBorders>
              <w:top w:val="nil"/>
              <w:left w:val="nil"/>
              <w:bottom w:val="nil"/>
              <w:right w:val="nil"/>
            </w:tcBorders>
            <w:shd w:val="clear" w:color="auto" w:fill="FFFFFF" w:themeFill="background1"/>
            <w:noWrap/>
            <w:vAlign w:val="bottom"/>
            <w:hideMark/>
          </w:tcPr>
          <w:p w14:paraId="62AA01CB"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2F13B3AC"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25.9</w:t>
            </w:r>
          </w:p>
        </w:tc>
        <w:tc>
          <w:tcPr>
            <w:tcW w:w="873" w:type="dxa"/>
            <w:tcBorders>
              <w:top w:val="nil"/>
              <w:left w:val="nil"/>
              <w:bottom w:val="nil"/>
              <w:right w:val="nil"/>
            </w:tcBorders>
            <w:shd w:val="clear" w:color="auto" w:fill="FFFFFF" w:themeFill="background1"/>
            <w:noWrap/>
            <w:vAlign w:val="bottom"/>
            <w:hideMark/>
          </w:tcPr>
          <w:p w14:paraId="21E088AE" w14:textId="77777777" w:rsidR="004576CC" w:rsidRPr="00B97923" w:rsidRDefault="004576CC" w:rsidP="004576CC">
            <w:pPr>
              <w:rPr>
                <w:rFonts w:ascii="Arial" w:hAnsi="Arial" w:cs="Arial"/>
                <w:sz w:val="21"/>
                <w:szCs w:val="21"/>
              </w:rPr>
            </w:pPr>
            <w:r w:rsidRPr="00B97923">
              <w:rPr>
                <w:rFonts w:ascii="Arial" w:hAnsi="Arial" w:cs="Arial"/>
                <w:sz w:val="21"/>
                <w:szCs w:val="21"/>
              </w:rPr>
              <w:t>± 20.1</w:t>
            </w:r>
          </w:p>
        </w:tc>
        <w:tc>
          <w:tcPr>
            <w:tcW w:w="914" w:type="dxa"/>
            <w:tcBorders>
              <w:top w:val="nil"/>
              <w:left w:val="nil"/>
              <w:bottom w:val="nil"/>
              <w:right w:val="nil"/>
            </w:tcBorders>
            <w:shd w:val="clear" w:color="auto" w:fill="FFFFFF" w:themeFill="background1"/>
            <w:noWrap/>
            <w:vAlign w:val="bottom"/>
            <w:hideMark/>
          </w:tcPr>
          <w:p w14:paraId="3DE841B8"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18.9</w:t>
            </w:r>
          </w:p>
        </w:tc>
        <w:tc>
          <w:tcPr>
            <w:tcW w:w="873" w:type="dxa"/>
            <w:tcBorders>
              <w:top w:val="nil"/>
              <w:left w:val="nil"/>
              <w:bottom w:val="nil"/>
              <w:right w:val="nil"/>
            </w:tcBorders>
            <w:shd w:val="clear" w:color="auto" w:fill="FFFFFF" w:themeFill="background1"/>
            <w:noWrap/>
            <w:vAlign w:val="bottom"/>
            <w:hideMark/>
          </w:tcPr>
          <w:p w14:paraId="122E06C4" w14:textId="77777777" w:rsidR="004576CC" w:rsidRPr="00B97923" w:rsidRDefault="004576CC" w:rsidP="004576CC">
            <w:pPr>
              <w:rPr>
                <w:rFonts w:ascii="Arial" w:hAnsi="Arial" w:cs="Arial"/>
                <w:sz w:val="21"/>
                <w:szCs w:val="21"/>
              </w:rPr>
            </w:pPr>
            <w:r w:rsidRPr="00B97923">
              <w:rPr>
                <w:rFonts w:ascii="Arial" w:hAnsi="Arial" w:cs="Arial"/>
                <w:sz w:val="21"/>
                <w:szCs w:val="21"/>
              </w:rPr>
              <w:t>± 17.9</w:t>
            </w:r>
          </w:p>
        </w:tc>
        <w:tc>
          <w:tcPr>
            <w:tcW w:w="914" w:type="dxa"/>
            <w:tcBorders>
              <w:top w:val="nil"/>
              <w:left w:val="nil"/>
              <w:bottom w:val="nil"/>
              <w:right w:val="nil"/>
            </w:tcBorders>
            <w:shd w:val="clear" w:color="auto" w:fill="FFFFFF" w:themeFill="background1"/>
            <w:noWrap/>
            <w:vAlign w:val="bottom"/>
            <w:hideMark/>
          </w:tcPr>
          <w:p w14:paraId="0AC6354B"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12.9</w:t>
            </w:r>
          </w:p>
        </w:tc>
        <w:tc>
          <w:tcPr>
            <w:tcW w:w="875" w:type="dxa"/>
            <w:tcBorders>
              <w:top w:val="nil"/>
              <w:left w:val="nil"/>
              <w:bottom w:val="nil"/>
              <w:right w:val="nil"/>
            </w:tcBorders>
            <w:shd w:val="clear" w:color="auto" w:fill="FFFFFF" w:themeFill="background1"/>
            <w:noWrap/>
            <w:vAlign w:val="bottom"/>
            <w:hideMark/>
          </w:tcPr>
          <w:p w14:paraId="70F7388A" w14:textId="77777777" w:rsidR="004576CC" w:rsidRPr="00B97923" w:rsidRDefault="004576CC" w:rsidP="004576CC">
            <w:pPr>
              <w:rPr>
                <w:rFonts w:ascii="Arial" w:hAnsi="Arial" w:cs="Arial"/>
                <w:sz w:val="21"/>
                <w:szCs w:val="21"/>
              </w:rPr>
            </w:pPr>
            <w:r w:rsidRPr="00B97923">
              <w:rPr>
                <w:rFonts w:ascii="Arial" w:hAnsi="Arial" w:cs="Arial"/>
                <w:sz w:val="21"/>
                <w:szCs w:val="21"/>
              </w:rPr>
              <w:t>± 13.6</w:t>
            </w:r>
          </w:p>
        </w:tc>
      </w:tr>
      <w:tr w:rsidR="004576CC" w:rsidRPr="00B97923" w14:paraId="7D643879"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70AED040"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7D781E88"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nil"/>
              <w:right w:val="nil"/>
            </w:tcBorders>
            <w:shd w:val="clear" w:color="auto" w:fill="FFFFFF" w:themeFill="background1"/>
            <w:noWrap/>
            <w:vAlign w:val="bottom"/>
            <w:hideMark/>
          </w:tcPr>
          <w:p w14:paraId="04384E35"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7F1CF209"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147E389C"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494E7D88" w14:textId="77777777" w:rsidR="004576CC" w:rsidRPr="00B97923" w:rsidRDefault="004576CC" w:rsidP="004576CC">
            <w:pPr>
              <w:rPr>
                <w:rFonts w:ascii="Aptos Narrow" w:hAnsi="Aptos Narrow"/>
                <w:color w:val="000000"/>
                <w:sz w:val="21"/>
                <w:szCs w:val="21"/>
              </w:rPr>
            </w:pPr>
            <w:r w:rsidRPr="00B97923">
              <w:rPr>
                <w:rFonts w:ascii="Aptos Narrow" w:hAnsi="Aptos Narrow"/>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6332A179" w14:textId="77777777" w:rsidR="004576CC" w:rsidRPr="00B97923" w:rsidRDefault="004576CC" w:rsidP="004576CC">
            <w:pPr>
              <w:rPr>
                <w:rFonts w:ascii="Aptos Narrow" w:hAnsi="Aptos Narrow"/>
                <w:color w:val="000000"/>
                <w:sz w:val="21"/>
                <w:szCs w:val="21"/>
              </w:rPr>
            </w:pPr>
            <w:r w:rsidRPr="00B97923">
              <w:rPr>
                <w:rFonts w:ascii="Aptos Narrow" w:hAnsi="Aptos Narrow"/>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28697B58"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5" w:type="dxa"/>
            <w:tcBorders>
              <w:top w:val="nil"/>
              <w:left w:val="nil"/>
              <w:bottom w:val="nil"/>
              <w:right w:val="nil"/>
            </w:tcBorders>
            <w:shd w:val="clear" w:color="auto" w:fill="FFFFFF" w:themeFill="background1"/>
            <w:noWrap/>
            <w:vAlign w:val="bottom"/>
            <w:hideMark/>
          </w:tcPr>
          <w:p w14:paraId="71ADB762"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30611154"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16E29E8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0EE97BAA"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2E39E693"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7E4F699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4793D8E5"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5" w:type="dxa"/>
            <w:tcBorders>
              <w:top w:val="nil"/>
              <w:left w:val="nil"/>
              <w:bottom w:val="nil"/>
              <w:right w:val="nil"/>
            </w:tcBorders>
            <w:shd w:val="clear" w:color="auto" w:fill="FFFFFF" w:themeFill="background1"/>
            <w:noWrap/>
            <w:vAlign w:val="bottom"/>
            <w:hideMark/>
          </w:tcPr>
          <w:p w14:paraId="0DF4A4D5"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r>
      <w:tr w:rsidR="004576CC" w:rsidRPr="00B97923" w14:paraId="250CC457"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08D76389"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4A122FB3"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single" w:sz="4" w:space="0" w:color="auto"/>
              <w:right w:val="nil"/>
            </w:tcBorders>
            <w:shd w:val="clear" w:color="auto" w:fill="FFFFFF" w:themeFill="background1"/>
            <w:noWrap/>
            <w:vAlign w:val="bottom"/>
            <w:hideMark/>
          </w:tcPr>
          <w:p w14:paraId="36BCB0F5"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lang w:val="en-US"/>
              </w:rPr>
              <w:t>[%]</w:t>
            </w:r>
          </w:p>
        </w:tc>
        <w:tc>
          <w:tcPr>
            <w:tcW w:w="914" w:type="dxa"/>
            <w:tcBorders>
              <w:top w:val="nil"/>
              <w:left w:val="nil"/>
              <w:bottom w:val="single" w:sz="4" w:space="0" w:color="auto"/>
              <w:right w:val="nil"/>
            </w:tcBorders>
            <w:shd w:val="clear" w:color="auto" w:fill="FFFFFF" w:themeFill="background1"/>
            <w:noWrap/>
            <w:vAlign w:val="bottom"/>
            <w:hideMark/>
          </w:tcPr>
          <w:p w14:paraId="7FDD730D"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19.8</w:t>
            </w:r>
          </w:p>
        </w:tc>
        <w:tc>
          <w:tcPr>
            <w:tcW w:w="873" w:type="dxa"/>
            <w:tcBorders>
              <w:top w:val="nil"/>
              <w:left w:val="nil"/>
              <w:bottom w:val="single" w:sz="4" w:space="0" w:color="auto"/>
              <w:right w:val="nil"/>
            </w:tcBorders>
            <w:shd w:val="clear" w:color="auto" w:fill="FFFFFF" w:themeFill="background1"/>
            <w:noWrap/>
            <w:vAlign w:val="bottom"/>
            <w:hideMark/>
          </w:tcPr>
          <w:p w14:paraId="6D93C7EF" w14:textId="77777777" w:rsidR="004576CC" w:rsidRPr="00B97923" w:rsidRDefault="004576CC" w:rsidP="004576CC">
            <w:pPr>
              <w:rPr>
                <w:rFonts w:ascii="Arial" w:hAnsi="Arial" w:cs="Arial"/>
                <w:sz w:val="21"/>
                <w:szCs w:val="21"/>
              </w:rPr>
            </w:pPr>
            <w:r w:rsidRPr="00B97923">
              <w:rPr>
                <w:rFonts w:ascii="Arial" w:hAnsi="Arial" w:cs="Arial"/>
                <w:sz w:val="21"/>
                <w:szCs w:val="21"/>
              </w:rPr>
              <w:t>± 8.8</w:t>
            </w:r>
          </w:p>
        </w:tc>
        <w:tc>
          <w:tcPr>
            <w:tcW w:w="914" w:type="dxa"/>
            <w:tcBorders>
              <w:top w:val="nil"/>
              <w:left w:val="nil"/>
              <w:bottom w:val="single" w:sz="4" w:space="0" w:color="auto"/>
              <w:right w:val="nil"/>
            </w:tcBorders>
            <w:shd w:val="clear" w:color="auto" w:fill="FFFFFF" w:themeFill="background1"/>
            <w:noWrap/>
            <w:vAlign w:val="bottom"/>
            <w:hideMark/>
          </w:tcPr>
          <w:p w14:paraId="596A12BC"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13.0</w:t>
            </w:r>
          </w:p>
        </w:tc>
        <w:tc>
          <w:tcPr>
            <w:tcW w:w="873" w:type="dxa"/>
            <w:tcBorders>
              <w:top w:val="nil"/>
              <w:left w:val="nil"/>
              <w:bottom w:val="single" w:sz="4" w:space="0" w:color="auto"/>
              <w:right w:val="nil"/>
            </w:tcBorders>
            <w:shd w:val="clear" w:color="auto" w:fill="FFFFFF" w:themeFill="background1"/>
            <w:noWrap/>
            <w:vAlign w:val="bottom"/>
            <w:hideMark/>
          </w:tcPr>
          <w:p w14:paraId="555D9A53" w14:textId="77777777" w:rsidR="004576CC" w:rsidRPr="00B97923" w:rsidRDefault="004576CC" w:rsidP="004576CC">
            <w:pPr>
              <w:rPr>
                <w:rFonts w:ascii="Arial" w:hAnsi="Arial" w:cs="Arial"/>
                <w:sz w:val="21"/>
                <w:szCs w:val="21"/>
              </w:rPr>
            </w:pPr>
            <w:r w:rsidRPr="00B97923">
              <w:rPr>
                <w:rFonts w:ascii="Arial" w:hAnsi="Arial" w:cs="Arial"/>
                <w:sz w:val="21"/>
                <w:szCs w:val="21"/>
              </w:rPr>
              <w:t>± 9.1</w:t>
            </w:r>
          </w:p>
        </w:tc>
        <w:tc>
          <w:tcPr>
            <w:tcW w:w="914" w:type="dxa"/>
            <w:tcBorders>
              <w:top w:val="nil"/>
              <w:left w:val="nil"/>
              <w:bottom w:val="single" w:sz="4" w:space="0" w:color="auto"/>
              <w:right w:val="nil"/>
            </w:tcBorders>
            <w:shd w:val="clear" w:color="auto" w:fill="FFFFFF" w:themeFill="background1"/>
            <w:noWrap/>
            <w:vAlign w:val="bottom"/>
            <w:hideMark/>
          </w:tcPr>
          <w:p w14:paraId="02F64ECD" w14:textId="2BA2B4DF" w:rsidR="004576CC" w:rsidRPr="00B97923" w:rsidRDefault="004576CC" w:rsidP="004576CC">
            <w:pPr>
              <w:jc w:val="right"/>
              <w:rPr>
                <w:rFonts w:ascii="Arial" w:hAnsi="Arial" w:cs="Arial"/>
                <w:sz w:val="21"/>
                <w:szCs w:val="21"/>
              </w:rPr>
            </w:pPr>
            <w:r w:rsidRPr="00B97923">
              <w:rPr>
                <w:rFonts w:ascii="Arial" w:hAnsi="Arial" w:cs="Arial"/>
                <w:sz w:val="21"/>
                <w:szCs w:val="21"/>
              </w:rPr>
              <w:t>8.</w:t>
            </w:r>
            <w:r w:rsidR="54E7651C" w:rsidRPr="00B97923">
              <w:rPr>
                <w:rFonts w:ascii="Arial" w:hAnsi="Arial" w:cs="Arial"/>
                <w:sz w:val="21"/>
                <w:szCs w:val="21"/>
              </w:rPr>
              <w:t>6</w:t>
            </w:r>
          </w:p>
        </w:tc>
        <w:tc>
          <w:tcPr>
            <w:tcW w:w="875" w:type="dxa"/>
            <w:tcBorders>
              <w:top w:val="nil"/>
              <w:left w:val="nil"/>
              <w:bottom w:val="single" w:sz="4" w:space="0" w:color="auto"/>
              <w:right w:val="nil"/>
            </w:tcBorders>
            <w:shd w:val="clear" w:color="auto" w:fill="FFFFFF" w:themeFill="background1"/>
            <w:noWrap/>
            <w:vAlign w:val="bottom"/>
            <w:hideMark/>
          </w:tcPr>
          <w:p w14:paraId="3E39D07C" w14:textId="77777777" w:rsidR="004576CC" w:rsidRPr="00B97923" w:rsidRDefault="004576CC" w:rsidP="004576CC">
            <w:pPr>
              <w:rPr>
                <w:rFonts w:ascii="Arial" w:hAnsi="Arial" w:cs="Arial"/>
                <w:sz w:val="21"/>
                <w:szCs w:val="21"/>
              </w:rPr>
            </w:pPr>
            <w:r w:rsidRPr="00B97923">
              <w:rPr>
                <w:rFonts w:ascii="Arial" w:hAnsi="Arial" w:cs="Arial"/>
                <w:sz w:val="21"/>
                <w:szCs w:val="21"/>
              </w:rPr>
              <w:t>± 6.8</w:t>
            </w:r>
          </w:p>
        </w:tc>
        <w:tc>
          <w:tcPr>
            <w:tcW w:w="873" w:type="dxa"/>
            <w:tcBorders>
              <w:top w:val="nil"/>
              <w:left w:val="nil"/>
              <w:bottom w:val="nil"/>
              <w:right w:val="nil"/>
            </w:tcBorders>
            <w:shd w:val="clear" w:color="auto" w:fill="FFFFFF" w:themeFill="background1"/>
            <w:noWrap/>
            <w:vAlign w:val="bottom"/>
            <w:hideMark/>
          </w:tcPr>
          <w:p w14:paraId="4AFFFFDD"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single" w:sz="4" w:space="0" w:color="auto"/>
              <w:right w:val="nil"/>
            </w:tcBorders>
            <w:shd w:val="clear" w:color="auto" w:fill="FFFFFF" w:themeFill="background1"/>
            <w:noWrap/>
            <w:vAlign w:val="bottom"/>
            <w:hideMark/>
          </w:tcPr>
          <w:p w14:paraId="5A079175"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18.3</w:t>
            </w:r>
          </w:p>
        </w:tc>
        <w:tc>
          <w:tcPr>
            <w:tcW w:w="873" w:type="dxa"/>
            <w:tcBorders>
              <w:top w:val="nil"/>
              <w:left w:val="nil"/>
              <w:bottom w:val="single" w:sz="4" w:space="0" w:color="auto"/>
              <w:right w:val="nil"/>
            </w:tcBorders>
            <w:shd w:val="clear" w:color="auto" w:fill="FFFFFF" w:themeFill="background1"/>
            <w:noWrap/>
            <w:vAlign w:val="bottom"/>
            <w:hideMark/>
          </w:tcPr>
          <w:p w14:paraId="6F641CFA" w14:textId="77777777" w:rsidR="004576CC" w:rsidRPr="00B97923" w:rsidRDefault="004576CC" w:rsidP="004576CC">
            <w:pPr>
              <w:rPr>
                <w:rFonts w:ascii="Arial" w:hAnsi="Arial" w:cs="Arial"/>
                <w:sz w:val="21"/>
                <w:szCs w:val="21"/>
              </w:rPr>
            </w:pPr>
            <w:r w:rsidRPr="00B97923">
              <w:rPr>
                <w:rFonts w:ascii="Arial" w:hAnsi="Arial" w:cs="Arial"/>
                <w:sz w:val="21"/>
                <w:szCs w:val="21"/>
              </w:rPr>
              <w:t>± 9.7</w:t>
            </w:r>
          </w:p>
        </w:tc>
        <w:tc>
          <w:tcPr>
            <w:tcW w:w="914" w:type="dxa"/>
            <w:tcBorders>
              <w:top w:val="nil"/>
              <w:left w:val="nil"/>
              <w:bottom w:val="single" w:sz="4" w:space="0" w:color="auto"/>
              <w:right w:val="nil"/>
            </w:tcBorders>
            <w:shd w:val="clear" w:color="auto" w:fill="FFFFFF" w:themeFill="background1"/>
            <w:noWrap/>
            <w:vAlign w:val="bottom"/>
            <w:hideMark/>
          </w:tcPr>
          <w:p w14:paraId="6EB89D1A"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12.9</w:t>
            </w:r>
          </w:p>
        </w:tc>
        <w:tc>
          <w:tcPr>
            <w:tcW w:w="873" w:type="dxa"/>
            <w:tcBorders>
              <w:top w:val="nil"/>
              <w:left w:val="nil"/>
              <w:bottom w:val="single" w:sz="4" w:space="0" w:color="auto"/>
              <w:right w:val="nil"/>
            </w:tcBorders>
            <w:shd w:val="clear" w:color="auto" w:fill="FFFFFF" w:themeFill="background1"/>
            <w:noWrap/>
            <w:vAlign w:val="bottom"/>
            <w:hideMark/>
          </w:tcPr>
          <w:p w14:paraId="3B6FD912" w14:textId="77777777" w:rsidR="004576CC" w:rsidRPr="00B97923" w:rsidRDefault="004576CC" w:rsidP="004576CC">
            <w:pPr>
              <w:rPr>
                <w:rFonts w:ascii="Arial" w:hAnsi="Arial" w:cs="Arial"/>
                <w:sz w:val="21"/>
                <w:szCs w:val="21"/>
              </w:rPr>
            </w:pPr>
            <w:r w:rsidRPr="00B97923">
              <w:rPr>
                <w:rFonts w:ascii="Arial" w:hAnsi="Arial" w:cs="Arial"/>
                <w:sz w:val="21"/>
                <w:szCs w:val="21"/>
              </w:rPr>
              <w:t>± 9.0</w:t>
            </w:r>
          </w:p>
        </w:tc>
        <w:tc>
          <w:tcPr>
            <w:tcW w:w="914" w:type="dxa"/>
            <w:tcBorders>
              <w:top w:val="nil"/>
              <w:left w:val="nil"/>
              <w:bottom w:val="single" w:sz="4" w:space="0" w:color="auto"/>
              <w:right w:val="nil"/>
            </w:tcBorders>
            <w:shd w:val="clear" w:color="auto" w:fill="FFFFFF" w:themeFill="background1"/>
            <w:noWrap/>
            <w:vAlign w:val="bottom"/>
            <w:hideMark/>
          </w:tcPr>
          <w:p w14:paraId="4CE74D4C"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8.8</w:t>
            </w:r>
          </w:p>
        </w:tc>
        <w:tc>
          <w:tcPr>
            <w:tcW w:w="875" w:type="dxa"/>
            <w:tcBorders>
              <w:top w:val="nil"/>
              <w:left w:val="nil"/>
              <w:bottom w:val="single" w:sz="4" w:space="0" w:color="auto"/>
              <w:right w:val="nil"/>
            </w:tcBorders>
            <w:shd w:val="clear" w:color="auto" w:fill="FFFFFF" w:themeFill="background1"/>
            <w:noWrap/>
            <w:vAlign w:val="bottom"/>
            <w:hideMark/>
          </w:tcPr>
          <w:p w14:paraId="608D3A91" w14:textId="77777777" w:rsidR="004576CC" w:rsidRPr="00B97923" w:rsidRDefault="004576CC" w:rsidP="004576CC">
            <w:pPr>
              <w:rPr>
                <w:rFonts w:ascii="Arial" w:hAnsi="Arial" w:cs="Arial"/>
                <w:sz w:val="21"/>
                <w:szCs w:val="21"/>
              </w:rPr>
            </w:pPr>
            <w:r w:rsidRPr="00B97923">
              <w:rPr>
                <w:rFonts w:ascii="Arial" w:hAnsi="Arial" w:cs="Arial"/>
                <w:sz w:val="21"/>
                <w:szCs w:val="21"/>
              </w:rPr>
              <w:t>± 7.0</w:t>
            </w:r>
          </w:p>
        </w:tc>
      </w:tr>
      <w:tr w:rsidR="004576CC" w:rsidRPr="00B97923" w14:paraId="49FF5BAA" w14:textId="77777777" w:rsidTr="27EEF6FD">
        <w:trPr>
          <w:trHeight w:val="84"/>
        </w:trPr>
        <w:tc>
          <w:tcPr>
            <w:tcW w:w="963" w:type="dxa"/>
            <w:tcBorders>
              <w:top w:val="nil"/>
              <w:left w:val="nil"/>
              <w:bottom w:val="nil"/>
              <w:right w:val="nil"/>
            </w:tcBorders>
            <w:shd w:val="clear" w:color="auto" w:fill="FFFFFF" w:themeFill="background1"/>
            <w:noWrap/>
            <w:vAlign w:val="bottom"/>
            <w:hideMark/>
          </w:tcPr>
          <w:p w14:paraId="75D4F426"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05A75F01"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nil"/>
              <w:right w:val="nil"/>
            </w:tcBorders>
            <w:shd w:val="clear" w:color="auto" w:fill="FFFFFF" w:themeFill="background1"/>
            <w:noWrap/>
            <w:vAlign w:val="bottom"/>
            <w:hideMark/>
          </w:tcPr>
          <w:p w14:paraId="00F44CF5"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37391132"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23557BDD"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217DA44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6C140D35"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584BAD2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5" w:type="dxa"/>
            <w:tcBorders>
              <w:top w:val="nil"/>
              <w:left w:val="nil"/>
              <w:bottom w:val="nil"/>
              <w:right w:val="nil"/>
            </w:tcBorders>
            <w:shd w:val="clear" w:color="auto" w:fill="FFFFFF" w:themeFill="background1"/>
            <w:noWrap/>
            <w:vAlign w:val="bottom"/>
            <w:hideMark/>
          </w:tcPr>
          <w:p w14:paraId="6A3E9798"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7E4A87AB"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0C43A914"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1ABA24C8"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7221CF31"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16167008"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75D4A5AA"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5" w:type="dxa"/>
            <w:tcBorders>
              <w:top w:val="nil"/>
              <w:left w:val="nil"/>
              <w:bottom w:val="nil"/>
              <w:right w:val="nil"/>
            </w:tcBorders>
            <w:shd w:val="clear" w:color="auto" w:fill="FFFFFF" w:themeFill="background1"/>
            <w:noWrap/>
            <w:vAlign w:val="bottom"/>
            <w:hideMark/>
          </w:tcPr>
          <w:p w14:paraId="79E464E3"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r>
      <w:tr w:rsidR="004576CC" w:rsidRPr="00B97923" w14:paraId="70C77DAB"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646C64B1"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2D5FD5A2"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nil"/>
              <w:right w:val="nil"/>
            </w:tcBorders>
            <w:shd w:val="clear" w:color="auto" w:fill="FFFFFF" w:themeFill="background1"/>
            <w:noWrap/>
            <w:vAlign w:val="bottom"/>
            <w:hideMark/>
          </w:tcPr>
          <w:p w14:paraId="509380F1"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45C67644"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69B3EAF0"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1787" w:type="dxa"/>
            <w:gridSpan w:val="2"/>
            <w:tcBorders>
              <w:top w:val="nil"/>
              <w:left w:val="nil"/>
              <w:bottom w:val="single" w:sz="4" w:space="0" w:color="auto"/>
              <w:right w:val="nil"/>
            </w:tcBorders>
            <w:shd w:val="clear" w:color="auto" w:fill="FFFFFF" w:themeFill="background1"/>
            <w:noWrap/>
            <w:vAlign w:val="bottom"/>
            <w:hideMark/>
          </w:tcPr>
          <w:p w14:paraId="3648EA08"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5-SD</w:t>
            </w:r>
          </w:p>
        </w:tc>
        <w:tc>
          <w:tcPr>
            <w:tcW w:w="1789" w:type="dxa"/>
            <w:gridSpan w:val="2"/>
            <w:tcBorders>
              <w:top w:val="nil"/>
              <w:left w:val="nil"/>
              <w:bottom w:val="single" w:sz="4" w:space="0" w:color="auto"/>
              <w:right w:val="nil"/>
            </w:tcBorders>
            <w:shd w:val="clear" w:color="auto" w:fill="FFFFFF" w:themeFill="background1"/>
            <w:noWrap/>
            <w:vAlign w:val="bottom"/>
            <w:hideMark/>
          </w:tcPr>
          <w:p w14:paraId="2646FD83"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6-SD</w:t>
            </w:r>
          </w:p>
        </w:tc>
        <w:tc>
          <w:tcPr>
            <w:tcW w:w="873" w:type="dxa"/>
            <w:tcBorders>
              <w:top w:val="nil"/>
              <w:left w:val="nil"/>
              <w:bottom w:val="nil"/>
              <w:right w:val="nil"/>
            </w:tcBorders>
            <w:shd w:val="clear" w:color="auto" w:fill="FFFFFF" w:themeFill="background1"/>
            <w:noWrap/>
            <w:vAlign w:val="bottom"/>
            <w:hideMark/>
          </w:tcPr>
          <w:p w14:paraId="0C7864CF" w14:textId="77777777" w:rsidR="004576CC" w:rsidRPr="00B97923" w:rsidRDefault="004576CC" w:rsidP="004576CC">
            <w:pPr>
              <w:rPr>
                <w:rFonts w:ascii="Arial" w:hAnsi="Arial" w:cs="Arial"/>
                <w:b/>
                <w:bCs/>
                <w:color w:val="000000"/>
                <w:sz w:val="21"/>
                <w:szCs w:val="21"/>
              </w:rPr>
            </w:pPr>
            <w:r w:rsidRPr="00B97923">
              <w:rPr>
                <w:rFonts w:ascii="Arial" w:hAnsi="Arial" w:cs="Arial"/>
                <w:b/>
                <w:bCs/>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01C000FE" w14:textId="77777777" w:rsidR="004576CC" w:rsidRPr="00B97923" w:rsidRDefault="004576CC" w:rsidP="004576CC">
            <w:pPr>
              <w:rPr>
                <w:rFonts w:ascii="Arial" w:hAnsi="Arial" w:cs="Arial"/>
                <w:b/>
                <w:bCs/>
                <w:color w:val="000000"/>
                <w:sz w:val="21"/>
                <w:szCs w:val="21"/>
              </w:rPr>
            </w:pPr>
            <w:r w:rsidRPr="00B97923">
              <w:rPr>
                <w:rFonts w:ascii="Arial" w:hAnsi="Arial" w:cs="Arial"/>
                <w:b/>
                <w:bCs/>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3DF2AEB2" w14:textId="77777777" w:rsidR="004576CC" w:rsidRPr="00B97923" w:rsidRDefault="004576CC" w:rsidP="004576CC">
            <w:pPr>
              <w:rPr>
                <w:rFonts w:ascii="Arial" w:hAnsi="Arial" w:cs="Arial"/>
                <w:b/>
                <w:bCs/>
                <w:color w:val="000000"/>
                <w:sz w:val="21"/>
                <w:szCs w:val="21"/>
              </w:rPr>
            </w:pPr>
            <w:r w:rsidRPr="00B97923">
              <w:rPr>
                <w:rFonts w:ascii="Arial" w:hAnsi="Arial" w:cs="Arial"/>
                <w:b/>
                <w:bCs/>
                <w:color w:val="000000"/>
                <w:sz w:val="21"/>
                <w:szCs w:val="21"/>
              </w:rPr>
              <w:t> </w:t>
            </w:r>
          </w:p>
        </w:tc>
        <w:tc>
          <w:tcPr>
            <w:tcW w:w="1787" w:type="dxa"/>
            <w:gridSpan w:val="2"/>
            <w:tcBorders>
              <w:top w:val="nil"/>
              <w:left w:val="nil"/>
              <w:bottom w:val="single" w:sz="4" w:space="0" w:color="auto"/>
              <w:right w:val="nil"/>
            </w:tcBorders>
            <w:shd w:val="clear" w:color="auto" w:fill="FFFFFF" w:themeFill="background1"/>
            <w:noWrap/>
            <w:vAlign w:val="bottom"/>
            <w:hideMark/>
          </w:tcPr>
          <w:p w14:paraId="2224B2C4"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5-SD</w:t>
            </w:r>
          </w:p>
        </w:tc>
        <w:tc>
          <w:tcPr>
            <w:tcW w:w="1789" w:type="dxa"/>
            <w:gridSpan w:val="2"/>
            <w:tcBorders>
              <w:top w:val="nil"/>
              <w:left w:val="nil"/>
              <w:bottom w:val="single" w:sz="4" w:space="0" w:color="auto"/>
              <w:right w:val="nil"/>
            </w:tcBorders>
            <w:shd w:val="clear" w:color="auto" w:fill="FFFFFF" w:themeFill="background1"/>
            <w:noWrap/>
            <w:vAlign w:val="bottom"/>
            <w:hideMark/>
          </w:tcPr>
          <w:p w14:paraId="74EADA59"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6-SD</w:t>
            </w:r>
          </w:p>
        </w:tc>
      </w:tr>
      <w:tr w:rsidR="004576CC" w:rsidRPr="00B97923" w14:paraId="1F0E5B20" w14:textId="77777777" w:rsidTr="27EEF6FD">
        <w:trPr>
          <w:trHeight w:val="194"/>
        </w:trPr>
        <w:tc>
          <w:tcPr>
            <w:tcW w:w="963" w:type="dxa"/>
            <w:tcBorders>
              <w:top w:val="single" w:sz="4" w:space="0" w:color="auto"/>
              <w:left w:val="nil"/>
              <w:bottom w:val="nil"/>
              <w:right w:val="nil"/>
            </w:tcBorders>
            <w:shd w:val="clear" w:color="auto" w:fill="FFFFFF" w:themeFill="background1"/>
            <w:noWrap/>
            <w:vAlign w:val="bottom"/>
            <w:hideMark/>
          </w:tcPr>
          <w:p w14:paraId="302CF458" w14:textId="77777777" w:rsidR="004576CC" w:rsidRPr="00B97923" w:rsidRDefault="004576CC" w:rsidP="004576CC">
            <w:pPr>
              <w:jc w:val="center"/>
              <w:rPr>
                <w:rFonts w:ascii="Arial" w:hAnsi="Arial" w:cs="Arial"/>
                <w:b/>
                <w:bCs/>
                <w:color w:val="000000"/>
                <w:sz w:val="21"/>
                <w:szCs w:val="21"/>
              </w:rPr>
            </w:pPr>
            <w:r w:rsidRPr="00B97923">
              <w:rPr>
                <w:rFonts w:ascii="Arial" w:hAnsi="Arial" w:cs="Arial"/>
                <w:b/>
                <w:bCs/>
                <w:color w:val="000000"/>
                <w:sz w:val="21"/>
                <w:szCs w:val="21"/>
              </w:rPr>
              <w:t>IHD</w:t>
            </w:r>
          </w:p>
        </w:tc>
        <w:tc>
          <w:tcPr>
            <w:tcW w:w="1605" w:type="dxa"/>
            <w:tcBorders>
              <w:top w:val="single" w:sz="4" w:space="0" w:color="auto"/>
              <w:left w:val="nil"/>
              <w:bottom w:val="nil"/>
              <w:right w:val="nil"/>
            </w:tcBorders>
            <w:shd w:val="clear" w:color="auto" w:fill="FFFFFF" w:themeFill="background1"/>
            <w:noWrap/>
            <w:vAlign w:val="bottom"/>
            <w:hideMark/>
          </w:tcPr>
          <w:p w14:paraId="47A6AB1C" w14:textId="77777777" w:rsidR="004576CC" w:rsidRPr="00B97923" w:rsidRDefault="004576CC" w:rsidP="004576CC">
            <w:pPr>
              <w:rPr>
                <w:rFonts w:ascii="Arial" w:hAnsi="Arial" w:cs="Arial"/>
                <w:b/>
                <w:bCs/>
                <w:color w:val="000000"/>
                <w:sz w:val="21"/>
                <w:szCs w:val="21"/>
              </w:rPr>
            </w:pPr>
            <w:r w:rsidRPr="00B97923">
              <w:rPr>
                <w:rFonts w:ascii="Arial" w:hAnsi="Arial" w:cs="Arial"/>
                <w:b/>
                <w:bCs/>
                <w:color w:val="000000"/>
                <w:sz w:val="21"/>
                <w:szCs w:val="21"/>
                <w:lang w:val="en-US"/>
              </w:rPr>
              <w:t>LVM</w:t>
            </w:r>
          </w:p>
        </w:tc>
        <w:tc>
          <w:tcPr>
            <w:tcW w:w="715" w:type="dxa"/>
            <w:tcBorders>
              <w:top w:val="single" w:sz="4" w:space="0" w:color="auto"/>
              <w:left w:val="nil"/>
              <w:bottom w:val="nil"/>
              <w:right w:val="nil"/>
            </w:tcBorders>
            <w:shd w:val="clear" w:color="auto" w:fill="FFFFFF" w:themeFill="background1"/>
            <w:noWrap/>
            <w:vAlign w:val="bottom"/>
            <w:hideMark/>
          </w:tcPr>
          <w:p w14:paraId="5FFF3486"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lang w:val="en-US"/>
              </w:rPr>
              <w:t>[ml]</w:t>
            </w:r>
          </w:p>
        </w:tc>
        <w:tc>
          <w:tcPr>
            <w:tcW w:w="914" w:type="dxa"/>
            <w:tcBorders>
              <w:top w:val="single" w:sz="4" w:space="0" w:color="auto"/>
              <w:left w:val="nil"/>
              <w:bottom w:val="nil"/>
              <w:right w:val="nil"/>
            </w:tcBorders>
            <w:shd w:val="clear" w:color="auto" w:fill="FFFFFF" w:themeFill="background1"/>
            <w:noWrap/>
            <w:vAlign w:val="bottom"/>
            <w:hideMark/>
          </w:tcPr>
          <w:p w14:paraId="5C8EF356"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single" w:sz="4" w:space="0" w:color="auto"/>
              <w:left w:val="nil"/>
              <w:bottom w:val="nil"/>
              <w:right w:val="nil"/>
            </w:tcBorders>
            <w:shd w:val="clear" w:color="auto" w:fill="FFFFFF" w:themeFill="background1"/>
            <w:noWrap/>
            <w:vAlign w:val="bottom"/>
            <w:hideMark/>
          </w:tcPr>
          <w:p w14:paraId="731A115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4A183469"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79.8</w:t>
            </w:r>
          </w:p>
        </w:tc>
        <w:tc>
          <w:tcPr>
            <w:tcW w:w="873" w:type="dxa"/>
            <w:tcBorders>
              <w:top w:val="nil"/>
              <w:left w:val="nil"/>
              <w:bottom w:val="nil"/>
              <w:right w:val="nil"/>
            </w:tcBorders>
            <w:shd w:val="clear" w:color="auto" w:fill="FFFFFF" w:themeFill="background1"/>
            <w:noWrap/>
            <w:vAlign w:val="bottom"/>
            <w:hideMark/>
          </w:tcPr>
          <w:p w14:paraId="1D9F7916" w14:textId="77777777" w:rsidR="004576CC" w:rsidRPr="00B97923" w:rsidRDefault="004576CC" w:rsidP="004576CC">
            <w:pPr>
              <w:rPr>
                <w:rFonts w:ascii="Arial" w:hAnsi="Arial" w:cs="Arial"/>
                <w:sz w:val="21"/>
                <w:szCs w:val="21"/>
              </w:rPr>
            </w:pPr>
            <w:r w:rsidRPr="00B97923">
              <w:rPr>
                <w:rFonts w:ascii="Arial" w:hAnsi="Arial" w:cs="Arial"/>
                <w:sz w:val="21"/>
                <w:szCs w:val="21"/>
              </w:rPr>
              <w:t>± 32.0</w:t>
            </w:r>
          </w:p>
        </w:tc>
        <w:tc>
          <w:tcPr>
            <w:tcW w:w="914" w:type="dxa"/>
            <w:tcBorders>
              <w:top w:val="nil"/>
              <w:left w:val="nil"/>
              <w:bottom w:val="nil"/>
              <w:right w:val="nil"/>
            </w:tcBorders>
            <w:shd w:val="clear" w:color="auto" w:fill="FFFFFF" w:themeFill="background1"/>
            <w:noWrap/>
            <w:vAlign w:val="bottom"/>
            <w:hideMark/>
          </w:tcPr>
          <w:p w14:paraId="09F50BC6" w14:textId="33ECB08A" w:rsidR="004576CC" w:rsidRPr="00B97923" w:rsidRDefault="004576CC" w:rsidP="004576CC">
            <w:pPr>
              <w:jc w:val="right"/>
              <w:rPr>
                <w:rFonts w:ascii="Arial" w:hAnsi="Arial" w:cs="Arial"/>
                <w:sz w:val="21"/>
                <w:szCs w:val="21"/>
              </w:rPr>
            </w:pPr>
            <w:r w:rsidRPr="00B97923">
              <w:rPr>
                <w:rFonts w:ascii="Arial" w:hAnsi="Arial" w:cs="Arial"/>
                <w:sz w:val="21"/>
                <w:szCs w:val="21"/>
              </w:rPr>
              <w:t>79.</w:t>
            </w:r>
            <w:r w:rsidR="6FA7B37B" w:rsidRPr="00B97923">
              <w:rPr>
                <w:rFonts w:ascii="Arial" w:hAnsi="Arial" w:cs="Arial"/>
                <w:sz w:val="21"/>
                <w:szCs w:val="21"/>
              </w:rPr>
              <w:t>8</w:t>
            </w:r>
          </w:p>
        </w:tc>
        <w:tc>
          <w:tcPr>
            <w:tcW w:w="875" w:type="dxa"/>
            <w:tcBorders>
              <w:top w:val="nil"/>
              <w:left w:val="nil"/>
              <w:bottom w:val="nil"/>
              <w:right w:val="nil"/>
            </w:tcBorders>
            <w:shd w:val="clear" w:color="auto" w:fill="FFFFFF" w:themeFill="background1"/>
            <w:noWrap/>
            <w:vAlign w:val="bottom"/>
            <w:hideMark/>
          </w:tcPr>
          <w:p w14:paraId="18D1690C" w14:textId="77777777" w:rsidR="004576CC" w:rsidRPr="00B97923" w:rsidRDefault="004576CC" w:rsidP="004576CC">
            <w:pPr>
              <w:rPr>
                <w:rFonts w:ascii="Arial" w:hAnsi="Arial" w:cs="Arial"/>
                <w:sz w:val="21"/>
                <w:szCs w:val="21"/>
              </w:rPr>
            </w:pPr>
            <w:r w:rsidRPr="00B97923">
              <w:rPr>
                <w:rFonts w:ascii="Arial" w:hAnsi="Arial" w:cs="Arial"/>
                <w:sz w:val="21"/>
                <w:szCs w:val="21"/>
              </w:rPr>
              <w:t>± 32.0</w:t>
            </w:r>
          </w:p>
        </w:tc>
        <w:tc>
          <w:tcPr>
            <w:tcW w:w="873" w:type="dxa"/>
            <w:tcBorders>
              <w:top w:val="nil"/>
              <w:left w:val="nil"/>
              <w:bottom w:val="nil"/>
              <w:right w:val="nil"/>
            </w:tcBorders>
            <w:shd w:val="clear" w:color="auto" w:fill="FFFFFF" w:themeFill="background1"/>
            <w:noWrap/>
            <w:vAlign w:val="bottom"/>
            <w:hideMark/>
          </w:tcPr>
          <w:p w14:paraId="34B7BB1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single" w:sz="4" w:space="0" w:color="auto"/>
              <w:left w:val="nil"/>
              <w:bottom w:val="nil"/>
              <w:right w:val="nil"/>
            </w:tcBorders>
            <w:shd w:val="clear" w:color="auto" w:fill="FFFFFF" w:themeFill="background1"/>
            <w:noWrap/>
            <w:vAlign w:val="bottom"/>
            <w:hideMark/>
          </w:tcPr>
          <w:p w14:paraId="07913102"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single" w:sz="4" w:space="0" w:color="auto"/>
              <w:left w:val="nil"/>
              <w:bottom w:val="nil"/>
              <w:right w:val="nil"/>
            </w:tcBorders>
            <w:shd w:val="clear" w:color="auto" w:fill="FFFFFF" w:themeFill="background1"/>
            <w:noWrap/>
            <w:vAlign w:val="bottom"/>
            <w:hideMark/>
          </w:tcPr>
          <w:p w14:paraId="6811D06C"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0E75B001"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77.2</w:t>
            </w:r>
          </w:p>
        </w:tc>
        <w:tc>
          <w:tcPr>
            <w:tcW w:w="873" w:type="dxa"/>
            <w:tcBorders>
              <w:top w:val="nil"/>
              <w:left w:val="nil"/>
              <w:bottom w:val="nil"/>
              <w:right w:val="nil"/>
            </w:tcBorders>
            <w:shd w:val="clear" w:color="auto" w:fill="FFFFFF" w:themeFill="background1"/>
            <w:noWrap/>
            <w:vAlign w:val="bottom"/>
            <w:hideMark/>
          </w:tcPr>
          <w:p w14:paraId="53EDD800" w14:textId="77777777" w:rsidR="004576CC" w:rsidRPr="00B97923" w:rsidRDefault="004576CC" w:rsidP="004576CC">
            <w:pPr>
              <w:rPr>
                <w:rFonts w:ascii="Arial" w:hAnsi="Arial" w:cs="Arial"/>
                <w:sz w:val="21"/>
                <w:szCs w:val="21"/>
              </w:rPr>
            </w:pPr>
            <w:r w:rsidRPr="00B97923">
              <w:rPr>
                <w:rFonts w:ascii="Arial" w:hAnsi="Arial" w:cs="Arial"/>
                <w:sz w:val="21"/>
                <w:szCs w:val="21"/>
              </w:rPr>
              <w:t>± 29.5</w:t>
            </w:r>
          </w:p>
        </w:tc>
        <w:tc>
          <w:tcPr>
            <w:tcW w:w="914" w:type="dxa"/>
            <w:tcBorders>
              <w:top w:val="nil"/>
              <w:left w:val="nil"/>
              <w:bottom w:val="nil"/>
              <w:right w:val="nil"/>
            </w:tcBorders>
            <w:shd w:val="clear" w:color="auto" w:fill="FFFFFF" w:themeFill="background1"/>
            <w:noWrap/>
            <w:vAlign w:val="bottom"/>
            <w:hideMark/>
          </w:tcPr>
          <w:p w14:paraId="66845655"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77.2</w:t>
            </w:r>
          </w:p>
        </w:tc>
        <w:tc>
          <w:tcPr>
            <w:tcW w:w="875" w:type="dxa"/>
            <w:tcBorders>
              <w:top w:val="nil"/>
              <w:left w:val="nil"/>
              <w:bottom w:val="nil"/>
              <w:right w:val="nil"/>
            </w:tcBorders>
            <w:shd w:val="clear" w:color="auto" w:fill="FFFFFF" w:themeFill="background1"/>
            <w:noWrap/>
            <w:vAlign w:val="bottom"/>
            <w:hideMark/>
          </w:tcPr>
          <w:p w14:paraId="7DF0EF04" w14:textId="77777777" w:rsidR="004576CC" w:rsidRPr="00B97923" w:rsidRDefault="004576CC" w:rsidP="004576CC">
            <w:pPr>
              <w:rPr>
                <w:rFonts w:ascii="Arial" w:hAnsi="Arial" w:cs="Arial"/>
                <w:sz w:val="21"/>
                <w:szCs w:val="21"/>
              </w:rPr>
            </w:pPr>
            <w:r w:rsidRPr="00B97923">
              <w:rPr>
                <w:rFonts w:ascii="Arial" w:hAnsi="Arial" w:cs="Arial"/>
                <w:sz w:val="21"/>
                <w:szCs w:val="21"/>
              </w:rPr>
              <w:t>± 29.5</w:t>
            </w:r>
          </w:p>
        </w:tc>
      </w:tr>
      <w:tr w:rsidR="004576CC" w:rsidRPr="00B97923" w14:paraId="203C731B"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04CA990B"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6B5DFA3C"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nil"/>
              <w:right w:val="nil"/>
            </w:tcBorders>
            <w:shd w:val="clear" w:color="auto" w:fill="FFFFFF" w:themeFill="background1"/>
            <w:noWrap/>
            <w:vAlign w:val="bottom"/>
            <w:hideMark/>
          </w:tcPr>
          <w:p w14:paraId="0F55B554"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lang w:val="en-US"/>
              </w:rPr>
              <w:t>[g]</w:t>
            </w:r>
          </w:p>
        </w:tc>
        <w:tc>
          <w:tcPr>
            <w:tcW w:w="914" w:type="dxa"/>
            <w:tcBorders>
              <w:top w:val="nil"/>
              <w:left w:val="nil"/>
              <w:bottom w:val="nil"/>
              <w:right w:val="nil"/>
            </w:tcBorders>
            <w:shd w:val="clear" w:color="auto" w:fill="FFFFFF" w:themeFill="background1"/>
            <w:noWrap/>
            <w:vAlign w:val="bottom"/>
            <w:hideMark/>
          </w:tcPr>
          <w:p w14:paraId="661A0FC9"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10DC7BAC"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75812D4E"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83.7</w:t>
            </w:r>
          </w:p>
        </w:tc>
        <w:tc>
          <w:tcPr>
            <w:tcW w:w="873" w:type="dxa"/>
            <w:tcBorders>
              <w:top w:val="nil"/>
              <w:left w:val="nil"/>
              <w:bottom w:val="nil"/>
              <w:right w:val="nil"/>
            </w:tcBorders>
            <w:shd w:val="clear" w:color="auto" w:fill="FFFFFF" w:themeFill="background1"/>
            <w:noWrap/>
            <w:vAlign w:val="bottom"/>
            <w:hideMark/>
          </w:tcPr>
          <w:p w14:paraId="77B3EF89" w14:textId="77777777" w:rsidR="004576CC" w:rsidRPr="00B97923" w:rsidRDefault="004576CC" w:rsidP="004576CC">
            <w:pPr>
              <w:rPr>
                <w:rFonts w:ascii="Arial" w:hAnsi="Arial" w:cs="Arial"/>
                <w:sz w:val="21"/>
                <w:szCs w:val="21"/>
              </w:rPr>
            </w:pPr>
            <w:r w:rsidRPr="00B97923">
              <w:rPr>
                <w:rFonts w:ascii="Arial" w:hAnsi="Arial" w:cs="Arial"/>
                <w:sz w:val="21"/>
                <w:szCs w:val="21"/>
              </w:rPr>
              <w:t>± 33.6</w:t>
            </w:r>
          </w:p>
        </w:tc>
        <w:tc>
          <w:tcPr>
            <w:tcW w:w="914" w:type="dxa"/>
            <w:tcBorders>
              <w:top w:val="nil"/>
              <w:left w:val="nil"/>
              <w:bottom w:val="nil"/>
              <w:right w:val="nil"/>
            </w:tcBorders>
            <w:shd w:val="clear" w:color="auto" w:fill="FFFFFF" w:themeFill="background1"/>
            <w:noWrap/>
            <w:vAlign w:val="bottom"/>
            <w:hideMark/>
          </w:tcPr>
          <w:p w14:paraId="4CF951AE" w14:textId="31772786" w:rsidR="004576CC" w:rsidRPr="00B97923" w:rsidRDefault="004576CC" w:rsidP="004576CC">
            <w:pPr>
              <w:jc w:val="right"/>
              <w:rPr>
                <w:rFonts w:ascii="Arial" w:hAnsi="Arial" w:cs="Arial"/>
                <w:sz w:val="21"/>
                <w:szCs w:val="21"/>
              </w:rPr>
            </w:pPr>
            <w:r w:rsidRPr="00B97923">
              <w:rPr>
                <w:rFonts w:ascii="Arial" w:hAnsi="Arial" w:cs="Arial"/>
                <w:sz w:val="21"/>
                <w:szCs w:val="21"/>
              </w:rPr>
              <w:t>83.7</w:t>
            </w:r>
          </w:p>
        </w:tc>
        <w:tc>
          <w:tcPr>
            <w:tcW w:w="875" w:type="dxa"/>
            <w:tcBorders>
              <w:top w:val="nil"/>
              <w:left w:val="nil"/>
              <w:bottom w:val="nil"/>
              <w:right w:val="nil"/>
            </w:tcBorders>
            <w:shd w:val="clear" w:color="auto" w:fill="FFFFFF" w:themeFill="background1"/>
            <w:noWrap/>
            <w:vAlign w:val="bottom"/>
            <w:hideMark/>
          </w:tcPr>
          <w:p w14:paraId="13BF643E" w14:textId="77777777" w:rsidR="004576CC" w:rsidRPr="00B97923" w:rsidRDefault="004576CC" w:rsidP="004576CC">
            <w:pPr>
              <w:rPr>
                <w:rFonts w:ascii="Arial" w:hAnsi="Arial" w:cs="Arial"/>
                <w:sz w:val="21"/>
                <w:szCs w:val="21"/>
              </w:rPr>
            </w:pPr>
            <w:r w:rsidRPr="00B97923">
              <w:rPr>
                <w:rFonts w:ascii="Arial" w:hAnsi="Arial" w:cs="Arial"/>
                <w:sz w:val="21"/>
                <w:szCs w:val="21"/>
              </w:rPr>
              <w:t>± 33.6</w:t>
            </w:r>
          </w:p>
        </w:tc>
        <w:tc>
          <w:tcPr>
            <w:tcW w:w="873" w:type="dxa"/>
            <w:tcBorders>
              <w:top w:val="nil"/>
              <w:left w:val="nil"/>
              <w:bottom w:val="nil"/>
              <w:right w:val="nil"/>
            </w:tcBorders>
            <w:shd w:val="clear" w:color="auto" w:fill="FFFFFF" w:themeFill="background1"/>
            <w:noWrap/>
            <w:vAlign w:val="bottom"/>
            <w:hideMark/>
          </w:tcPr>
          <w:p w14:paraId="307564CF"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22A91B3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4C85C16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425A787F"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81.1</w:t>
            </w:r>
          </w:p>
        </w:tc>
        <w:tc>
          <w:tcPr>
            <w:tcW w:w="873" w:type="dxa"/>
            <w:tcBorders>
              <w:top w:val="nil"/>
              <w:left w:val="nil"/>
              <w:bottom w:val="nil"/>
              <w:right w:val="nil"/>
            </w:tcBorders>
            <w:shd w:val="clear" w:color="auto" w:fill="FFFFFF" w:themeFill="background1"/>
            <w:noWrap/>
            <w:vAlign w:val="bottom"/>
            <w:hideMark/>
          </w:tcPr>
          <w:p w14:paraId="23CD6A51" w14:textId="77777777" w:rsidR="004576CC" w:rsidRPr="00B97923" w:rsidRDefault="004576CC" w:rsidP="004576CC">
            <w:pPr>
              <w:rPr>
                <w:rFonts w:ascii="Arial" w:hAnsi="Arial" w:cs="Arial"/>
                <w:sz w:val="21"/>
                <w:szCs w:val="21"/>
              </w:rPr>
            </w:pPr>
            <w:r w:rsidRPr="00B97923">
              <w:rPr>
                <w:rFonts w:ascii="Arial" w:hAnsi="Arial" w:cs="Arial"/>
                <w:sz w:val="21"/>
                <w:szCs w:val="21"/>
              </w:rPr>
              <w:t>± 31.0</w:t>
            </w:r>
          </w:p>
        </w:tc>
        <w:tc>
          <w:tcPr>
            <w:tcW w:w="914" w:type="dxa"/>
            <w:tcBorders>
              <w:top w:val="nil"/>
              <w:left w:val="nil"/>
              <w:bottom w:val="nil"/>
              <w:right w:val="nil"/>
            </w:tcBorders>
            <w:shd w:val="clear" w:color="auto" w:fill="FFFFFF" w:themeFill="background1"/>
            <w:noWrap/>
            <w:vAlign w:val="bottom"/>
            <w:hideMark/>
          </w:tcPr>
          <w:p w14:paraId="1A747886"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81.1</w:t>
            </w:r>
          </w:p>
        </w:tc>
        <w:tc>
          <w:tcPr>
            <w:tcW w:w="875" w:type="dxa"/>
            <w:tcBorders>
              <w:top w:val="nil"/>
              <w:left w:val="nil"/>
              <w:bottom w:val="nil"/>
              <w:right w:val="nil"/>
            </w:tcBorders>
            <w:shd w:val="clear" w:color="auto" w:fill="FFFFFF" w:themeFill="background1"/>
            <w:noWrap/>
            <w:vAlign w:val="bottom"/>
            <w:hideMark/>
          </w:tcPr>
          <w:p w14:paraId="01407105" w14:textId="77777777" w:rsidR="004576CC" w:rsidRPr="00B97923" w:rsidRDefault="004576CC" w:rsidP="004576CC">
            <w:pPr>
              <w:rPr>
                <w:rFonts w:ascii="Arial" w:hAnsi="Arial" w:cs="Arial"/>
                <w:sz w:val="21"/>
                <w:szCs w:val="21"/>
              </w:rPr>
            </w:pPr>
            <w:r w:rsidRPr="00B97923">
              <w:rPr>
                <w:rFonts w:ascii="Arial" w:hAnsi="Arial" w:cs="Arial"/>
                <w:sz w:val="21"/>
                <w:szCs w:val="21"/>
              </w:rPr>
              <w:t>± 31.0</w:t>
            </w:r>
          </w:p>
        </w:tc>
      </w:tr>
      <w:tr w:rsidR="004576CC" w:rsidRPr="00B97923" w14:paraId="4BFC5620"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4A18A5A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2E98E582"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nil"/>
              <w:right w:val="nil"/>
            </w:tcBorders>
            <w:shd w:val="clear" w:color="auto" w:fill="FFFFFF" w:themeFill="background1"/>
            <w:noWrap/>
            <w:vAlign w:val="bottom"/>
            <w:hideMark/>
          </w:tcPr>
          <w:p w14:paraId="3AA96D91"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10DD1624"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0CA71AFA"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01C2AFA2"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24D87FEB"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20B0185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5" w:type="dxa"/>
            <w:tcBorders>
              <w:top w:val="nil"/>
              <w:left w:val="nil"/>
              <w:bottom w:val="nil"/>
              <w:right w:val="nil"/>
            </w:tcBorders>
            <w:shd w:val="clear" w:color="auto" w:fill="FFFFFF" w:themeFill="background1"/>
            <w:noWrap/>
            <w:vAlign w:val="bottom"/>
            <w:hideMark/>
          </w:tcPr>
          <w:p w14:paraId="1EA2946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5E24023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2676E1A9"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39BBE1C4"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77D10014"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27FD045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309C47DC"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5" w:type="dxa"/>
            <w:tcBorders>
              <w:top w:val="nil"/>
              <w:left w:val="nil"/>
              <w:bottom w:val="nil"/>
              <w:right w:val="nil"/>
            </w:tcBorders>
            <w:shd w:val="clear" w:color="auto" w:fill="FFFFFF" w:themeFill="background1"/>
            <w:noWrap/>
            <w:vAlign w:val="bottom"/>
            <w:hideMark/>
          </w:tcPr>
          <w:p w14:paraId="767D9CFC"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r>
      <w:tr w:rsidR="004576CC" w:rsidRPr="00B97923" w14:paraId="21A89BB2"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2A80D6BA"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2BBA73E4" w14:textId="77777777" w:rsidR="004576CC" w:rsidRPr="00B97923" w:rsidRDefault="004576CC" w:rsidP="004576CC">
            <w:pPr>
              <w:rPr>
                <w:rFonts w:ascii="Arial" w:hAnsi="Arial" w:cs="Arial"/>
                <w:b/>
                <w:bCs/>
                <w:color w:val="000000"/>
                <w:sz w:val="21"/>
                <w:szCs w:val="21"/>
              </w:rPr>
            </w:pPr>
            <w:r w:rsidRPr="00B97923">
              <w:rPr>
                <w:rFonts w:ascii="Arial" w:hAnsi="Arial" w:cs="Arial"/>
                <w:b/>
                <w:bCs/>
                <w:color w:val="000000"/>
                <w:sz w:val="21"/>
                <w:szCs w:val="21"/>
                <w:lang w:val="en-US"/>
              </w:rPr>
              <w:t>LGE extent</w:t>
            </w:r>
          </w:p>
        </w:tc>
        <w:tc>
          <w:tcPr>
            <w:tcW w:w="715" w:type="dxa"/>
            <w:tcBorders>
              <w:top w:val="nil"/>
              <w:left w:val="nil"/>
              <w:bottom w:val="nil"/>
              <w:right w:val="nil"/>
            </w:tcBorders>
            <w:shd w:val="clear" w:color="auto" w:fill="FFFFFF" w:themeFill="background1"/>
            <w:noWrap/>
            <w:vAlign w:val="bottom"/>
            <w:hideMark/>
          </w:tcPr>
          <w:p w14:paraId="2AFCAEE5"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lang w:val="en-US"/>
              </w:rPr>
              <w:t>[g]</w:t>
            </w:r>
          </w:p>
        </w:tc>
        <w:tc>
          <w:tcPr>
            <w:tcW w:w="914" w:type="dxa"/>
            <w:tcBorders>
              <w:top w:val="nil"/>
              <w:left w:val="nil"/>
              <w:bottom w:val="nil"/>
              <w:right w:val="nil"/>
            </w:tcBorders>
            <w:shd w:val="clear" w:color="auto" w:fill="FFFFFF" w:themeFill="background1"/>
            <w:noWrap/>
            <w:vAlign w:val="bottom"/>
            <w:hideMark/>
          </w:tcPr>
          <w:p w14:paraId="3ACE6274"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1AA3DF20"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1BB38015"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8.6</w:t>
            </w:r>
          </w:p>
        </w:tc>
        <w:tc>
          <w:tcPr>
            <w:tcW w:w="873" w:type="dxa"/>
            <w:tcBorders>
              <w:top w:val="nil"/>
              <w:left w:val="nil"/>
              <w:bottom w:val="nil"/>
              <w:right w:val="nil"/>
            </w:tcBorders>
            <w:shd w:val="clear" w:color="auto" w:fill="FFFFFF" w:themeFill="background1"/>
            <w:noWrap/>
            <w:vAlign w:val="bottom"/>
            <w:hideMark/>
          </w:tcPr>
          <w:p w14:paraId="5045549C" w14:textId="77777777" w:rsidR="004576CC" w:rsidRPr="00B97923" w:rsidRDefault="004576CC" w:rsidP="004576CC">
            <w:pPr>
              <w:rPr>
                <w:rFonts w:ascii="Arial" w:hAnsi="Arial" w:cs="Arial"/>
                <w:sz w:val="21"/>
                <w:szCs w:val="21"/>
              </w:rPr>
            </w:pPr>
            <w:r w:rsidRPr="00B97923">
              <w:rPr>
                <w:rFonts w:ascii="Arial" w:hAnsi="Arial" w:cs="Arial"/>
                <w:sz w:val="21"/>
                <w:szCs w:val="21"/>
              </w:rPr>
              <w:t>± 9.4</w:t>
            </w:r>
          </w:p>
        </w:tc>
        <w:tc>
          <w:tcPr>
            <w:tcW w:w="914" w:type="dxa"/>
            <w:tcBorders>
              <w:top w:val="nil"/>
              <w:left w:val="nil"/>
              <w:bottom w:val="nil"/>
              <w:right w:val="nil"/>
            </w:tcBorders>
            <w:shd w:val="clear" w:color="auto" w:fill="FFFFFF" w:themeFill="background1"/>
            <w:noWrap/>
            <w:vAlign w:val="bottom"/>
            <w:hideMark/>
          </w:tcPr>
          <w:p w14:paraId="0ECBBA3E" w14:textId="6A96FF30" w:rsidR="004576CC" w:rsidRPr="00B97923" w:rsidRDefault="004576CC" w:rsidP="004576CC">
            <w:pPr>
              <w:jc w:val="right"/>
              <w:rPr>
                <w:rFonts w:ascii="Arial" w:hAnsi="Arial" w:cs="Arial"/>
                <w:sz w:val="21"/>
                <w:szCs w:val="21"/>
              </w:rPr>
            </w:pPr>
            <w:r w:rsidRPr="00B97923">
              <w:rPr>
                <w:rFonts w:ascii="Arial" w:hAnsi="Arial" w:cs="Arial"/>
                <w:sz w:val="21"/>
                <w:szCs w:val="21"/>
              </w:rPr>
              <w:t>5.</w:t>
            </w:r>
            <w:r w:rsidR="4D20CDE8" w:rsidRPr="00B97923">
              <w:rPr>
                <w:rFonts w:ascii="Arial" w:hAnsi="Arial" w:cs="Arial"/>
                <w:sz w:val="21"/>
                <w:szCs w:val="21"/>
              </w:rPr>
              <w:t>8</w:t>
            </w:r>
          </w:p>
        </w:tc>
        <w:tc>
          <w:tcPr>
            <w:tcW w:w="875" w:type="dxa"/>
            <w:tcBorders>
              <w:top w:val="nil"/>
              <w:left w:val="nil"/>
              <w:bottom w:val="nil"/>
              <w:right w:val="nil"/>
            </w:tcBorders>
            <w:shd w:val="clear" w:color="auto" w:fill="FFFFFF" w:themeFill="background1"/>
            <w:noWrap/>
            <w:vAlign w:val="bottom"/>
            <w:hideMark/>
          </w:tcPr>
          <w:p w14:paraId="38B4A0A2" w14:textId="77777777" w:rsidR="004576CC" w:rsidRPr="00B97923" w:rsidRDefault="004576CC" w:rsidP="004576CC">
            <w:pPr>
              <w:rPr>
                <w:rFonts w:ascii="Arial" w:hAnsi="Arial" w:cs="Arial"/>
                <w:sz w:val="21"/>
                <w:szCs w:val="21"/>
              </w:rPr>
            </w:pPr>
            <w:r w:rsidRPr="00B97923">
              <w:rPr>
                <w:rFonts w:ascii="Arial" w:hAnsi="Arial" w:cs="Arial"/>
                <w:sz w:val="21"/>
                <w:szCs w:val="21"/>
              </w:rPr>
              <w:t>± 7.3</w:t>
            </w:r>
          </w:p>
        </w:tc>
        <w:tc>
          <w:tcPr>
            <w:tcW w:w="873" w:type="dxa"/>
            <w:tcBorders>
              <w:top w:val="nil"/>
              <w:left w:val="nil"/>
              <w:bottom w:val="nil"/>
              <w:right w:val="nil"/>
            </w:tcBorders>
            <w:shd w:val="clear" w:color="auto" w:fill="FFFFFF" w:themeFill="background1"/>
            <w:noWrap/>
            <w:vAlign w:val="bottom"/>
            <w:hideMark/>
          </w:tcPr>
          <w:p w14:paraId="048344F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3AF9709A"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0E61989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5128A29D"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8.8</w:t>
            </w:r>
          </w:p>
        </w:tc>
        <w:tc>
          <w:tcPr>
            <w:tcW w:w="873" w:type="dxa"/>
            <w:tcBorders>
              <w:top w:val="nil"/>
              <w:left w:val="nil"/>
              <w:bottom w:val="nil"/>
              <w:right w:val="nil"/>
            </w:tcBorders>
            <w:shd w:val="clear" w:color="auto" w:fill="FFFFFF" w:themeFill="background1"/>
            <w:noWrap/>
            <w:vAlign w:val="bottom"/>
            <w:hideMark/>
          </w:tcPr>
          <w:p w14:paraId="1EF34A3D" w14:textId="77777777" w:rsidR="004576CC" w:rsidRPr="00B97923" w:rsidRDefault="004576CC" w:rsidP="004576CC">
            <w:pPr>
              <w:rPr>
                <w:rFonts w:ascii="Arial" w:hAnsi="Arial" w:cs="Arial"/>
                <w:sz w:val="21"/>
                <w:szCs w:val="21"/>
              </w:rPr>
            </w:pPr>
            <w:r w:rsidRPr="00B97923">
              <w:rPr>
                <w:rFonts w:ascii="Arial" w:hAnsi="Arial" w:cs="Arial"/>
                <w:sz w:val="21"/>
                <w:szCs w:val="21"/>
              </w:rPr>
              <w:t>± 9.0</w:t>
            </w:r>
          </w:p>
        </w:tc>
        <w:tc>
          <w:tcPr>
            <w:tcW w:w="914" w:type="dxa"/>
            <w:tcBorders>
              <w:top w:val="nil"/>
              <w:left w:val="nil"/>
              <w:bottom w:val="nil"/>
              <w:right w:val="nil"/>
            </w:tcBorders>
            <w:shd w:val="clear" w:color="auto" w:fill="FFFFFF" w:themeFill="background1"/>
            <w:noWrap/>
            <w:vAlign w:val="bottom"/>
            <w:hideMark/>
          </w:tcPr>
          <w:p w14:paraId="7673BA88"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6.1</w:t>
            </w:r>
          </w:p>
        </w:tc>
        <w:tc>
          <w:tcPr>
            <w:tcW w:w="875" w:type="dxa"/>
            <w:tcBorders>
              <w:top w:val="nil"/>
              <w:left w:val="nil"/>
              <w:bottom w:val="nil"/>
              <w:right w:val="nil"/>
            </w:tcBorders>
            <w:shd w:val="clear" w:color="auto" w:fill="FFFFFF" w:themeFill="background1"/>
            <w:noWrap/>
            <w:vAlign w:val="bottom"/>
            <w:hideMark/>
          </w:tcPr>
          <w:p w14:paraId="50C7F256" w14:textId="77777777" w:rsidR="004576CC" w:rsidRPr="00B97923" w:rsidRDefault="004576CC" w:rsidP="004576CC">
            <w:pPr>
              <w:rPr>
                <w:rFonts w:ascii="Arial" w:hAnsi="Arial" w:cs="Arial"/>
                <w:sz w:val="21"/>
                <w:szCs w:val="21"/>
              </w:rPr>
            </w:pPr>
            <w:r w:rsidRPr="00B97923">
              <w:rPr>
                <w:rFonts w:ascii="Arial" w:hAnsi="Arial" w:cs="Arial"/>
                <w:sz w:val="21"/>
                <w:szCs w:val="21"/>
              </w:rPr>
              <w:t>± 7.3</w:t>
            </w:r>
          </w:p>
        </w:tc>
      </w:tr>
      <w:tr w:rsidR="004576CC" w:rsidRPr="00B97923" w14:paraId="56AE9DBA"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5C69B5F5"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5E765DFB"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nil"/>
              <w:right w:val="nil"/>
            </w:tcBorders>
            <w:shd w:val="clear" w:color="auto" w:fill="FFFFFF" w:themeFill="background1"/>
            <w:noWrap/>
            <w:vAlign w:val="bottom"/>
            <w:hideMark/>
          </w:tcPr>
          <w:p w14:paraId="7E004830"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6BDE49C1"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49C055B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72A631C3"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6CCFFA93"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01CCD99C"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5" w:type="dxa"/>
            <w:tcBorders>
              <w:top w:val="nil"/>
              <w:left w:val="nil"/>
              <w:bottom w:val="nil"/>
              <w:right w:val="nil"/>
            </w:tcBorders>
            <w:shd w:val="clear" w:color="auto" w:fill="FFFFFF" w:themeFill="background1"/>
            <w:noWrap/>
            <w:vAlign w:val="bottom"/>
            <w:hideMark/>
          </w:tcPr>
          <w:p w14:paraId="2AC4E10F"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5DFAB672"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76361485"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13BE1BBE"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7F3B1160"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18168969"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33A24C99"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5" w:type="dxa"/>
            <w:tcBorders>
              <w:top w:val="nil"/>
              <w:left w:val="nil"/>
              <w:bottom w:val="nil"/>
              <w:right w:val="nil"/>
            </w:tcBorders>
            <w:shd w:val="clear" w:color="auto" w:fill="FFFFFF" w:themeFill="background1"/>
            <w:noWrap/>
            <w:vAlign w:val="bottom"/>
            <w:hideMark/>
          </w:tcPr>
          <w:p w14:paraId="7461600C"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r>
      <w:tr w:rsidR="004576CC" w:rsidRPr="00B97923" w14:paraId="221242FA" w14:textId="77777777" w:rsidTr="27EEF6FD">
        <w:trPr>
          <w:trHeight w:val="194"/>
        </w:trPr>
        <w:tc>
          <w:tcPr>
            <w:tcW w:w="963" w:type="dxa"/>
            <w:tcBorders>
              <w:top w:val="nil"/>
              <w:left w:val="nil"/>
              <w:bottom w:val="nil"/>
              <w:right w:val="nil"/>
            </w:tcBorders>
            <w:shd w:val="clear" w:color="auto" w:fill="FFFFFF" w:themeFill="background1"/>
            <w:noWrap/>
            <w:vAlign w:val="bottom"/>
            <w:hideMark/>
          </w:tcPr>
          <w:p w14:paraId="03E5BBAB"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1605" w:type="dxa"/>
            <w:tcBorders>
              <w:top w:val="nil"/>
              <w:left w:val="nil"/>
              <w:bottom w:val="nil"/>
              <w:right w:val="nil"/>
            </w:tcBorders>
            <w:shd w:val="clear" w:color="auto" w:fill="FFFFFF" w:themeFill="background1"/>
            <w:noWrap/>
            <w:vAlign w:val="bottom"/>
            <w:hideMark/>
          </w:tcPr>
          <w:p w14:paraId="1F5D5375"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nil"/>
              <w:right w:val="nil"/>
            </w:tcBorders>
            <w:shd w:val="clear" w:color="auto" w:fill="FFFFFF" w:themeFill="background1"/>
            <w:noWrap/>
            <w:vAlign w:val="bottom"/>
            <w:hideMark/>
          </w:tcPr>
          <w:p w14:paraId="5A577C2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lang w:val="en-US"/>
              </w:rPr>
              <w:t>[ml]</w:t>
            </w:r>
          </w:p>
        </w:tc>
        <w:tc>
          <w:tcPr>
            <w:tcW w:w="914" w:type="dxa"/>
            <w:tcBorders>
              <w:top w:val="nil"/>
              <w:left w:val="nil"/>
              <w:bottom w:val="nil"/>
              <w:right w:val="nil"/>
            </w:tcBorders>
            <w:shd w:val="clear" w:color="auto" w:fill="FFFFFF" w:themeFill="background1"/>
            <w:noWrap/>
            <w:vAlign w:val="bottom"/>
            <w:hideMark/>
          </w:tcPr>
          <w:p w14:paraId="6942DD66"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45348E36"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0C4086A3"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9.1</w:t>
            </w:r>
          </w:p>
        </w:tc>
        <w:tc>
          <w:tcPr>
            <w:tcW w:w="873" w:type="dxa"/>
            <w:tcBorders>
              <w:top w:val="nil"/>
              <w:left w:val="nil"/>
              <w:bottom w:val="nil"/>
              <w:right w:val="nil"/>
            </w:tcBorders>
            <w:shd w:val="clear" w:color="auto" w:fill="FFFFFF" w:themeFill="background1"/>
            <w:noWrap/>
            <w:vAlign w:val="bottom"/>
            <w:hideMark/>
          </w:tcPr>
          <w:p w14:paraId="2279C69A" w14:textId="77777777" w:rsidR="004576CC" w:rsidRPr="00B97923" w:rsidRDefault="004576CC" w:rsidP="004576CC">
            <w:pPr>
              <w:rPr>
                <w:rFonts w:ascii="Arial" w:hAnsi="Arial" w:cs="Arial"/>
                <w:sz w:val="21"/>
                <w:szCs w:val="21"/>
              </w:rPr>
            </w:pPr>
            <w:r w:rsidRPr="00B97923">
              <w:rPr>
                <w:rFonts w:ascii="Arial" w:hAnsi="Arial" w:cs="Arial"/>
                <w:sz w:val="21"/>
                <w:szCs w:val="21"/>
              </w:rPr>
              <w:t>± 9.9</w:t>
            </w:r>
          </w:p>
        </w:tc>
        <w:tc>
          <w:tcPr>
            <w:tcW w:w="914" w:type="dxa"/>
            <w:tcBorders>
              <w:top w:val="nil"/>
              <w:left w:val="nil"/>
              <w:bottom w:val="nil"/>
              <w:right w:val="nil"/>
            </w:tcBorders>
            <w:shd w:val="clear" w:color="auto" w:fill="FFFFFF" w:themeFill="background1"/>
            <w:noWrap/>
            <w:vAlign w:val="bottom"/>
            <w:hideMark/>
          </w:tcPr>
          <w:p w14:paraId="34C4BBF1" w14:textId="5D4C2DD5" w:rsidR="004576CC" w:rsidRPr="00B97923" w:rsidRDefault="004576CC" w:rsidP="004576CC">
            <w:pPr>
              <w:jc w:val="right"/>
              <w:rPr>
                <w:rFonts w:ascii="Arial" w:hAnsi="Arial" w:cs="Arial"/>
                <w:sz w:val="21"/>
                <w:szCs w:val="21"/>
              </w:rPr>
            </w:pPr>
            <w:r w:rsidRPr="00B97923">
              <w:rPr>
                <w:rFonts w:ascii="Arial" w:hAnsi="Arial" w:cs="Arial"/>
                <w:sz w:val="21"/>
                <w:szCs w:val="21"/>
              </w:rPr>
              <w:t>6.</w:t>
            </w:r>
            <w:r w:rsidR="38219AD0" w:rsidRPr="00B97923">
              <w:rPr>
                <w:rFonts w:ascii="Arial" w:hAnsi="Arial" w:cs="Arial"/>
                <w:sz w:val="21"/>
                <w:szCs w:val="21"/>
              </w:rPr>
              <w:t>1</w:t>
            </w:r>
          </w:p>
        </w:tc>
        <w:tc>
          <w:tcPr>
            <w:tcW w:w="875" w:type="dxa"/>
            <w:tcBorders>
              <w:top w:val="nil"/>
              <w:left w:val="nil"/>
              <w:bottom w:val="nil"/>
              <w:right w:val="nil"/>
            </w:tcBorders>
            <w:shd w:val="clear" w:color="auto" w:fill="FFFFFF" w:themeFill="background1"/>
            <w:noWrap/>
            <w:vAlign w:val="bottom"/>
            <w:hideMark/>
          </w:tcPr>
          <w:p w14:paraId="7A6AD6A7" w14:textId="77777777" w:rsidR="004576CC" w:rsidRPr="00B97923" w:rsidRDefault="004576CC" w:rsidP="004576CC">
            <w:pPr>
              <w:rPr>
                <w:rFonts w:ascii="Arial" w:hAnsi="Arial" w:cs="Arial"/>
                <w:sz w:val="21"/>
                <w:szCs w:val="21"/>
              </w:rPr>
            </w:pPr>
            <w:r w:rsidRPr="00B97923">
              <w:rPr>
                <w:rFonts w:ascii="Arial" w:hAnsi="Arial" w:cs="Arial"/>
                <w:sz w:val="21"/>
                <w:szCs w:val="21"/>
              </w:rPr>
              <w:t>± 7.7</w:t>
            </w:r>
          </w:p>
        </w:tc>
        <w:tc>
          <w:tcPr>
            <w:tcW w:w="873" w:type="dxa"/>
            <w:tcBorders>
              <w:top w:val="nil"/>
              <w:left w:val="nil"/>
              <w:bottom w:val="nil"/>
              <w:right w:val="nil"/>
            </w:tcBorders>
            <w:shd w:val="clear" w:color="auto" w:fill="FFFFFF" w:themeFill="background1"/>
            <w:noWrap/>
            <w:vAlign w:val="bottom"/>
            <w:hideMark/>
          </w:tcPr>
          <w:p w14:paraId="6FB9B728"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42B4685A"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nil"/>
              <w:right w:val="nil"/>
            </w:tcBorders>
            <w:shd w:val="clear" w:color="auto" w:fill="FFFFFF" w:themeFill="background1"/>
            <w:noWrap/>
            <w:vAlign w:val="bottom"/>
            <w:hideMark/>
          </w:tcPr>
          <w:p w14:paraId="1E14110D"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nil"/>
              <w:right w:val="nil"/>
            </w:tcBorders>
            <w:shd w:val="clear" w:color="auto" w:fill="FFFFFF" w:themeFill="background1"/>
            <w:noWrap/>
            <w:vAlign w:val="bottom"/>
            <w:hideMark/>
          </w:tcPr>
          <w:p w14:paraId="02DED6B9"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9.2</w:t>
            </w:r>
          </w:p>
        </w:tc>
        <w:tc>
          <w:tcPr>
            <w:tcW w:w="873" w:type="dxa"/>
            <w:tcBorders>
              <w:top w:val="nil"/>
              <w:left w:val="nil"/>
              <w:bottom w:val="nil"/>
              <w:right w:val="nil"/>
            </w:tcBorders>
            <w:shd w:val="clear" w:color="auto" w:fill="FFFFFF" w:themeFill="background1"/>
            <w:noWrap/>
            <w:vAlign w:val="bottom"/>
            <w:hideMark/>
          </w:tcPr>
          <w:p w14:paraId="39E0371F" w14:textId="77777777" w:rsidR="004576CC" w:rsidRPr="00B97923" w:rsidRDefault="004576CC" w:rsidP="004576CC">
            <w:pPr>
              <w:rPr>
                <w:rFonts w:ascii="Arial" w:hAnsi="Arial" w:cs="Arial"/>
                <w:sz w:val="21"/>
                <w:szCs w:val="21"/>
              </w:rPr>
            </w:pPr>
            <w:r w:rsidRPr="00B97923">
              <w:rPr>
                <w:rFonts w:ascii="Arial" w:hAnsi="Arial" w:cs="Arial"/>
                <w:sz w:val="21"/>
                <w:szCs w:val="21"/>
              </w:rPr>
              <w:t>± 9.5</w:t>
            </w:r>
          </w:p>
        </w:tc>
        <w:tc>
          <w:tcPr>
            <w:tcW w:w="914" w:type="dxa"/>
            <w:tcBorders>
              <w:top w:val="nil"/>
              <w:left w:val="nil"/>
              <w:bottom w:val="nil"/>
              <w:right w:val="nil"/>
            </w:tcBorders>
            <w:shd w:val="clear" w:color="auto" w:fill="FFFFFF" w:themeFill="background1"/>
            <w:noWrap/>
            <w:vAlign w:val="bottom"/>
            <w:hideMark/>
          </w:tcPr>
          <w:p w14:paraId="69AF77C7"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6.4</w:t>
            </w:r>
          </w:p>
        </w:tc>
        <w:tc>
          <w:tcPr>
            <w:tcW w:w="875" w:type="dxa"/>
            <w:tcBorders>
              <w:top w:val="nil"/>
              <w:left w:val="nil"/>
              <w:bottom w:val="nil"/>
              <w:right w:val="nil"/>
            </w:tcBorders>
            <w:shd w:val="clear" w:color="auto" w:fill="FFFFFF" w:themeFill="background1"/>
            <w:noWrap/>
            <w:vAlign w:val="bottom"/>
            <w:hideMark/>
          </w:tcPr>
          <w:p w14:paraId="0B930422" w14:textId="77777777" w:rsidR="004576CC" w:rsidRPr="00B97923" w:rsidRDefault="004576CC" w:rsidP="004576CC">
            <w:pPr>
              <w:rPr>
                <w:rFonts w:ascii="Arial" w:hAnsi="Arial" w:cs="Arial"/>
                <w:sz w:val="21"/>
                <w:szCs w:val="21"/>
              </w:rPr>
            </w:pPr>
            <w:r w:rsidRPr="00B97923">
              <w:rPr>
                <w:rFonts w:ascii="Arial" w:hAnsi="Arial" w:cs="Arial"/>
                <w:sz w:val="21"/>
                <w:szCs w:val="21"/>
              </w:rPr>
              <w:t>± 7.6</w:t>
            </w:r>
          </w:p>
        </w:tc>
      </w:tr>
      <w:tr w:rsidR="004576CC" w:rsidRPr="00B97923" w14:paraId="6C6B62D8" w14:textId="77777777" w:rsidTr="27EEF6FD">
        <w:trPr>
          <w:trHeight w:val="206"/>
        </w:trPr>
        <w:tc>
          <w:tcPr>
            <w:tcW w:w="963" w:type="dxa"/>
            <w:tcBorders>
              <w:top w:val="nil"/>
              <w:left w:val="nil"/>
              <w:bottom w:val="single" w:sz="24" w:space="0" w:color="auto"/>
              <w:right w:val="nil"/>
            </w:tcBorders>
            <w:shd w:val="clear" w:color="auto" w:fill="FFFFFF" w:themeFill="background1"/>
            <w:noWrap/>
            <w:vAlign w:val="bottom"/>
            <w:hideMark/>
          </w:tcPr>
          <w:p w14:paraId="31A03442"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1605" w:type="dxa"/>
            <w:tcBorders>
              <w:top w:val="nil"/>
              <w:left w:val="nil"/>
              <w:bottom w:val="single" w:sz="24" w:space="0" w:color="auto"/>
              <w:right w:val="nil"/>
            </w:tcBorders>
            <w:shd w:val="clear" w:color="auto" w:fill="FFFFFF" w:themeFill="background1"/>
            <w:noWrap/>
            <w:vAlign w:val="bottom"/>
            <w:hideMark/>
          </w:tcPr>
          <w:p w14:paraId="6A018DBC"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715" w:type="dxa"/>
            <w:tcBorders>
              <w:top w:val="nil"/>
              <w:left w:val="nil"/>
              <w:bottom w:val="single" w:sz="24" w:space="0" w:color="auto"/>
              <w:right w:val="nil"/>
            </w:tcBorders>
            <w:shd w:val="clear" w:color="auto" w:fill="FFFFFF" w:themeFill="background1"/>
            <w:noWrap/>
            <w:vAlign w:val="bottom"/>
            <w:hideMark/>
          </w:tcPr>
          <w:p w14:paraId="58A74341"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lang w:val="en-US"/>
              </w:rPr>
              <w:t>[%]</w:t>
            </w:r>
          </w:p>
        </w:tc>
        <w:tc>
          <w:tcPr>
            <w:tcW w:w="914" w:type="dxa"/>
            <w:tcBorders>
              <w:top w:val="nil"/>
              <w:left w:val="nil"/>
              <w:bottom w:val="single" w:sz="24" w:space="0" w:color="auto"/>
              <w:right w:val="nil"/>
            </w:tcBorders>
            <w:shd w:val="clear" w:color="auto" w:fill="FFFFFF" w:themeFill="background1"/>
            <w:noWrap/>
            <w:vAlign w:val="bottom"/>
            <w:hideMark/>
          </w:tcPr>
          <w:p w14:paraId="23CC0C4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single" w:sz="24" w:space="0" w:color="auto"/>
              <w:right w:val="nil"/>
            </w:tcBorders>
            <w:shd w:val="clear" w:color="auto" w:fill="FFFFFF" w:themeFill="background1"/>
            <w:noWrap/>
            <w:vAlign w:val="bottom"/>
            <w:hideMark/>
          </w:tcPr>
          <w:p w14:paraId="65FFB657"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single" w:sz="24" w:space="0" w:color="auto"/>
              <w:right w:val="nil"/>
            </w:tcBorders>
            <w:shd w:val="clear" w:color="auto" w:fill="FFFFFF" w:themeFill="background1"/>
            <w:noWrap/>
            <w:vAlign w:val="bottom"/>
            <w:hideMark/>
          </w:tcPr>
          <w:p w14:paraId="1E030A70" w14:textId="737A656B" w:rsidR="004576CC" w:rsidRPr="00B97923" w:rsidRDefault="004576CC" w:rsidP="004576CC">
            <w:pPr>
              <w:jc w:val="right"/>
              <w:rPr>
                <w:rFonts w:ascii="Arial" w:hAnsi="Arial" w:cs="Arial"/>
                <w:sz w:val="21"/>
                <w:szCs w:val="21"/>
              </w:rPr>
            </w:pPr>
            <w:r w:rsidRPr="00B97923">
              <w:rPr>
                <w:rFonts w:ascii="Arial" w:hAnsi="Arial" w:cs="Arial"/>
                <w:sz w:val="21"/>
                <w:szCs w:val="21"/>
              </w:rPr>
              <w:t>9.</w:t>
            </w:r>
            <w:r w:rsidR="3691565D" w:rsidRPr="00B97923">
              <w:rPr>
                <w:rFonts w:ascii="Arial" w:hAnsi="Arial" w:cs="Arial"/>
                <w:sz w:val="21"/>
                <w:szCs w:val="21"/>
              </w:rPr>
              <w:t>9</w:t>
            </w:r>
          </w:p>
        </w:tc>
        <w:tc>
          <w:tcPr>
            <w:tcW w:w="873" w:type="dxa"/>
            <w:tcBorders>
              <w:top w:val="nil"/>
              <w:left w:val="nil"/>
              <w:bottom w:val="single" w:sz="24" w:space="0" w:color="auto"/>
              <w:right w:val="nil"/>
            </w:tcBorders>
            <w:shd w:val="clear" w:color="auto" w:fill="FFFFFF" w:themeFill="background1"/>
            <w:noWrap/>
            <w:vAlign w:val="bottom"/>
            <w:hideMark/>
          </w:tcPr>
          <w:p w14:paraId="75B43490" w14:textId="77777777" w:rsidR="004576CC" w:rsidRPr="00B97923" w:rsidRDefault="004576CC" w:rsidP="004576CC">
            <w:pPr>
              <w:rPr>
                <w:rFonts w:ascii="Arial" w:hAnsi="Arial" w:cs="Arial"/>
                <w:sz w:val="21"/>
                <w:szCs w:val="21"/>
              </w:rPr>
            </w:pPr>
            <w:r w:rsidRPr="00B97923">
              <w:rPr>
                <w:rFonts w:ascii="Arial" w:hAnsi="Arial" w:cs="Arial"/>
                <w:sz w:val="21"/>
                <w:szCs w:val="21"/>
              </w:rPr>
              <w:t>± 8.1</w:t>
            </w:r>
          </w:p>
        </w:tc>
        <w:tc>
          <w:tcPr>
            <w:tcW w:w="914" w:type="dxa"/>
            <w:tcBorders>
              <w:top w:val="nil"/>
              <w:left w:val="nil"/>
              <w:bottom w:val="single" w:sz="24" w:space="0" w:color="auto"/>
              <w:right w:val="nil"/>
            </w:tcBorders>
            <w:shd w:val="clear" w:color="auto" w:fill="FFFFFF" w:themeFill="background1"/>
            <w:noWrap/>
            <w:vAlign w:val="bottom"/>
            <w:hideMark/>
          </w:tcPr>
          <w:p w14:paraId="1D517C43" w14:textId="608E70E2" w:rsidR="004576CC" w:rsidRPr="00B97923" w:rsidRDefault="004576CC" w:rsidP="004576CC">
            <w:pPr>
              <w:jc w:val="right"/>
              <w:rPr>
                <w:rFonts w:ascii="Arial" w:hAnsi="Arial" w:cs="Arial"/>
                <w:sz w:val="21"/>
                <w:szCs w:val="21"/>
              </w:rPr>
            </w:pPr>
            <w:r w:rsidRPr="00B97923">
              <w:rPr>
                <w:rFonts w:ascii="Arial" w:hAnsi="Arial" w:cs="Arial"/>
                <w:sz w:val="21"/>
                <w:szCs w:val="21"/>
              </w:rPr>
              <w:t>6.4</w:t>
            </w:r>
          </w:p>
        </w:tc>
        <w:tc>
          <w:tcPr>
            <w:tcW w:w="875" w:type="dxa"/>
            <w:tcBorders>
              <w:top w:val="nil"/>
              <w:left w:val="nil"/>
              <w:bottom w:val="single" w:sz="24" w:space="0" w:color="auto"/>
              <w:right w:val="nil"/>
            </w:tcBorders>
            <w:shd w:val="clear" w:color="auto" w:fill="FFFFFF" w:themeFill="background1"/>
            <w:noWrap/>
            <w:vAlign w:val="bottom"/>
            <w:hideMark/>
          </w:tcPr>
          <w:p w14:paraId="5A18EB3B" w14:textId="77777777" w:rsidR="004576CC" w:rsidRPr="00B97923" w:rsidRDefault="004576CC" w:rsidP="004576CC">
            <w:pPr>
              <w:rPr>
                <w:rFonts w:ascii="Arial" w:hAnsi="Arial" w:cs="Arial"/>
                <w:sz w:val="21"/>
                <w:szCs w:val="21"/>
              </w:rPr>
            </w:pPr>
            <w:r w:rsidRPr="00B97923">
              <w:rPr>
                <w:rFonts w:ascii="Arial" w:hAnsi="Arial" w:cs="Arial"/>
                <w:sz w:val="21"/>
                <w:szCs w:val="21"/>
              </w:rPr>
              <w:t>± 6.5</w:t>
            </w:r>
          </w:p>
        </w:tc>
        <w:tc>
          <w:tcPr>
            <w:tcW w:w="873" w:type="dxa"/>
            <w:tcBorders>
              <w:top w:val="nil"/>
              <w:left w:val="nil"/>
              <w:bottom w:val="single" w:sz="24" w:space="0" w:color="auto"/>
              <w:right w:val="nil"/>
            </w:tcBorders>
            <w:shd w:val="clear" w:color="auto" w:fill="FFFFFF" w:themeFill="background1"/>
            <w:noWrap/>
            <w:vAlign w:val="bottom"/>
            <w:hideMark/>
          </w:tcPr>
          <w:p w14:paraId="09052EEC"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single" w:sz="24" w:space="0" w:color="auto"/>
              <w:right w:val="nil"/>
            </w:tcBorders>
            <w:shd w:val="clear" w:color="auto" w:fill="FFFFFF" w:themeFill="background1"/>
            <w:noWrap/>
            <w:vAlign w:val="bottom"/>
            <w:hideMark/>
          </w:tcPr>
          <w:p w14:paraId="26E5CA36"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873" w:type="dxa"/>
            <w:tcBorders>
              <w:top w:val="nil"/>
              <w:left w:val="nil"/>
              <w:bottom w:val="single" w:sz="24" w:space="0" w:color="auto"/>
              <w:right w:val="nil"/>
            </w:tcBorders>
            <w:shd w:val="clear" w:color="auto" w:fill="FFFFFF" w:themeFill="background1"/>
            <w:noWrap/>
            <w:vAlign w:val="bottom"/>
            <w:hideMark/>
          </w:tcPr>
          <w:p w14:paraId="588B2F1D" w14:textId="77777777" w:rsidR="004576CC" w:rsidRPr="00B97923" w:rsidRDefault="004576CC" w:rsidP="004576CC">
            <w:pPr>
              <w:rPr>
                <w:rFonts w:ascii="Arial" w:hAnsi="Arial" w:cs="Arial"/>
                <w:color w:val="000000"/>
                <w:sz w:val="21"/>
                <w:szCs w:val="21"/>
              </w:rPr>
            </w:pPr>
            <w:r w:rsidRPr="00B97923">
              <w:rPr>
                <w:rFonts w:ascii="Arial" w:hAnsi="Arial" w:cs="Arial"/>
                <w:color w:val="000000"/>
                <w:sz w:val="21"/>
                <w:szCs w:val="21"/>
              </w:rPr>
              <w:t> </w:t>
            </w:r>
          </w:p>
        </w:tc>
        <w:tc>
          <w:tcPr>
            <w:tcW w:w="914" w:type="dxa"/>
            <w:tcBorders>
              <w:top w:val="nil"/>
              <w:left w:val="nil"/>
              <w:bottom w:val="single" w:sz="24" w:space="0" w:color="auto"/>
              <w:right w:val="nil"/>
            </w:tcBorders>
            <w:shd w:val="clear" w:color="auto" w:fill="FFFFFF" w:themeFill="background1"/>
            <w:noWrap/>
            <w:vAlign w:val="bottom"/>
            <w:hideMark/>
          </w:tcPr>
          <w:p w14:paraId="6E9B5FE5"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10.5</w:t>
            </w:r>
          </w:p>
        </w:tc>
        <w:tc>
          <w:tcPr>
            <w:tcW w:w="873" w:type="dxa"/>
            <w:tcBorders>
              <w:top w:val="nil"/>
              <w:left w:val="nil"/>
              <w:bottom w:val="single" w:sz="24" w:space="0" w:color="auto"/>
              <w:right w:val="nil"/>
            </w:tcBorders>
            <w:shd w:val="clear" w:color="auto" w:fill="FFFFFF" w:themeFill="background1"/>
            <w:noWrap/>
            <w:vAlign w:val="bottom"/>
            <w:hideMark/>
          </w:tcPr>
          <w:p w14:paraId="59BAD7C4" w14:textId="77777777" w:rsidR="004576CC" w:rsidRPr="00B97923" w:rsidRDefault="004576CC" w:rsidP="004576CC">
            <w:pPr>
              <w:rPr>
                <w:rFonts w:ascii="Arial" w:hAnsi="Arial" w:cs="Arial"/>
                <w:sz w:val="21"/>
                <w:szCs w:val="21"/>
              </w:rPr>
            </w:pPr>
            <w:r w:rsidRPr="00B97923">
              <w:rPr>
                <w:rFonts w:ascii="Arial" w:hAnsi="Arial" w:cs="Arial"/>
                <w:sz w:val="21"/>
                <w:szCs w:val="21"/>
              </w:rPr>
              <w:t>± 8.8</w:t>
            </w:r>
          </w:p>
        </w:tc>
        <w:tc>
          <w:tcPr>
            <w:tcW w:w="914" w:type="dxa"/>
            <w:tcBorders>
              <w:top w:val="nil"/>
              <w:left w:val="nil"/>
              <w:bottom w:val="single" w:sz="24" w:space="0" w:color="auto"/>
              <w:right w:val="nil"/>
            </w:tcBorders>
            <w:shd w:val="clear" w:color="auto" w:fill="FFFFFF" w:themeFill="background1"/>
            <w:noWrap/>
            <w:vAlign w:val="bottom"/>
            <w:hideMark/>
          </w:tcPr>
          <w:p w14:paraId="6FF4528A" w14:textId="77777777" w:rsidR="004576CC" w:rsidRPr="00B97923" w:rsidRDefault="004576CC" w:rsidP="004576CC">
            <w:pPr>
              <w:jc w:val="right"/>
              <w:rPr>
                <w:rFonts w:ascii="Arial" w:hAnsi="Arial" w:cs="Arial"/>
                <w:sz w:val="21"/>
                <w:szCs w:val="21"/>
              </w:rPr>
            </w:pPr>
            <w:r w:rsidRPr="00B97923">
              <w:rPr>
                <w:rFonts w:ascii="Arial" w:hAnsi="Arial" w:cs="Arial"/>
                <w:sz w:val="21"/>
                <w:szCs w:val="21"/>
              </w:rPr>
              <w:t>7.1</w:t>
            </w:r>
          </w:p>
        </w:tc>
        <w:tc>
          <w:tcPr>
            <w:tcW w:w="875" w:type="dxa"/>
            <w:tcBorders>
              <w:top w:val="nil"/>
              <w:left w:val="nil"/>
              <w:bottom w:val="single" w:sz="24" w:space="0" w:color="auto"/>
              <w:right w:val="nil"/>
            </w:tcBorders>
            <w:shd w:val="clear" w:color="auto" w:fill="FFFFFF" w:themeFill="background1"/>
            <w:noWrap/>
            <w:vAlign w:val="bottom"/>
            <w:hideMark/>
          </w:tcPr>
          <w:p w14:paraId="0B0F7E42" w14:textId="77777777" w:rsidR="004576CC" w:rsidRPr="00B97923" w:rsidRDefault="004576CC" w:rsidP="004576CC">
            <w:pPr>
              <w:rPr>
                <w:rFonts w:ascii="Arial" w:hAnsi="Arial" w:cs="Arial"/>
                <w:sz w:val="21"/>
                <w:szCs w:val="21"/>
              </w:rPr>
            </w:pPr>
            <w:r w:rsidRPr="00B97923">
              <w:rPr>
                <w:rFonts w:ascii="Arial" w:hAnsi="Arial" w:cs="Arial"/>
                <w:sz w:val="21"/>
                <w:szCs w:val="21"/>
              </w:rPr>
              <w:t>± 7.2</w:t>
            </w:r>
          </w:p>
        </w:tc>
      </w:tr>
    </w:tbl>
    <w:p w14:paraId="156F1372" w14:textId="0B5834CC" w:rsidR="004576CC" w:rsidRPr="00B97923" w:rsidRDefault="004576CC" w:rsidP="27EEF6FD">
      <w:pPr>
        <w:rPr>
          <w:rFonts w:ascii="Arial" w:hAnsi="Arial" w:cs="Arial"/>
          <w:i/>
          <w:iCs/>
          <w:sz w:val="20"/>
          <w:szCs w:val="20"/>
          <w:lang w:val="en-US"/>
        </w:rPr>
      </w:pPr>
      <w:r w:rsidRPr="00B97923">
        <w:br/>
      </w:r>
      <w:r w:rsidRPr="00B97923">
        <w:rPr>
          <w:rFonts w:ascii="Arial" w:hAnsi="Arial" w:cs="Arial"/>
          <w:b/>
          <w:bCs/>
          <w:i/>
          <w:iCs/>
          <w:sz w:val="20"/>
          <w:szCs w:val="20"/>
          <w:lang w:val="en-US"/>
        </w:rPr>
        <w:t xml:space="preserve">Table 1: </w:t>
      </w:r>
      <w:r w:rsidRPr="00B97923">
        <w:rPr>
          <w:rFonts w:ascii="Arial" w:hAnsi="Arial" w:cs="Arial"/>
          <w:i/>
          <w:iCs/>
          <w:sz w:val="20"/>
          <w:szCs w:val="20"/>
          <w:lang w:val="en-US"/>
        </w:rPr>
        <w:t>Results of quantification in first and second read per disease entity. Data are expressed as mean with one standard deviation FOR LVM in (ml) and (g) and LGE extent in (ml), (g), (%). CMI: Chronic myocardial ischemia. BMI: Body mass index. HCM: Hypertrophic cardiomyopathy. IHD: inflammatory heart disease. LGE: Late gadolinium enhancement.  LVM: Left ventricular myocardium mass.</w:t>
      </w:r>
    </w:p>
    <w:p w14:paraId="3363C451" w14:textId="12FA3981" w:rsidR="004576CC" w:rsidRPr="00B97923" w:rsidRDefault="004D6E4B" w:rsidP="00D26B38">
      <w:pPr>
        <w:rPr>
          <w:rFonts w:ascii="Arial" w:hAnsi="Arial" w:cs="Arial"/>
          <w:b/>
          <w:bCs/>
          <w:sz w:val="20"/>
          <w:szCs w:val="20"/>
          <w:lang w:val="en-US"/>
        </w:rPr>
      </w:pPr>
      <w:r w:rsidRPr="00B97923">
        <w:rPr>
          <w:rFonts w:ascii="Arial" w:hAnsi="Arial" w:cs="Arial"/>
          <w:b/>
          <w:bCs/>
          <w:sz w:val="20"/>
          <w:szCs w:val="20"/>
          <w:lang w:val="en-US"/>
        </w:rPr>
        <w:t xml:space="preserve"> </w:t>
      </w:r>
    </w:p>
    <w:p w14:paraId="39523A88" w14:textId="5CCE1350" w:rsidR="004576CC" w:rsidRPr="00B97923" w:rsidRDefault="004576CC" w:rsidP="27EEF6FD">
      <w:pPr>
        <w:rPr>
          <w:rFonts w:ascii="Arial" w:hAnsi="Arial" w:cs="Arial"/>
          <w:b/>
          <w:bCs/>
          <w:sz w:val="20"/>
          <w:szCs w:val="20"/>
          <w:lang w:val="en-US"/>
        </w:rPr>
      </w:pPr>
    </w:p>
    <w:p w14:paraId="441D07C4" w14:textId="63478633" w:rsidR="27EEF6FD" w:rsidRPr="00B97923" w:rsidRDefault="27EEF6FD" w:rsidP="27EEF6FD">
      <w:pPr>
        <w:rPr>
          <w:rFonts w:ascii="Arial" w:hAnsi="Arial" w:cs="Arial"/>
          <w:b/>
          <w:bCs/>
          <w:sz w:val="20"/>
          <w:szCs w:val="20"/>
          <w:lang w:val="en-US"/>
        </w:rPr>
      </w:pPr>
    </w:p>
    <w:p w14:paraId="469BEC3D" w14:textId="70185D16" w:rsidR="004576CC" w:rsidRPr="00B97923" w:rsidRDefault="004576CC" w:rsidP="00D26B38">
      <w:pPr>
        <w:rPr>
          <w:rFonts w:ascii="Arial" w:hAnsi="Arial" w:cs="Arial"/>
          <w:b/>
          <w:bCs/>
          <w:sz w:val="20"/>
          <w:szCs w:val="20"/>
          <w:lang w:val="en-US"/>
        </w:rPr>
        <w:sectPr w:rsidR="004576CC" w:rsidRPr="00B97923" w:rsidSect="004576CC">
          <w:pgSz w:w="16840" w:h="11900" w:orient="landscape"/>
          <w:pgMar w:top="720" w:right="720" w:bottom="720" w:left="720" w:header="708" w:footer="708" w:gutter="0"/>
          <w:cols w:space="708"/>
          <w:docGrid w:linePitch="360"/>
        </w:sectPr>
      </w:pPr>
    </w:p>
    <w:tbl>
      <w:tblPr>
        <w:tblpPr w:leftFromText="141" w:rightFromText="141" w:vertAnchor="page" w:horzAnchor="margin" w:tblpXSpec="center" w:tblpY="206"/>
        <w:tblW w:w="16717" w:type="dxa"/>
        <w:tblCellMar>
          <w:left w:w="70" w:type="dxa"/>
          <w:right w:w="70" w:type="dxa"/>
        </w:tblCellMar>
        <w:tblLook w:val="04A0" w:firstRow="1" w:lastRow="0" w:firstColumn="1" w:lastColumn="0" w:noHBand="0" w:noVBand="1"/>
      </w:tblPr>
      <w:tblGrid>
        <w:gridCol w:w="507"/>
        <w:gridCol w:w="596"/>
        <w:gridCol w:w="486"/>
        <w:gridCol w:w="567"/>
        <w:gridCol w:w="1119"/>
        <w:gridCol w:w="1007"/>
        <w:gridCol w:w="1048"/>
        <w:gridCol w:w="1591"/>
        <w:gridCol w:w="752"/>
        <w:gridCol w:w="1431"/>
        <w:gridCol w:w="2238"/>
        <w:gridCol w:w="1418"/>
        <w:gridCol w:w="1559"/>
        <w:gridCol w:w="850"/>
        <w:gridCol w:w="851"/>
        <w:gridCol w:w="697"/>
      </w:tblGrid>
      <w:tr w:rsidR="00D26B38" w:rsidRPr="00B97923" w14:paraId="34959EF3" w14:textId="77777777" w:rsidTr="007801EB">
        <w:trPr>
          <w:trHeight w:val="318"/>
        </w:trPr>
        <w:tc>
          <w:tcPr>
            <w:tcW w:w="507" w:type="dxa"/>
            <w:tcBorders>
              <w:top w:val="nil"/>
              <w:left w:val="nil"/>
              <w:bottom w:val="nil"/>
              <w:right w:val="nil"/>
            </w:tcBorders>
            <w:shd w:val="clear" w:color="000000" w:fill="FFFFFF"/>
            <w:noWrap/>
            <w:vAlign w:val="bottom"/>
            <w:hideMark/>
          </w:tcPr>
          <w:p w14:paraId="66C2ABB0" w14:textId="77777777" w:rsidR="00D26B38" w:rsidRPr="00B97923" w:rsidRDefault="00D26B38" w:rsidP="00FD50D7">
            <w:pPr>
              <w:rPr>
                <w:rFonts w:ascii="Arial" w:hAnsi="Arial" w:cs="Arial"/>
                <w:b/>
                <w:bCs/>
                <w:color w:val="000000"/>
                <w:sz w:val="20"/>
                <w:szCs w:val="20"/>
                <w:lang w:val="en-US"/>
              </w:rPr>
            </w:pPr>
            <w:r w:rsidRPr="00B97923">
              <w:rPr>
                <w:rFonts w:ascii="Arial" w:hAnsi="Arial" w:cs="Arial"/>
                <w:b/>
                <w:bCs/>
                <w:color w:val="000000"/>
                <w:sz w:val="20"/>
                <w:szCs w:val="20"/>
                <w:lang w:val="en-US"/>
              </w:rPr>
              <w:lastRenderedPageBreak/>
              <w:t>CMI</w:t>
            </w:r>
          </w:p>
        </w:tc>
        <w:tc>
          <w:tcPr>
            <w:tcW w:w="596" w:type="dxa"/>
            <w:tcBorders>
              <w:top w:val="nil"/>
              <w:left w:val="nil"/>
              <w:bottom w:val="nil"/>
              <w:right w:val="nil"/>
            </w:tcBorders>
            <w:shd w:val="clear" w:color="000000" w:fill="FFFFFF"/>
            <w:noWrap/>
            <w:vAlign w:val="bottom"/>
            <w:hideMark/>
          </w:tcPr>
          <w:p w14:paraId="55415C5F" w14:textId="77777777" w:rsidR="00D26B38" w:rsidRPr="00B97923" w:rsidRDefault="00D26B38" w:rsidP="00FD50D7">
            <w:pPr>
              <w:jc w:val="center"/>
              <w:rPr>
                <w:rFonts w:ascii="Arial" w:hAnsi="Arial" w:cs="Arial"/>
                <w:b/>
                <w:bCs/>
                <w:color w:val="000000"/>
                <w:sz w:val="20"/>
                <w:szCs w:val="20"/>
                <w:lang w:val="en-US"/>
              </w:rPr>
            </w:pPr>
            <w:r w:rsidRPr="00B97923">
              <w:rPr>
                <w:rFonts w:ascii="Arial" w:hAnsi="Arial" w:cs="Arial"/>
                <w:b/>
                <w:bCs/>
                <w:color w:val="000000"/>
                <w:sz w:val="20"/>
                <w:szCs w:val="20"/>
                <w:lang w:val="en-US"/>
              </w:rPr>
              <w:t>HCM</w:t>
            </w:r>
          </w:p>
        </w:tc>
        <w:tc>
          <w:tcPr>
            <w:tcW w:w="486" w:type="dxa"/>
            <w:tcBorders>
              <w:top w:val="nil"/>
              <w:left w:val="nil"/>
              <w:bottom w:val="nil"/>
              <w:right w:val="nil"/>
            </w:tcBorders>
            <w:shd w:val="clear" w:color="000000" w:fill="FFFFFF"/>
            <w:noWrap/>
            <w:vAlign w:val="bottom"/>
            <w:hideMark/>
          </w:tcPr>
          <w:p w14:paraId="478195C2" w14:textId="77777777" w:rsidR="00D26B38" w:rsidRPr="00B97923" w:rsidRDefault="00D26B38" w:rsidP="00FD50D7">
            <w:pPr>
              <w:jc w:val="center"/>
              <w:rPr>
                <w:rFonts w:ascii="Arial" w:hAnsi="Arial" w:cs="Arial"/>
                <w:b/>
                <w:bCs/>
                <w:color w:val="000000"/>
                <w:sz w:val="20"/>
                <w:szCs w:val="20"/>
                <w:lang w:val="en-US"/>
              </w:rPr>
            </w:pPr>
            <w:r w:rsidRPr="00B97923">
              <w:rPr>
                <w:rFonts w:ascii="Arial" w:hAnsi="Arial" w:cs="Arial"/>
                <w:b/>
                <w:bCs/>
                <w:color w:val="000000"/>
                <w:sz w:val="20"/>
                <w:szCs w:val="20"/>
                <w:lang w:val="en-US"/>
              </w:rPr>
              <w:t>IHD</w:t>
            </w:r>
          </w:p>
        </w:tc>
        <w:tc>
          <w:tcPr>
            <w:tcW w:w="567" w:type="dxa"/>
            <w:tcBorders>
              <w:top w:val="nil"/>
              <w:left w:val="nil"/>
              <w:bottom w:val="nil"/>
              <w:right w:val="nil"/>
            </w:tcBorders>
            <w:shd w:val="clear" w:color="000000" w:fill="FFFFFF"/>
            <w:noWrap/>
            <w:vAlign w:val="bottom"/>
            <w:hideMark/>
          </w:tcPr>
          <w:p w14:paraId="515B06DF" w14:textId="77777777" w:rsidR="00D26B38" w:rsidRPr="00B97923" w:rsidRDefault="00D26B38" w:rsidP="00FD50D7">
            <w:pPr>
              <w:jc w:val="center"/>
              <w:rPr>
                <w:rFonts w:ascii="Arial" w:hAnsi="Arial" w:cs="Arial"/>
                <w:b/>
                <w:bCs/>
                <w:color w:val="000000"/>
                <w:sz w:val="20"/>
                <w:szCs w:val="20"/>
                <w:lang w:val="en-US"/>
              </w:rPr>
            </w:pPr>
            <w:r w:rsidRPr="00B97923">
              <w:rPr>
                <w:rFonts w:ascii="Arial" w:hAnsi="Arial" w:cs="Arial"/>
                <w:b/>
                <w:bCs/>
                <w:color w:val="000000"/>
                <w:sz w:val="20"/>
                <w:szCs w:val="20"/>
                <w:lang w:val="en-US"/>
              </w:rPr>
              <w:t>total</w:t>
            </w:r>
          </w:p>
        </w:tc>
        <w:tc>
          <w:tcPr>
            <w:tcW w:w="1119" w:type="dxa"/>
            <w:tcBorders>
              <w:top w:val="nil"/>
              <w:left w:val="nil"/>
              <w:bottom w:val="nil"/>
              <w:right w:val="nil"/>
            </w:tcBorders>
            <w:shd w:val="clear" w:color="000000" w:fill="FFFFFF"/>
            <w:noWrap/>
            <w:vAlign w:val="bottom"/>
            <w:hideMark/>
          </w:tcPr>
          <w:p w14:paraId="2C237939" w14:textId="77777777" w:rsidR="00D26B38" w:rsidRPr="00B97923" w:rsidRDefault="00D26B38" w:rsidP="00FD50D7">
            <w:pPr>
              <w:jc w:val="center"/>
              <w:rPr>
                <w:rFonts w:ascii="Arial" w:hAnsi="Arial" w:cs="Arial"/>
                <w:b/>
                <w:bCs/>
                <w:color w:val="000000"/>
                <w:sz w:val="20"/>
                <w:szCs w:val="20"/>
                <w:lang w:val="en-US"/>
              </w:rPr>
            </w:pPr>
            <w:r w:rsidRPr="00B97923">
              <w:rPr>
                <w:rFonts w:ascii="Arial" w:hAnsi="Arial" w:cs="Arial"/>
                <w:b/>
                <w:bCs/>
                <w:color w:val="000000"/>
                <w:sz w:val="20"/>
                <w:szCs w:val="20"/>
                <w:lang w:val="en-US"/>
              </w:rPr>
              <w:t>scans acquired</w:t>
            </w:r>
          </w:p>
        </w:tc>
        <w:tc>
          <w:tcPr>
            <w:tcW w:w="1007" w:type="dxa"/>
            <w:tcBorders>
              <w:top w:val="nil"/>
              <w:left w:val="nil"/>
              <w:bottom w:val="nil"/>
              <w:right w:val="nil"/>
            </w:tcBorders>
            <w:shd w:val="clear" w:color="000000" w:fill="FFFFFF"/>
            <w:noWrap/>
            <w:vAlign w:val="bottom"/>
            <w:hideMark/>
          </w:tcPr>
          <w:p w14:paraId="67EE3BDF" w14:textId="77777777" w:rsidR="00D26B38" w:rsidRPr="00B97923" w:rsidRDefault="00D26B38" w:rsidP="00FD50D7">
            <w:pPr>
              <w:jc w:val="center"/>
              <w:rPr>
                <w:rFonts w:ascii="Arial" w:hAnsi="Arial" w:cs="Arial"/>
                <w:b/>
                <w:bCs/>
                <w:color w:val="000000"/>
                <w:sz w:val="18"/>
                <w:szCs w:val="18"/>
                <w:lang w:val="en-US"/>
              </w:rPr>
            </w:pPr>
            <w:r w:rsidRPr="00B97923">
              <w:rPr>
                <w:rFonts w:ascii="Arial" w:hAnsi="Arial" w:cs="Arial"/>
                <w:b/>
                <w:bCs/>
                <w:color w:val="000000"/>
                <w:sz w:val="18"/>
                <w:szCs w:val="18"/>
                <w:lang w:val="en-US"/>
              </w:rPr>
              <w:t>time after GBCA</w:t>
            </w:r>
          </w:p>
        </w:tc>
        <w:tc>
          <w:tcPr>
            <w:tcW w:w="1048" w:type="dxa"/>
            <w:tcBorders>
              <w:top w:val="nil"/>
              <w:left w:val="nil"/>
              <w:bottom w:val="nil"/>
              <w:right w:val="nil"/>
            </w:tcBorders>
            <w:shd w:val="clear" w:color="000000" w:fill="FFFFFF"/>
            <w:noWrap/>
            <w:vAlign w:val="bottom"/>
            <w:hideMark/>
          </w:tcPr>
          <w:p w14:paraId="397BD4BF" w14:textId="77777777" w:rsidR="00D26B38" w:rsidRPr="00B97923" w:rsidRDefault="00D26B38" w:rsidP="00FD50D7">
            <w:pPr>
              <w:jc w:val="center"/>
              <w:rPr>
                <w:rFonts w:ascii="Arial" w:hAnsi="Arial" w:cs="Arial"/>
                <w:b/>
                <w:bCs/>
                <w:color w:val="000000"/>
                <w:sz w:val="20"/>
                <w:szCs w:val="20"/>
                <w:lang w:val="en-US"/>
              </w:rPr>
            </w:pPr>
            <w:r w:rsidRPr="00B97923">
              <w:rPr>
                <w:rFonts w:ascii="Arial" w:hAnsi="Arial" w:cs="Arial"/>
                <w:b/>
                <w:bCs/>
                <w:color w:val="000000"/>
                <w:sz w:val="20"/>
                <w:szCs w:val="20"/>
                <w:lang w:val="en-US"/>
              </w:rPr>
              <w:t>GBCA dosage</w:t>
            </w:r>
          </w:p>
        </w:tc>
        <w:tc>
          <w:tcPr>
            <w:tcW w:w="1591" w:type="dxa"/>
            <w:tcBorders>
              <w:top w:val="nil"/>
              <w:left w:val="nil"/>
              <w:bottom w:val="nil"/>
              <w:right w:val="nil"/>
            </w:tcBorders>
            <w:shd w:val="clear" w:color="000000" w:fill="FFFFFF"/>
            <w:noWrap/>
            <w:vAlign w:val="bottom"/>
            <w:hideMark/>
          </w:tcPr>
          <w:p w14:paraId="5E9D6B17" w14:textId="77777777" w:rsidR="00D26B38" w:rsidRPr="00B97923" w:rsidRDefault="00D26B38" w:rsidP="00FD50D7">
            <w:pPr>
              <w:jc w:val="center"/>
              <w:rPr>
                <w:rFonts w:ascii="Arial" w:hAnsi="Arial" w:cs="Arial"/>
                <w:b/>
                <w:bCs/>
                <w:color w:val="000000"/>
                <w:sz w:val="20"/>
                <w:szCs w:val="20"/>
                <w:lang w:val="en-US"/>
              </w:rPr>
            </w:pPr>
            <w:r w:rsidRPr="00B97923">
              <w:rPr>
                <w:rStyle w:val="eop"/>
                <w:rFonts w:ascii="Arial" w:eastAsiaTheme="majorEastAsia" w:hAnsi="Arial" w:cs="Arial"/>
                <w:b/>
                <w:sz w:val="20"/>
                <w:szCs w:val="20"/>
              </w:rPr>
              <w:t>GBCA</w:t>
            </w:r>
          </w:p>
        </w:tc>
        <w:tc>
          <w:tcPr>
            <w:tcW w:w="752" w:type="dxa"/>
            <w:tcBorders>
              <w:top w:val="nil"/>
              <w:left w:val="nil"/>
              <w:bottom w:val="nil"/>
              <w:right w:val="nil"/>
            </w:tcBorders>
            <w:shd w:val="clear" w:color="000000" w:fill="FFFFFF"/>
            <w:noWrap/>
            <w:vAlign w:val="bottom"/>
            <w:hideMark/>
          </w:tcPr>
          <w:p w14:paraId="58224B0A" w14:textId="77777777" w:rsidR="00D26B38" w:rsidRPr="00B97923" w:rsidRDefault="00D26B38" w:rsidP="00FD50D7">
            <w:pPr>
              <w:jc w:val="center"/>
              <w:rPr>
                <w:rFonts w:ascii="Arial" w:hAnsi="Arial" w:cs="Arial"/>
                <w:b/>
                <w:bCs/>
                <w:color w:val="000000"/>
                <w:sz w:val="20"/>
                <w:szCs w:val="20"/>
                <w:lang w:val="en-US"/>
              </w:rPr>
            </w:pPr>
            <w:r w:rsidRPr="00B97923">
              <w:rPr>
                <w:rFonts w:ascii="Arial" w:hAnsi="Arial" w:cs="Arial"/>
                <w:b/>
                <w:bCs/>
                <w:color w:val="000000"/>
                <w:sz w:val="20"/>
                <w:szCs w:val="20"/>
                <w:lang w:val="en-US"/>
              </w:rPr>
              <w:t>Recon</w:t>
            </w:r>
          </w:p>
        </w:tc>
        <w:tc>
          <w:tcPr>
            <w:tcW w:w="1431" w:type="dxa"/>
            <w:tcBorders>
              <w:top w:val="nil"/>
              <w:left w:val="nil"/>
              <w:bottom w:val="nil"/>
              <w:right w:val="nil"/>
            </w:tcBorders>
            <w:shd w:val="clear" w:color="000000" w:fill="FFFFFF"/>
            <w:noWrap/>
            <w:vAlign w:val="bottom"/>
            <w:hideMark/>
          </w:tcPr>
          <w:p w14:paraId="36A597E0" w14:textId="77777777" w:rsidR="00D26B38" w:rsidRPr="00B97923" w:rsidRDefault="00D26B38" w:rsidP="00FD50D7">
            <w:pPr>
              <w:jc w:val="center"/>
              <w:rPr>
                <w:rFonts w:ascii="Arial" w:hAnsi="Arial" w:cs="Arial"/>
                <w:b/>
                <w:bCs/>
                <w:color w:val="000000"/>
                <w:sz w:val="20"/>
                <w:szCs w:val="20"/>
                <w:lang w:val="en-US"/>
              </w:rPr>
            </w:pPr>
            <w:r w:rsidRPr="00B97923">
              <w:rPr>
                <w:rFonts w:ascii="Arial" w:hAnsi="Arial" w:cs="Arial"/>
                <w:b/>
                <w:bCs/>
                <w:color w:val="000000"/>
                <w:sz w:val="20"/>
                <w:szCs w:val="20"/>
                <w:lang w:val="en-US"/>
              </w:rPr>
              <w:t>Sequence</w:t>
            </w:r>
          </w:p>
        </w:tc>
        <w:tc>
          <w:tcPr>
            <w:tcW w:w="2238" w:type="dxa"/>
            <w:tcBorders>
              <w:top w:val="nil"/>
              <w:left w:val="nil"/>
              <w:bottom w:val="nil"/>
              <w:right w:val="nil"/>
            </w:tcBorders>
            <w:shd w:val="clear" w:color="000000" w:fill="FFFFFF"/>
            <w:noWrap/>
            <w:vAlign w:val="bottom"/>
            <w:hideMark/>
          </w:tcPr>
          <w:p w14:paraId="09C02CAB" w14:textId="77777777" w:rsidR="00D26B38" w:rsidRPr="00B97923" w:rsidRDefault="00D26B38" w:rsidP="00FD50D7">
            <w:pPr>
              <w:jc w:val="center"/>
              <w:rPr>
                <w:rFonts w:ascii="Arial" w:hAnsi="Arial" w:cs="Arial"/>
                <w:b/>
                <w:bCs/>
                <w:color w:val="000000"/>
                <w:sz w:val="20"/>
                <w:szCs w:val="20"/>
                <w:lang w:val="en-US"/>
              </w:rPr>
            </w:pPr>
            <w:r w:rsidRPr="00B97923">
              <w:rPr>
                <w:rFonts w:ascii="Arial" w:hAnsi="Arial" w:cs="Arial"/>
                <w:b/>
                <w:bCs/>
                <w:color w:val="000000"/>
                <w:sz w:val="20"/>
                <w:szCs w:val="20"/>
                <w:lang w:val="en-US"/>
              </w:rPr>
              <w:t>TI, TR, TE, FA</w:t>
            </w:r>
          </w:p>
        </w:tc>
        <w:tc>
          <w:tcPr>
            <w:tcW w:w="1418" w:type="dxa"/>
            <w:tcBorders>
              <w:top w:val="nil"/>
              <w:left w:val="nil"/>
              <w:bottom w:val="nil"/>
              <w:right w:val="nil"/>
            </w:tcBorders>
            <w:shd w:val="clear" w:color="000000" w:fill="FFFFFF"/>
            <w:vAlign w:val="bottom"/>
            <w:hideMark/>
          </w:tcPr>
          <w:p w14:paraId="2C7E49C1" w14:textId="77777777" w:rsidR="00D26B38" w:rsidRPr="00B97923" w:rsidRDefault="00D26B38" w:rsidP="00FD50D7">
            <w:pPr>
              <w:rPr>
                <w:rFonts w:ascii="Arial" w:hAnsi="Arial" w:cs="Arial"/>
                <w:b/>
                <w:bCs/>
                <w:color w:val="000000"/>
                <w:sz w:val="20"/>
                <w:szCs w:val="20"/>
                <w:lang w:val="en-US"/>
              </w:rPr>
            </w:pPr>
            <w:r w:rsidRPr="00B97923">
              <w:rPr>
                <w:rFonts w:ascii="Arial" w:hAnsi="Arial" w:cs="Arial"/>
                <w:b/>
                <w:bCs/>
                <w:color w:val="000000"/>
                <w:sz w:val="20"/>
                <w:szCs w:val="20"/>
                <w:lang w:val="en-US"/>
              </w:rPr>
              <w:t>FOV</w:t>
            </w:r>
          </w:p>
        </w:tc>
        <w:tc>
          <w:tcPr>
            <w:tcW w:w="1559" w:type="dxa"/>
            <w:tcBorders>
              <w:top w:val="nil"/>
              <w:left w:val="nil"/>
              <w:bottom w:val="nil"/>
              <w:right w:val="nil"/>
            </w:tcBorders>
            <w:shd w:val="clear" w:color="000000" w:fill="FFFFFF"/>
            <w:vAlign w:val="bottom"/>
            <w:hideMark/>
          </w:tcPr>
          <w:p w14:paraId="03E03C58" w14:textId="77777777" w:rsidR="00D26B38" w:rsidRPr="00B97923" w:rsidRDefault="00D26B38" w:rsidP="00FD50D7">
            <w:pPr>
              <w:rPr>
                <w:rFonts w:ascii="Arial" w:hAnsi="Arial" w:cs="Arial"/>
                <w:b/>
                <w:bCs/>
                <w:color w:val="000000"/>
                <w:sz w:val="20"/>
                <w:szCs w:val="20"/>
                <w:lang w:val="en-US"/>
              </w:rPr>
            </w:pPr>
            <w:r w:rsidRPr="00B97923">
              <w:rPr>
                <w:rFonts w:ascii="Arial" w:hAnsi="Arial" w:cs="Arial"/>
                <w:b/>
                <w:bCs/>
                <w:color w:val="000000"/>
                <w:sz w:val="20"/>
                <w:szCs w:val="20"/>
                <w:lang w:val="en-US"/>
              </w:rPr>
              <w:t>matrix</w:t>
            </w:r>
          </w:p>
        </w:tc>
        <w:tc>
          <w:tcPr>
            <w:tcW w:w="850" w:type="dxa"/>
            <w:tcBorders>
              <w:top w:val="nil"/>
              <w:left w:val="nil"/>
              <w:bottom w:val="nil"/>
              <w:right w:val="nil"/>
            </w:tcBorders>
            <w:shd w:val="clear" w:color="000000" w:fill="FFFFFF"/>
            <w:vAlign w:val="bottom"/>
            <w:hideMark/>
          </w:tcPr>
          <w:p w14:paraId="4C77BD88" w14:textId="77777777" w:rsidR="00D26B38" w:rsidRPr="00B97923" w:rsidRDefault="00D26B38" w:rsidP="00FD50D7">
            <w:pPr>
              <w:rPr>
                <w:rFonts w:ascii="Arial" w:hAnsi="Arial" w:cs="Arial"/>
                <w:b/>
                <w:bCs/>
                <w:color w:val="000000"/>
                <w:sz w:val="20"/>
                <w:szCs w:val="20"/>
                <w:lang w:val="en-US"/>
              </w:rPr>
            </w:pPr>
            <w:r w:rsidRPr="00B97923">
              <w:rPr>
                <w:rFonts w:ascii="Arial" w:hAnsi="Arial" w:cs="Arial"/>
                <w:b/>
                <w:bCs/>
                <w:color w:val="000000"/>
                <w:sz w:val="20"/>
                <w:szCs w:val="20"/>
                <w:lang w:val="en-US"/>
              </w:rPr>
              <w:t>voxel size</w:t>
            </w:r>
          </w:p>
        </w:tc>
        <w:tc>
          <w:tcPr>
            <w:tcW w:w="851" w:type="dxa"/>
            <w:tcBorders>
              <w:top w:val="nil"/>
              <w:left w:val="nil"/>
              <w:bottom w:val="nil"/>
              <w:right w:val="nil"/>
            </w:tcBorders>
            <w:shd w:val="clear" w:color="000000" w:fill="FFFFFF"/>
            <w:vAlign w:val="bottom"/>
            <w:hideMark/>
          </w:tcPr>
          <w:p w14:paraId="28AEE1C6" w14:textId="77777777" w:rsidR="00D26B38" w:rsidRPr="00B97923" w:rsidRDefault="00D26B38" w:rsidP="00FD50D7">
            <w:pPr>
              <w:rPr>
                <w:rFonts w:ascii="Arial" w:hAnsi="Arial" w:cs="Arial"/>
                <w:b/>
                <w:bCs/>
                <w:color w:val="000000"/>
                <w:sz w:val="20"/>
                <w:szCs w:val="20"/>
                <w:lang w:val="en-US"/>
              </w:rPr>
            </w:pPr>
            <w:r w:rsidRPr="00B97923">
              <w:rPr>
                <w:rFonts w:ascii="Arial" w:hAnsi="Arial" w:cs="Arial"/>
                <w:b/>
                <w:bCs/>
                <w:color w:val="000000"/>
                <w:sz w:val="20"/>
                <w:szCs w:val="20"/>
                <w:lang w:val="en-US"/>
              </w:rPr>
              <w:t>ST</w:t>
            </w:r>
          </w:p>
        </w:tc>
        <w:tc>
          <w:tcPr>
            <w:tcW w:w="697" w:type="dxa"/>
            <w:tcBorders>
              <w:top w:val="nil"/>
              <w:left w:val="nil"/>
              <w:bottom w:val="nil"/>
              <w:right w:val="nil"/>
            </w:tcBorders>
            <w:shd w:val="clear" w:color="000000" w:fill="FFFFFF"/>
            <w:vAlign w:val="bottom"/>
            <w:hideMark/>
          </w:tcPr>
          <w:p w14:paraId="58183AD3" w14:textId="77777777" w:rsidR="00D26B38" w:rsidRPr="00B97923" w:rsidRDefault="00D26B38" w:rsidP="00FD50D7">
            <w:pPr>
              <w:rPr>
                <w:rFonts w:ascii="Arial" w:hAnsi="Arial" w:cs="Arial"/>
                <w:b/>
                <w:bCs/>
                <w:color w:val="000000"/>
                <w:sz w:val="20"/>
                <w:szCs w:val="20"/>
                <w:lang w:val="en-US"/>
              </w:rPr>
            </w:pPr>
            <w:r w:rsidRPr="00B97923">
              <w:rPr>
                <w:rFonts w:ascii="Arial" w:hAnsi="Arial" w:cs="Arial"/>
                <w:b/>
                <w:bCs/>
                <w:color w:val="000000"/>
                <w:sz w:val="20"/>
                <w:szCs w:val="20"/>
                <w:lang w:val="en-US"/>
              </w:rPr>
              <w:t>slices gap</w:t>
            </w:r>
          </w:p>
        </w:tc>
      </w:tr>
      <w:tr w:rsidR="00D26B38" w:rsidRPr="00B97923" w14:paraId="3C68C590" w14:textId="77777777" w:rsidTr="007801EB">
        <w:trPr>
          <w:trHeight w:val="903"/>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F9223"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 </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14:paraId="69963BF4"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 </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14:paraId="4386E791"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96E7D0B"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13</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EBFE0E5"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September 2013 - May 2015</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7223791F"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15 min</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14:paraId="55EA827C"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0.15 mmol/kg</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209CC25D" w14:textId="77777777" w:rsidR="00D26B38" w:rsidRPr="00B97923" w:rsidRDefault="00D26B38" w:rsidP="00FD50D7">
            <w:pPr>
              <w:rPr>
                <w:rFonts w:ascii="Arial" w:hAnsi="Arial" w:cs="Arial"/>
                <w:sz w:val="20"/>
                <w:szCs w:val="20"/>
                <w:lang w:val="en-US"/>
              </w:rPr>
            </w:pPr>
            <w:proofErr w:type="spellStart"/>
            <w:r w:rsidRPr="00B97923">
              <w:rPr>
                <w:rFonts w:ascii="Arial" w:hAnsi="Arial" w:cs="Arial"/>
                <w:sz w:val="20"/>
                <w:szCs w:val="20"/>
                <w:lang w:val="en-US"/>
              </w:rPr>
              <w:t>gadobutrol</w:t>
            </w:r>
            <w:proofErr w:type="spellEnd"/>
            <w:r w:rsidRPr="00B97923">
              <w:rPr>
                <w:rFonts w:ascii="Arial" w:hAnsi="Arial" w:cs="Arial"/>
                <w:sz w:val="20"/>
                <w:szCs w:val="20"/>
                <w:lang w:val="en-US"/>
              </w:rPr>
              <w:t xml:space="preserve"> (</w:t>
            </w:r>
            <w:proofErr w:type="spellStart"/>
            <w:r w:rsidRPr="00B97923">
              <w:rPr>
                <w:rFonts w:ascii="Arial" w:hAnsi="Arial" w:cs="Arial"/>
                <w:sz w:val="20"/>
                <w:szCs w:val="20"/>
                <w:lang w:val="en-US"/>
              </w:rPr>
              <w:t>Gadovist</w:t>
            </w:r>
            <w:proofErr w:type="spellEnd"/>
            <w:r w:rsidRPr="00B97923">
              <w:rPr>
                <w:rFonts w:ascii="Arial" w:hAnsi="Arial" w:cs="Arial"/>
                <w:sz w:val="20"/>
                <w:szCs w:val="20"/>
                <w:lang w:val="en-US"/>
              </w:rPr>
              <w:t xml:space="preserve">®, </w:t>
            </w:r>
            <w:proofErr w:type="spellStart"/>
            <w:r w:rsidRPr="00B97923">
              <w:rPr>
                <w:rFonts w:ascii="Arial" w:hAnsi="Arial" w:cs="Arial"/>
                <w:sz w:val="20"/>
                <w:szCs w:val="20"/>
                <w:lang w:val="en-US"/>
              </w:rPr>
              <w:t>Gadovist</w:t>
            </w:r>
            <w:proofErr w:type="spellEnd"/>
            <w:r w:rsidRPr="00B97923">
              <w:rPr>
                <w:rFonts w:ascii="Arial" w:hAnsi="Arial" w:cs="Arial"/>
                <w:sz w:val="20"/>
                <w:szCs w:val="20"/>
                <w:lang w:val="en-US"/>
              </w:rPr>
              <w:t>; Bayer Healthcare, Germany)</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38D9322B"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PSIR</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7F6660ED"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LGE fast sequences</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14:paraId="15A164FA" w14:textId="77777777" w:rsidR="00D26B38" w:rsidRPr="00B97923" w:rsidRDefault="00D26B38" w:rsidP="00FD50D7">
            <w:pPr>
              <w:rPr>
                <w:rFonts w:ascii="Arial" w:hAnsi="Arial" w:cs="Arial"/>
                <w:sz w:val="20"/>
                <w:szCs w:val="20"/>
              </w:rPr>
            </w:pPr>
            <w:r w:rsidRPr="00B97923">
              <w:rPr>
                <w:rFonts w:ascii="Arial" w:hAnsi="Arial" w:cs="Arial"/>
                <w:sz w:val="20"/>
                <w:szCs w:val="20"/>
              </w:rPr>
              <w:t xml:space="preserve">TI 300ms, TR 10.4 </w:t>
            </w:r>
            <w:proofErr w:type="spellStart"/>
            <w:r w:rsidRPr="00B97923">
              <w:rPr>
                <w:rFonts w:ascii="Arial" w:hAnsi="Arial" w:cs="Arial"/>
                <w:sz w:val="20"/>
                <w:szCs w:val="20"/>
              </w:rPr>
              <w:t>ms</w:t>
            </w:r>
            <w:proofErr w:type="spellEnd"/>
            <w:r w:rsidRPr="00B97923">
              <w:rPr>
                <w:rFonts w:ascii="Arial" w:hAnsi="Arial" w:cs="Arial"/>
                <w:sz w:val="20"/>
                <w:szCs w:val="20"/>
              </w:rPr>
              <w:t>, TE 5.4ms, FA 30°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BAB8E7A"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350x263 mm2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F85DF59"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256x197 mm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D62B14"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1.4x1.4 mm2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3F7E9F"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7mm</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AE98A3C"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0 mm</w:t>
            </w:r>
          </w:p>
        </w:tc>
      </w:tr>
      <w:tr w:rsidR="00D26B38" w:rsidRPr="00B97923" w14:paraId="47A4A22A" w14:textId="77777777" w:rsidTr="007801EB">
        <w:trPr>
          <w:trHeight w:val="60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A6FEDC5"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25</w:t>
            </w:r>
          </w:p>
        </w:tc>
        <w:tc>
          <w:tcPr>
            <w:tcW w:w="596" w:type="dxa"/>
            <w:tcBorders>
              <w:top w:val="nil"/>
              <w:left w:val="nil"/>
              <w:bottom w:val="single" w:sz="4" w:space="0" w:color="auto"/>
              <w:right w:val="single" w:sz="4" w:space="0" w:color="auto"/>
            </w:tcBorders>
            <w:shd w:val="clear" w:color="auto" w:fill="auto"/>
            <w:noWrap/>
            <w:vAlign w:val="center"/>
            <w:hideMark/>
          </w:tcPr>
          <w:p w14:paraId="53016AD8"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 </w:t>
            </w:r>
          </w:p>
        </w:tc>
        <w:tc>
          <w:tcPr>
            <w:tcW w:w="486" w:type="dxa"/>
            <w:tcBorders>
              <w:top w:val="nil"/>
              <w:left w:val="nil"/>
              <w:bottom w:val="single" w:sz="4" w:space="0" w:color="auto"/>
              <w:right w:val="single" w:sz="4" w:space="0" w:color="auto"/>
            </w:tcBorders>
            <w:shd w:val="clear" w:color="auto" w:fill="auto"/>
            <w:noWrap/>
            <w:vAlign w:val="center"/>
            <w:hideMark/>
          </w:tcPr>
          <w:p w14:paraId="786CB6DC"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14:paraId="7DB00051"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25</w:t>
            </w:r>
          </w:p>
        </w:tc>
        <w:tc>
          <w:tcPr>
            <w:tcW w:w="1119" w:type="dxa"/>
            <w:tcBorders>
              <w:top w:val="nil"/>
              <w:left w:val="nil"/>
              <w:bottom w:val="single" w:sz="4" w:space="0" w:color="auto"/>
              <w:right w:val="single" w:sz="4" w:space="0" w:color="auto"/>
            </w:tcBorders>
            <w:shd w:val="clear" w:color="auto" w:fill="auto"/>
            <w:vAlign w:val="center"/>
            <w:hideMark/>
          </w:tcPr>
          <w:p w14:paraId="640920EE"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August 2018 - June 2019</w:t>
            </w:r>
          </w:p>
        </w:tc>
        <w:tc>
          <w:tcPr>
            <w:tcW w:w="1007" w:type="dxa"/>
            <w:tcBorders>
              <w:top w:val="nil"/>
              <w:left w:val="nil"/>
              <w:bottom w:val="single" w:sz="4" w:space="0" w:color="auto"/>
              <w:right w:val="single" w:sz="4" w:space="0" w:color="auto"/>
            </w:tcBorders>
            <w:shd w:val="clear" w:color="auto" w:fill="auto"/>
            <w:vAlign w:val="center"/>
            <w:hideMark/>
          </w:tcPr>
          <w:p w14:paraId="4D412DE4"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15 min</w:t>
            </w:r>
          </w:p>
        </w:tc>
        <w:tc>
          <w:tcPr>
            <w:tcW w:w="1048" w:type="dxa"/>
            <w:tcBorders>
              <w:top w:val="nil"/>
              <w:left w:val="nil"/>
              <w:bottom w:val="single" w:sz="4" w:space="0" w:color="auto"/>
              <w:right w:val="single" w:sz="4" w:space="0" w:color="auto"/>
            </w:tcBorders>
            <w:shd w:val="clear" w:color="auto" w:fill="auto"/>
            <w:vAlign w:val="center"/>
            <w:hideMark/>
          </w:tcPr>
          <w:p w14:paraId="588A5F17"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0.2 mmol/kg</w:t>
            </w:r>
          </w:p>
        </w:tc>
        <w:tc>
          <w:tcPr>
            <w:tcW w:w="1591" w:type="dxa"/>
            <w:tcBorders>
              <w:top w:val="nil"/>
              <w:left w:val="nil"/>
              <w:bottom w:val="single" w:sz="4" w:space="0" w:color="auto"/>
              <w:right w:val="single" w:sz="4" w:space="0" w:color="auto"/>
            </w:tcBorders>
            <w:shd w:val="clear" w:color="auto" w:fill="auto"/>
            <w:vAlign w:val="center"/>
            <w:hideMark/>
          </w:tcPr>
          <w:p w14:paraId="4F6ED856"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gadoteridol (</w:t>
            </w:r>
            <w:proofErr w:type="spellStart"/>
            <w:r w:rsidRPr="00B97923">
              <w:rPr>
                <w:rFonts w:ascii="Arial" w:hAnsi="Arial" w:cs="Arial"/>
                <w:sz w:val="20"/>
                <w:szCs w:val="20"/>
                <w:lang w:val="en-US"/>
              </w:rPr>
              <w:t>ProHance</w:t>
            </w:r>
            <w:proofErr w:type="spellEnd"/>
            <w:r w:rsidRPr="00B97923">
              <w:rPr>
                <w:rFonts w:ascii="Arial" w:hAnsi="Arial" w:cs="Arial"/>
                <w:sz w:val="20"/>
                <w:szCs w:val="20"/>
                <w:lang w:val="en-US"/>
              </w:rPr>
              <w:t>®, Bracco S.p.A., Milan, Italy)</w:t>
            </w:r>
          </w:p>
        </w:tc>
        <w:tc>
          <w:tcPr>
            <w:tcW w:w="752" w:type="dxa"/>
            <w:tcBorders>
              <w:top w:val="nil"/>
              <w:left w:val="nil"/>
              <w:bottom w:val="single" w:sz="4" w:space="0" w:color="auto"/>
              <w:right w:val="single" w:sz="4" w:space="0" w:color="auto"/>
            </w:tcBorders>
            <w:shd w:val="clear" w:color="auto" w:fill="auto"/>
            <w:noWrap/>
            <w:vAlign w:val="center"/>
            <w:hideMark/>
          </w:tcPr>
          <w:p w14:paraId="6A6E330E"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PSIR</w:t>
            </w:r>
          </w:p>
        </w:tc>
        <w:tc>
          <w:tcPr>
            <w:tcW w:w="1431" w:type="dxa"/>
            <w:tcBorders>
              <w:top w:val="nil"/>
              <w:left w:val="nil"/>
              <w:bottom w:val="single" w:sz="4" w:space="0" w:color="auto"/>
              <w:right w:val="single" w:sz="4" w:space="0" w:color="auto"/>
            </w:tcBorders>
            <w:shd w:val="clear" w:color="auto" w:fill="auto"/>
            <w:noWrap/>
            <w:vAlign w:val="center"/>
            <w:hideMark/>
          </w:tcPr>
          <w:p w14:paraId="20A99BCB"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SSFP sequences</w:t>
            </w:r>
          </w:p>
        </w:tc>
        <w:tc>
          <w:tcPr>
            <w:tcW w:w="2238" w:type="dxa"/>
            <w:tcBorders>
              <w:top w:val="nil"/>
              <w:left w:val="nil"/>
              <w:bottom w:val="single" w:sz="4" w:space="0" w:color="auto"/>
              <w:right w:val="single" w:sz="4" w:space="0" w:color="auto"/>
            </w:tcBorders>
            <w:shd w:val="clear" w:color="auto" w:fill="auto"/>
            <w:vAlign w:val="center"/>
            <w:hideMark/>
          </w:tcPr>
          <w:p w14:paraId="25CA9051" w14:textId="77777777" w:rsidR="00D26B38" w:rsidRPr="00B97923" w:rsidRDefault="00D26B38" w:rsidP="00FD50D7">
            <w:pPr>
              <w:rPr>
                <w:rFonts w:ascii="Arial" w:hAnsi="Arial" w:cs="Arial"/>
                <w:sz w:val="20"/>
                <w:szCs w:val="20"/>
              </w:rPr>
            </w:pPr>
            <w:r w:rsidRPr="00B97923">
              <w:rPr>
                <w:rFonts w:ascii="Arial" w:hAnsi="Arial" w:cs="Arial"/>
                <w:sz w:val="20"/>
                <w:szCs w:val="20"/>
              </w:rPr>
              <w:t xml:space="preserve">TI 240 </w:t>
            </w:r>
            <w:proofErr w:type="spellStart"/>
            <w:r w:rsidRPr="00B97923">
              <w:rPr>
                <w:rFonts w:ascii="Arial" w:hAnsi="Arial" w:cs="Arial"/>
                <w:sz w:val="20"/>
                <w:szCs w:val="20"/>
              </w:rPr>
              <w:t>ms</w:t>
            </w:r>
            <w:proofErr w:type="spellEnd"/>
            <w:r w:rsidRPr="00B97923">
              <w:rPr>
                <w:rFonts w:ascii="Arial" w:hAnsi="Arial" w:cs="Arial"/>
                <w:sz w:val="20"/>
                <w:szCs w:val="20"/>
              </w:rPr>
              <w:t xml:space="preserve">, TR 29.76 </w:t>
            </w:r>
            <w:proofErr w:type="spellStart"/>
            <w:r w:rsidRPr="00B97923">
              <w:rPr>
                <w:rFonts w:ascii="Arial" w:hAnsi="Arial" w:cs="Arial"/>
                <w:sz w:val="20"/>
                <w:szCs w:val="20"/>
              </w:rPr>
              <w:t>ms</w:t>
            </w:r>
            <w:proofErr w:type="spellEnd"/>
            <w:r w:rsidRPr="00B97923">
              <w:rPr>
                <w:rFonts w:ascii="Arial" w:hAnsi="Arial" w:cs="Arial"/>
                <w:sz w:val="20"/>
                <w:szCs w:val="20"/>
              </w:rPr>
              <w:t xml:space="preserve">, TE 5.17 </w:t>
            </w:r>
            <w:proofErr w:type="spellStart"/>
            <w:r w:rsidRPr="00B97923">
              <w:rPr>
                <w:rFonts w:ascii="Arial" w:hAnsi="Arial" w:cs="Arial"/>
                <w:sz w:val="20"/>
                <w:szCs w:val="20"/>
              </w:rPr>
              <w:t>ms</w:t>
            </w:r>
            <w:proofErr w:type="spellEnd"/>
            <w:r w:rsidRPr="00B97923">
              <w:rPr>
                <w:rFonts w:ascii="Arial" w:hAnsi="Arial" w:cs="Arial"/>
                <w:sz w:val="20"/>
                <w:szCs w:val="20"/>
              </w:rPr>
              <w:t>, FA 30°</w:t>
            </w:r>
          </w:p>
        </w:tc>
        <w:tc>
          <w:tcPr>
            <w:tcW w:w="1418" w:type="dxa"/>
            <w:tcBorders>
              <w:top w:val="nil"/>
              <w:left w:val="nil"/>
              <w:bottom w:val="single" w:sz="4" w:space="0" w:color="auto"/>
              <w:right w:val="single" w:sz="4" w:space="0" w:color="auto"/>
            </w:tcBorders>
            <w:shd w:val="clear" w:color="auto" w:fill="auto"/>
            <w:vAlign w:val="center"/>
            <w:hideMark/>
          </w:tcPr>
          <w:p w14:paraId="670F3789"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350x263 mm2</w:t>
            </w:r>
          </w:p>
        </w:tc>
        <w:tc>
          <w:tcPr>
            <w:tcW w:w="1559" w:type="dxa"/>
            <w:tcBorders>
              <w:top w:val="nil"/>
              <w:left w:val="nil"/>
              <w:bottom w:val="single" w:sz="4" w:space="0" w:color="auto"/>
              <w:right w:val="single" w:sz="4" w:space="0" w:color="auto"/>
            </w:tcBorders>
            <w:shd w:val="clear" w:color="auto" w:fill="auto"/>
            <w:vAlign w:val="center"/>
            <w:hideMark/>
          </w:tcPr>
          <w:p w14:paraId="4DD260E1"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256x192 mm</w:t>
            </w:r>
          </w:p>
        </w:tc>
        <w:tc>
          <w:tcPr>
            <w:tcW w:w="850" w:type="dxa"/>
            <w:tcBorders>
              <w:top w:val="nil"/>
              <w:left w:val="nil"/>
              <w:bottom w:val="single" w:sz="4" w:space="0" w:color="auto"/>
              <w:right w:val="single" w:sz="4" w:space="0" w:color="auto"/>
            </w:tcBorders>
            <w:shd w:val="clear" w:color="auto" w:fill="auto"/>
            <w:vAlign w:val="center"/>
            <w:hideMark/>
          </w:tcPr>
          <w:p w14:paraId="1ADB76FA"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1.4x1.4 mm2</w:t>
            </w:r>
          </w:p>
        </w:tc>
        <w:tc>
          <w:tcPr>
            <w:tcW w:w="851" w:type="dxa"/>
            <w:tcBorders>
              <w:top w:val="nil"/>
              <w:left w:val="nil"/>
              <w:bottom w:val="single" w:sz="4" w:space="0" w:color="auto"/>
              <w:right w:val="single" w:sz="4" w:space="0" w:color="auto"/>
            </w:tcBorders>
            <w:shd w:val="clear" w:color="auto" w:fill="auto"/>
            <w:vAlign w:val="center"/>
            <w:hideMark/>
          </w:tcPr>
          <w:p w14:paraId="70700320"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7 mm</w:t>
            </w:r>
          </w:p>
        </w:tc>
        <w:tc>
          <w:tcPr>
            <w:tcW w:w="697" w:type="dxa"/>
            <w:tcBorders>
              <w:top w:val="nil"/>
              <w:left w:val="nil"/>
              <w:bottom w:val="single" w:sz="4" w:space="0" w:color="auto"/>
              <w:right w:val="single" w:sz="4" w:space="0" w:color="auto"/>
            </w:tcBorders>
            <w:shd w:val="clear" w:color="auto" w:fill="auto"/>
            <w:vAlign w:val="center"/>
            <w:hideMark/>
          </w:tcPr>
          <w:p w14:paraId="1434C635"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0 mm</w:t>
            </w:r>
          </w:p>
        </w:tc>
      </w:tr>
      <w:tr w:rsidR="00D26B38" w:rsidRPr="00B97923" w14:paraId="32E7305E" w14:textId="77777777" w:rsidTr="007801EB">
        <w:trPr>
          <w:trHeight w:val="60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1EE06F8"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14</w:t>
            </w:r>
          </w:p>
        </w:tc>
        <w:tc>
          <w:tcPr>
            <w:tcW w:w="596" w:type="dxa"/>
            <w:tcBorders>
              <w:top w:val="nil"/>
              <w:left w:val="nil"/>
              <w:bottom w:val="single" w:sz="4" w:space="0" w:color="auto"/>
              <w:right w:val="single" w:sz="4" w:space="0" w:color="auto"/>
            </w:tcBorders>
            <w:shd w:val="clear" w:color="auto" w:fill="auto"/>
            <w:noWrap/>
            <w:vAlign w:val="center"/>
            <w:hideMark/>
          </w:tcPr>
          <w:p w14:paraId="738E062C"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 </w:t>
            </w:r>
          </w:p>
        </w:tc>
        <w:tc>
          <w:tcPr>
            <w:tcW w:w="486" w:type="dxa"/>
            <w:tcBorders>
              <w:top w:val="nil"/>
              <w:left w:val="nil"/>
              <w:bottom w:val="single" w:sz="4" w:space="0" w:color="auto"/>
              <w:right w:val="single" w:sz="4" w:space="0" w:color="auto"/>
            </w:tcBorders>
            <w:shd w:val="clear" w:color="auto" w:fill="auto"/>
            <w:noWrap/>
            <w:vAlign w:val="center"/>
            <w:hideMark/>
          </w:tcPr>
          <w:p w14:paraId="2A8FBB06"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16</w:t>
            </w:r>
          </w:p>
        </w:tc>
        <w:tc>
          <w:tcPr>
            <w:tcW w:w="567" w:type="dxa"/>
            <w:tcBorders>
              <w:top w:val="nil"/>
              <w:left w:val="nil"/>
              <w:bottom w:val="single" w:sz="4" w:space="0" w:color="auto"/>
              <w:right w:val="single" w:sz="4" w:space="0" w:color="auto"/>
            </w:tcBorders>
            <w:shd w:val="clear" w:color="auto" w:fill="auto"/>
            <w:noWrap/>
            <w:vAlign w:val="center"/>
            <w:hideMark/>
          </w:tcPr>
          <w:p w14:paraId="6706A487"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30</w:t>
            </w:r>
          </w:p>
        </w:tc>
        <w:tc>
          <w:tcPr>
            <w:tcW w:w="1119" w:type="dxa"/>
            <w:tcBorders>
              <w:top w:val="nil"/>
              <w:left w:val="nil"/>
              <w:bottom w:val="single" w:sz="4" w:space="0" w:color="auto"/>
              <w:right w:val="single" w:sz="4" w:space="0" w:color="auto"/>
            </w:tcBorders>
            <w:shd w:val="clear" w:color="auto" w:fill="auto"/>
            <w:vAlign w:val="center"/>
            <w:hideMark/>
          </w:tcPr>
          <w:p w14:paraId="04E2B699"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August 2018 - December 2020</w:t>
            </w:r>
          </w:p>
        </w:tc>
        <w:tc>
          <w:tcPr>
            <w:tcW w:w="1007" w:type="dxa"/>
            <w:tcBorders>
              <w:top w:val="nil"/>
              <w:left w:val="nil"/>
              <w:bottom w:val="single" w:sz="4" w:space="0" w:color="auto"/>
              <w:right w:val="single" w:sz="4" w:space="0" w:color="auto"/>
            </w:tcBorders>
            <w:shd w:val="clear" w:color="auto" w:fill="auto"/>
            <w:vAlign w:val="center"/>
            <w:hideMark/>
          </w:tcPr>
          <w:p w14:paraId="0883C01C"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15 min</w:t>
            </w:r>
          </w:p>
        </w:tc>
        <w:tc>
          <w:tcPr>
            <w:tcW w:w="1048" w:type="dxa"/>
            <w:tcBorders>
              <w:top w:val="nil"/>
              <w:left w:val="nil"/>
              <w:bottom w:val="single" w:sz="4" w:space="0" w:color="auto"/>
              <w:right w:val="single" w:sz="4" w:space="0" w:color="auto"/>
            </w:tcBorders>
            <w:shd w:val="clear" w:color="auto" w:fill="auto"/>
            <w:vAlign w:val="center"/>
            <w:hideMark/>
          </w:tcPr>
          <w:p w14:paraId="416DB250"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0.2 mmol/kg</w:t>
            </w:r>
          </w:p>
        </w:tc>
        <w:tc>
          <w:tcPr>
            <w:tcW w:w="1591" w:type="dxa"/>
            <w:tcBorders>
              <w:top w:val="nil"/>
              <w:left w:val="nil"/>
              <w:bottom w:val="single" w:sz="4" w:space="0" w:color="auto"/>
              <w:right w:val="single" w:sz="4" w:space="0" w:color="auto"/>
            </w:tcBorders>
            <w:shd w:val="clear" w:color="auto" w:fill="auto"/>
            <w:vAlign w:val="center"/>
            <w:hideMark/>
          </w:tcPr>
          <w:p w14:paraId="285E6D1F"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gadoteridol (</w:t>
            </w:r>
            <w:proofErr w:type="spellStart"/>
            <w:r w:rsidRPr="00B97923">
              <w:rPr>
                <w:rFonts w:ascii="Arial" w:hAnsi="Arial" w:cs="Arial"/>
                <w:sz w:val="20"/>
                <w:szCs w:val="20"/>
                <w:lang w:val="en-US"/>
              </w:rPr>
              <w:t>ProHance</w:t>
            </w:r>
            <w:proofErr w:type="spellEnd"/>
            <w:r w:rsidRPr="00B97923">
              <w:rPr>
                <w:rFonts w:ascii="Arial" w:hAnsi="Arial" w:cs="Arial"/>
                <w:sz w:val="20"/>
                <w:szCs w:val="20"/>
                <w:lang w:val="en-US"/>
              </w:rPr>
              <w:t>®, Bracco S.p.A., Milan, Italy)</w:t>
            </w:r>
          </w:p>
        </w:tc>
        <w:tc>
          <w:tcPr>
            <w:tcW w:w="752" w:type="dxa"/>
            <w:tcBorders>
              <w:top w:val="nil"/>
              <w:left w:val="nil"/>
              <w:bottom w:val="single" w:sz="4" w:space="0" w:color="auto"/>
              <w:right w:val="single" w:sz="4" w:space="0" w:color="auto"/>
            </w:tcBorders>
            <w:shd w:val="clear" w:color="auto" w:fill="auto"/>
            <w:noWrap/>
            <w:vAlign w:val="center"/>
            <w:hideMark/>
          </w:tcPr>
          <w:p w14:paraId="498D11BB"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PSIR</w:t>
            </w:r>
          </w:p>
        </w:tc>
        <w:tc>
          <w:tcPr>
            <w:tcW w:w="1431" w:type="dxa"/>
            <w:tcBorders>
              <w:top w:val="nil"/>
              <w:left w:val="nil"/>
              <w:bottom w:val="single" w:sz="4" w:space="0" w:color="auto"/>
              <w:right w:val="single" w:sz="4" w:space="0" w:color="auto"/>
            </w:tcBorders>
            <w:shd w:val="clear" w:color="auto" w:fill="auto"/>
            <w:noWrap/>
            <w:vAlign w:val="center"/>
            <w:hideMark/>
          </w:tcPr>
          <w:p w14:paraId="43EE1A1C"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SSFP sequences</w:t>
            </w:r>
          </w:p>
        </w:tc>
        <w:tc>
          <w:tcPr>
            <w:tcW w:w="2238" w:type="dxa"/>
            <w:tcBorders>
              <w:top w:val="nil"/>
              <w:left w:val="nil"/>
              <w:bottom w:val="single" w:sz="4" w:space="0" w:color="auto"/>
              <w:right w:val="single" w:sz="4" w:space="0" w:color="auto"/>
            </w:tcBorders>
            <w:shd w:val="clear" w:color="auto" w:fill="auto"/>
            <w:vAlign w:val="center"/>
            <w:hideMark/>
          </w:tcPr>
          <w:p w14:paraId="206C8295" w14:textId="77777777" w:rsidR="00D26B38" w:rsidRPr="00B97923" w:rsidRDefault="00D26B38" w:rsidP="00FD50D7">
            <w:pPr>
              <w:rPr>
                <w:rFonts w:ascii="Arial" w:hAnsi="Arial" w:cs="Arial"/>
                <w:sz w:val="20"/>
                <w:szCs w:val="20"/>
              </w:rPr>
            </w:pPr>
            <w:r w:rsidRPr="00B97923">
              <w:rPr>
                <w:rFonts w:ascii="Arial" w:hAnsi="Arial" w:cs="Arial"/>
                <w:sz w:val="20"/>
                <w:szCs w:val="20"/>
              </w:rPr>
              <w:t xml:space="preserve">TI 300ms, TR 10.2 </w:t>
            </w:r>
            <w:proofErr w:type="spellStart"/>
            <w:r w:rsidRPr="00B97923">
              <w:rPr>
                <w:rFonts w:ascii="Arial" w:hAnsi="Arial" w:cs="Arial"/>
                <w:sz w:val="20"/>
                <w:szCs w:val="20"/>
              </w:rPr>
              <w:t>ms</w:t>
            </w:r>
            <w:proofErr w:type="spellEnd"/>
            <w:r w:rsidRPr="00B97923">
              <w:rPr>
                <w:rFonts w:ascii="Arial" w:hAnsi="Arial" w:cs="Arial"/>
                <w:sz w:val="20"/>
                <w:szCs w:val="20"/>
              </w:rPr>
              <w:t xml:space="preserve">, TE 2.5 </w:t>
            </w:r>
            <w:proofErr w:type="spellStart"/>
            <w:r w:rsidRPr="00B97923">
              <w:rPr>
                <w:rFonts w:ascii="Arial" w:hAnsi="Arial" w:cs="Arial"/>
                <w:sz w:val="20"/>
                <w:szCs w:val="20"/>
              </w:rPr>
              <w:t>ms</w:t>
            </w:r>
            <w:proofErr w:type="spellEnd"/>
            <w:r w:rsidRPr="00B97923">
              <w:rPr>
                <w:rFonts w:ascii="Arial" w:hAnsi="Arial" w:cs="Arial"/>
                <w:sz w:val="20"/>
                <w:szCs w:val="20"/>
              </w:rPr>
              <w:t>, FA 30°</w:t>
            </w:r>
          </w:p>
        </w:tc>
        <w:tc>
          <w:tcPr>
            <w:tcW w:w="1418" w:type="dxa"/>
            <w:tcBorders>
              <w:top w:val="nil"/>
              <w:left w:val="nil"/>
              <w:bottom w:val="single" w:sz="4" w:space="0" w:color="auto"/>
              <w:right w:val="single" w:sz="4" w:space="0" w:color="auto"/>
            </w:tcBorders>
            <w:shd w:val="clear" w:color="auto" w:fill="auto"/>
            <w:vAlign w:val="center"/>
            <w:hideMark/>
          </w:tcPr>
          <w:p w14:paraId="7DDA62DF"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350x450 mm2</w:t>
            </w:r>
          </w:p>
        </w:tc>
        <w:tc>
          <w:tcPr>
            <w:tcW w:w="1559" w:type="dxa"/>
            <w:tcBorders>
              <w:top w:val="nil"/>
              <w:left w:val="nil"/>
              <w:bottom w:val="single" w:sz="4" w:space="0" w:color="auto"/>
              <w:right w:val="single" w:sz="4" w:space="0" w:color="auto"/>
            </w:tcBorders>
            <w:shd w:val="clear" w:color="auto" w:fill="auto"/>
            <w:vAlign w:val="center"/>
            <w:hideMark/>
          </w:tcPr>
          <w:p w14:paraId="3E0FEF8F"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256x192 mm</w:t>
            </w:r>
          </w:p>
        </w:tc>
        <w:tc>
          <w:tcPr>
            <w:tcW w:w="850" w:type="dxa"/>
            <w:tcBorders>
              <w:top w:val="nil"/>
              <w:left w:val="nil"/>
              <w:bottom w:val="single" w:sz="4" w:space="0" w:color="auto"/>
              <w:right w:val="single" w:sz="4" w:space="0" w:color="auto"/>
            </w:tcBorders>
            <w:shd w:val="clear" w:color="auto" w:fill="auto"/>
            <w:vAlign w:val="center"/>
            <w:hideMark/>
          </w:tcPr>
          <w:p w14:paraId="0466262E"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1.4x1.4 mm2</w:t>
            </w:r>
          </w:p>
        </w:tc>
        <w:tc>
          <w:tcPr>
            <w:tcW w:w="851" w:type="dxa"/>
            <w:tcBorders>
              <w:top w:val="nil"/>
              <w:left w:val="nil"/>
              <w:bottom w:val="single" w:sz="4" w:space="0" w:color="auto"/>
              <w:right w:val="single" w:sz="4" w:space="0" w:color="auto"/>
            </w:tcBorders>
            <w:shd w:val="clear" w:color="auto" w:fill="auto"/>
            <w:vAlign w:val="center"/>
            <w:hideMark/>
          </w:tcPr>
          <w:p w14:paraId="5DD37565"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7 mm</w:t>
            </w:r>
          </w:p>
        </w:tc>
        <w:tc>
          <w:tcPr>
            <w:tcW w:w="697" w:type="dxa"/>
            <w:tcBorders>
              <w:top w:val="nil"/>
              <w:left w:val="nil"/>
              <w:bottom w:val="single" w:sz="4" w:space="0" w:color="auto"/>
              <w:right w:val="single" w:sz="4" w:space="0" w:color="auto"/>
            </w:tcBorders>
            <w:shd w:val="clear" w:color="auto" w:fill="auto"/>
            <w:vAlign w:val="center"/>
            <w:hideMark/>
          </w:tcPr>
          <w:p w14:paraId="144B96DC"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0 mm</w:t>
            </w:r>
          </w:p>
        </w:tc>
      </w:tr>
      <w:tr w:rsidR="00D26B38" w:rsidRPr="00B97923" w14:paraId="34FB3FE4" w14:textId="77777777" w:rsidTr="007801EB">
        <w:trPr>
          <w:trHeight w:val="60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A3753B2"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w:t>
            </w:r>
          </w:p>
        </w:tc>
        <w:tc>
          <w:tcPr>
            <w:tcW w:w="596" w:type="dxa"/>
            <w:tcBorders>
              <w:top w:val="nil"/>
              <w:left w:val="nil"/>
              <w:bottom w:val="single" w:sz="4" w:space="0" w:color="auto"/>
              <w:right w:val="single" w:sz="4" w:space="0" w:color="auto"/>
            </w:tcBorders>
            <w:shd w:val="clear" w:color="auto" w:fill="auto"/>
            <w:noWrap/>
            <w:vAlign w:val="center"/>
            <w:hideMark/>
          </w:tcPr>
          <w:p w14:paraId="6792D3CA"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 </w:t>
            </w:r>
          </w:p>
        </w:tc>
        <w:tc>
          <w:tcPr>
            <w:tcW w:w="486" w:type="dxa"/>
            <w:tcBorders>
              <w:top w:val="nil"/>
              <w:left w:val="nil"/>
              <w:bottom w:val="single" w:sz="4" w:space="0" w:color="auto"/>
              <w:right w:val="single" w:sz="4" w:space="0" w:color="auto"/>
            </w:tcBorders>
            <w:shd w:val="clear" w:color="auto" w:fill="auto"/>
            <w:noWrap/>
            <w:vAlign w:val="center"/>
            <w:hideMark/>
          </w:tcPr>
          <w:p w14:paraId="06D3DD74"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31</w:t>
            </w:r>
          </w:p>
        </w:tc>
        <w:tc>
          <w:tcPr>
            <w:tcW w:w="567" w:type="dxa"/>
            <w:tcBorders>
              <w:top w:val="nil"/>
              <w:left w:val="nil"/>
              <w:bottom w:val="single" w:sz="4" w:space="0" w:color="auto"/>
              <w:right w:val="single" w:sz="4" w:space="0" w:color="auto"/>
            </w:tcBorders>
            <w:shd w:val="clear" w:color="auto" w:fill="auto"/>
            <w:noWrap/>
            <w:vAlign w:val="center"/>
            <w:hideMark/>
          </w:tcPr>
          <w:p w14:paraId="08E3624B"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33</w:t>
            </w:r>
          </w:p>
        </w:tc>
        <w:tc>
          <w:tcPr>
            <w:tcW w:w="1119" w:type="dxa"/>
            <w:tcBorders>
              <w:top w:val="nil"/>
              <w:left w:val="nil"/>
              <w:bottom w:val="single" w:sz="4" w:space="0" w:color="auto"/>
              <w:right w:val="single" w:sz="4" w:space="0" w:color="auto"/>
            </w:tcBorders>
            <w:shd w:val="clear" w:color="auto" w:fill="auto"/>
            <w:vAlign w:val="center"/>
            <w:hideMark/>
          </w:tcPr>
          <w:p w14:paraId="163E7EBC"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August 2020 - November 2021</w:t>
            </w:r>
          </w:p>
        </w:tc>
        <w:tc>
          <w:tcPr>
            <w:tcW w:w="1007" w:type="dxa"/>
            <w:tcBorders>
              <w:top w:val="nil"/>
              <w:left w:val="nil"/>
              <w:bottom w:val="single" w:sz="4" w:space="0" w:color="auto"/>
              <w:right w:val="single" w:sz="4" w:space="0" w:color="auto"/>
            </w:tcBorders>
            <w:shd w:val="clear" w:color="auto" w:fill="auto"/>
            <w:vAlign w:val="center"/>
            <w:hideMark/>
          </w:tcPr>
          <w:p w14:paraId="7690C191"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10-20 min</w:t>
            </w:r>
          </w:p>
        </w:tc>
        <w:tc>
          <w:tcPr>
            <w:tcW w:w="1048" w:type="dxa"/>
            <w:tcBorders>
              <w:top w:val="nil"/>
              <w:left w:val="nil"/>
              <w:bottom w:val="single" w:sz="4" w:space="0" w:color="auto"/>
              <w:right w:val="single" w:sz="4" w:space="0" w:color="auto"/>
            </w:tcBorders>
            <w:shd w:val="clear" w:color="auto" w:fill="auto"/>
            <w:vAlign w:val="center"/>
            <w:hideMark/>
          </w:tcPr>
          <w:p w14:paraId="2A5EDEA0"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 xml:space="preserve">0.2 mmol/kg </w:t>
            </w:r>
          </w:p>
        </w:tc>
        <w:tc>
          <w:tcPr>
            <w:tcW w:w="1591" w:type="dxa"/>
            <w:tcBorders>
              <w:top w:val="nil"/>
              <w:left w:val="nil"/>
              <w:bottom w:val="single" w:sz="4" w:space="0" w:color="auto"/>
              <w:right w:val="single" w:sz="4" w:space="0" w:color="auto"/>
            </w:tcBorders>
            <w:shd w:val="clear" w:color="auto" w:fill="auto"/>
            <w:vAlign w:val="center"/>
            <w:hideMark/>
          </w:tcPr>
          <w:p w14:paraId="148F58D9"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gadoteridol (</w:t>
            </w:r>
            <w:proofErr w:type="spellStart"/>
            <w:r w:rsidRPr="00B97923">
              <w:rPr>
                <w:rFonts w:ascii="Arial" w:hAnsi="Arial" w:cs="Arial"/>
                <w:sz w:val="20"/>
                <w:szCs w:val="20"/>
                <w:lang w:val="en-US"/>
              </w:rPr>
              <w:t>ProHance</w:t>
            </w:r>
            <w:proofErr w:type="spellEnd"/>
            <w:r w:rsidRPr="00B97923">
              <w:rPr>
                <w:rFonts w:ascii="Arial" w:hAnsi="Arial" w:cs="Arial"/>
                <w:sz w:val="20"/>
                <w:szCs w:val="20"/>
                <w:lang w:val="en-US"/>
              </w:rPr>
              <w:t>®, Bracco S.p.A., Milan, Italy)</w:t>
            </w:r>
          </w:p>
        </w:tc>
        <w:tc>
          <w:tcPr>
            <w:tcW w:w="752" w:type="dxa"/>
            <w:tcBorders>
              <w:top w:val="nil"/>
              <w:left w:val="nil"/>
              <w:bottom w:val="single" w:sz="4" w:space="0" w:color="auto"/>
              <w:right w:val="single" w:sz="4" w:space="0" w:color="auto"/>
            </w:tcBorders>
            <w:shd w:val="clear" w:color="auto" w:fill="auto"/>
            <w:vAlign w:val="center"/>
            <w:hideMark/>
          </w:tcPr>
          <w:p w14:paraId="5A504390"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PSIR</w:t>
            </w:r>
          </w:p>
        </w:tc>
        <w:tc>
          <w:tcPr>
            <w:tcW w:w="1431" w:type="dxa"/>
            <w:tcBorders>
              <w:top w:val="nil"/>
              <w:left w:val="nil"/>
              <w:bottom w:val="single" w:sz="4" w:space="0" w:color="auto"/>
              <w:right w:val="single" w:sz="4" w:space="0" w:color="auto"/>
            </w:tcBorders>
            <w:shd w:val="clear" w:color="auto" w:fill="auto"/>
            <w:vAlign w:val="center"/>
            <w:hideMark/>
          </w:tcPr>
          <w:p w14:paraId="543CD722"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gradient echo sequences</w:t>
            </w:r>
          </w:p>
        </w:tc>
        <w:tc>
          <w:tcPr>
            <w:tcW w:w="2238" w:type="dxa"/>
            <w:tcBorders>
              <w:top w:val="nil"/>
              <w:left w:val="nil"/>
              <w:bottom w:val="single" w:sz="4" w:space="0" w:color="auto"/>
              <w:right w:val="single" w:sz="4" w:space="0" w:color="auto"/>
            </w:tcBorders>
            <w:shd w:val="clear" w:color="auto" w:fill="auto"/>
            <w:vAlign w:val="center"/>
            <w:hideMark/>
          </w:tcPr>
          <w:p w14:paraId="3D161BCD" w14:textId="77777777" w:rsidR="00D26B38" w:rsidRPr="00B97923" w:rsidRDefault="00D26B38" w:rsidP="00FD50D7">
            <w:pPr>
              <w:rPr>
                <w:rFonts w:ascii="Arial" w:hAnsi="Arial" w:cs="Arial"/>
                <w:sz w:val="20"/>
                <w:szCs w:val="20"/>
              </w:rPr>
            </w:pPr>
            <w:r w:rsidRPr="00B97923">
              <w:rPr>
                <w:rFonts w:ascii="Arial" w:hAnsi="Arial" w:cs="Arial"/>
                <w:sz w:val="20"/>
                <w:szCs w:val="20"/>
              </w:rPr>
              <w:t xml:space="preserve">TI 240 </w:t>
            </w:r>
            <w:proofErr w:type="spellStart"/>
            <w:r w:rsidRPr="00B97923">
              <w:rPr>
                <w:rFonts w:ascii="Arial" w:hAnsi="Arial" w:cs="Arial"/>
                <w:sz w:val="20"/>
                <w:szCs w:val="20"/>
              </w:rPr>
              <w:t>ms</w:t>
            </w:r>
            <w:proofErr w:type="spellEnd"/>
            <w:r w:rsidRPr="00B97923">
              <w:rPr>
                <w:rFonts w:ascii="Arial" w:hAnsi="Arial" w:cs="Arial"/>
                <w:sz w:val="20"/>
                <w:szCs w:val="20"/>
              </w:rPr>
              <w:t xml:space="preserve">, TR 29.76 </w:t>
            </w:r>
            <w:proofErr w:type="spellStart"/>
            <w:r w:rsidRPr="00B97923">
              <w:rPr>
                <w:rFonts w:ascii="Arial" w:hAnsi="Arial" w:cs="Arial"/>
                <w:sz w:val="20"/>
                <w:szCs w:val="20"/>
              </w:rPr>
              <w:t>ms</w:t>
            </w:r>
            <w:proofErr w:type="spellEnd"/>
            <w:r w:rsidRPr="00B97923">
              <w:rPr>
                <w:rFonts w:ascii="Arial" w:hAnsi="Arial" w:cs="Arial"/>
                <w:sz w:val="20"/>
                <w:szCs w:val="20"/>
              </w:rPr>
              <w:t xml:space="preserve">, TE 5.17 </w:t>
            </w:r>
            <w:proofErr w:type="spellStart"/>
            <w:r w:rsidRPr="00B97923">
              <w:rPr>
                <w:rFonts w:ascii="Arial" w:hAnsi="Arial" w:cs="Arial"/>
                <w:sz w:val="20"/>
                <w:szCs w:val="20"/>
              </w:rPr>
              <w:t>ms</w:t>
            </w:r>
            <w:proofErr w:type="spellEnd"/>
            <w:r w:rsidRPr="00B97923">
              <w:rPr>
                <w:rFonts w:ascii="Arial" w:hAnsi="Arial" w:cs="Arial"/>
                <w:sz w:val="20"/>
                <w:szCs w:val="20"/>
              </w:rPr>
              <w:t>, FA 30°</w:t>
            </w:r>
          </w:p>
        </w:tc>
        <w:tc>
          <w:tcPr>
            <w:tcW w:w="1418" w:type="dxa"/>
            <w:tcBorders>
              <w:top w:val="nil"/>
              <w:left w:val="nil"/>
              <w:bottom w:val="single" w:sz="4" w:space="0" w:color="auto"/>
              <w:right w:val="single" w:sz="4" w:space="0" w:color="auto"/>
            </w:tcBorders>
            <w:shd w:val="clear" w:color="auto" w:fill="auto"/>
            <w:vAlign w:val="center"/>
            <w:hideMark/>
          </w:tcPr>
          <w:p w14:paraId="14356942"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350x263 mm2</w:t>
            </w:r>
          </w:p>
        </w:tc>
        <w:tc>
          <w:tcPr>
            <w:tcW w:w="1559" w:type="dxa"/>
            <w:tcBorders>
              <w:top w:val="nil"/>
              <w:left w:val="nil"/>
              <w:bottom w:val="single" w:sz="4" w:space="0" w:color="auto"/>
              <w:right w:val="single" w:sz="4" w:space="0" w:color="auto"/>
            </w:tcBorders>
            <w:shd w:val="clear" w:color="auto" w:fill="auto"/>
            <w:vAlign w:val="center"/>
            <w:hideMark/>
          </w:tcPr>
          <w:p w14:paraId="6013BE06"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256x166 mm</w:t>
            </w:r>
          </w:p>
        </w:tc>
        <w:tc>
          <w:tcPr>
            <w:tcW w:w="850" w:type="dxa"/>
            <w:tcBorders>
              <w:top w:val="nil"/>
              <w:left w:val="nil"/>
              <w:bottom w:val="single" w:sz="4" w:space="0" w:color="auto"/>
              <w:right w:val="single" w:sz="4" w:space="0" w:color="auto"/>
            </w:tcBorders>
            <w:shd w:val="clear" w:color="auto" w:fill="auto"/>
            <w:vAlign w:val="center"/>
            <w:hideMark/>
          </w:tcPr>
          <w:p w14:paraId="706DDD18"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1.4x1.4 mm2</w:t>
            </w:r>
          </w:p>
        </w:tc>
        <w:tc>
          <w:tcPr>
            <w:tcW w:w="851" w:type="dxa"/>
            <w:tcBorders>
              <w:top w:val="nil"/>
              <w:left w:val="nil"/>
              <w:bottom w:val="single" w:sz="4" w:space="0" w:color="auto"/>
              <w:right w:val="single" w:sz="4" w:space="0" w:color="auto"/>
            </w:tcBorders>
            <w:shd w:val="clear" w:color="auto" w:fill="auto"/>
            <w:vAlign w:val="center"/>
            <w:hideMark/>
          </w:tcPr>
          <w:p w14:paraId="41C7D7A8"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7 mm</w:t>
            </w:r>
          </w:p>
        </w:tc>
        <w:tc>
          <w:tcPr>
            <w:tcW w:w="697" w:type="dxa"/>
            <w:tcBorders>
              <w:top w:val="nil"/>
              <w:left w:val="nil"/>
              <w:bottom w:val="single" w:sz="4" w:space="0" w:color="auto"/>
              <w:right w:val="single" w:sz="4" w:space="0" w:color="auto"/>
            </w:tcBorders>
            <w:shd w:val="clear" w:color="auto" w:fill="auto"/>
            <w:vAlign w:val="center"/>
            <w:hideMark/>
          </w:tcPr>
          <w:p w14:paraId="2AA91E46"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0 mm</w:t>
            </w:r>
          </w:p>
        </w:tc>
      </w:tr>
      <w:tr w:rsidR="00D26B38" w:rsidRPr="00B97923" w14:paraId="34E7F80A" w14:textId="77777777" w:rsidTr="007801EB">
        <w:trPr>
          <w:trHeight w:val="60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5CEED37"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 </w:t>
            </w:r>
          </w:p>
        </w:tc>
        <w:tc>
          <w:tcPr>
            <w:tcW w:w="596" w:type="dxa"/>
            <w:tcBorders>
              <w:top w:val="nil"/>
              <w:left w:val="nil"/>
              <w:bottom w:val="single" w:sz="4" w:space="0" w:color="auto"/>
              <w:right w:val="single" w:sz="4" w:space="0" w:color="auto"/>
            </w:tcBorders>
            <w:shd w:val="clear" w:color="auto" w:fill="auto"/>
            <w:noWrap/>
            <w:vAlign w:val="center"/>
            <w:hideMark/>
          </w:tcPr>
          <w:p w14:paraId="0E6F133A"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25</w:t>
            </w:r>
          </w:p>
        </w:tc>
        <w:tc>
          <w:tcPr>
            <w:tcW w:w="486" w:type="dxa"/>
            <w:tcBorders>
              <w:top w:val="nil"/>
              <w:left w:val="nil"/>
              <w:bottom w:val="single" w:sz="4" w:space="0" w:color="auto"/>
              <w:right w:val="single" w:sz="4" w:space="0" w:color="auto"/>
            </w:tcBorders>
            <w:shd w:val="clear" w:color="auto" w:fill="auto"/>
            <w:noWrap/>
            <w:vAlign w:val="center"/>
            <w:hideMark/>
          </w:tcPr>
          <w:p w14:paraId="56414D0B"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14:paraId="223588F2"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25</w:t>
            </w:r>
          </w:p>
        </w:tc>
        <w:tc>
          <w:tcPr>
            <w:tcW w:w="1119" w:type="dxa"/>
            <w:tcBorders>
              <w:top w:val="nil"/>
              <w:left w:val="nil"/>
              <w:bottom w:val="single" w:sz="4" w:space="0" w:color="auto"/>
              <w:right w:val="single" w:sz="4" w:space="0" w:color="auto"/>
            </w:tcBorders>
            <w:shd w:val="clear" w:color="auto" w:fill="auto"/>
            <w:vAlign w:val="center"/>
            <w:hideMark/>
          </w:tcPr>
          <w:p w14:paraId="7AD37F9B"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July 2015 - October 2018</w:t>
            </w:r>
          </w:p>
        </w:tc>
        <w:tc>
          <w:tcPr>
            <w:tcW w:w="1007" w:type="dxa"/>
            <w:tcBorders>
              <w:top w:val="nil"/>
              <w:left w:val="nil"/>
              <w:bottom w:val="single" w:sz="4" w:space="0" w:color="auto"/>
              <w:right w:val="single" w:sz="4" w:space="0" w:color="auto"/>
            </w:tcBorders>
            <w:shd w:val="clear" w:color="auto" w:fill="auto"/>
            <w:vAlign w:val="center"/>
            <w:hideMark/>
          </w:tcPr>
          <w:p w14:paraId="1ED35964"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15 min</w:t>
            </w:r>
          </w:p>
        </w:tc>
        <w:tc>
          <w:tcPr>
            <w:tcW w:w="1048" w:type="dxa"/>
            <w:tcBorders>
              <w:top w:val="nil"/>
              <w:left w:val="nil"/>
              <w:bottom w:val="single" w:sz="4" w:space="0" w:color="auto"/>
              <w:right w:val="single" w:sz="4" w:space="0" w:color="auto"/>
            </w:tcBorders>
            <w:shd w:val="clear" w:color="auto" w:fill="auto"/>
            <w:vAlign w:val="center"/>
            <w:hideMark/>
          </w:tcPr>
          <w:p w14:paraId="2D192360"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0.2 mmol/kg</w:t>
            </w:r>
          </w:p>
        </w:tc>
        <w:tc>
          <w:tcPr>
            <w:tcW w:w="1591" w:type="dxa"/>
            <w:tcBorders>
              <w:top w:val="nil"/>
              <w:left w:val="nil"/>
              <w:bottom w:val="single" w:sz="4" w:space="0" w:color="auto"/>
              <w:right w:val="single" w:sz="4" w:space="0" w:color="auto"/>
            </w:tcBorders>
            <w:shd w:val="clear" w:color="auto" w:fill="auto"/>
            <w:vAlign w:val="center"/>
            <w:hideMark/>
          </w:tcPr>
          <w:p w14:paraId="386EEFBE"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gadoteridol (</w:t>
            </w:r>
            <w:proofErr w:type="spellStart"/>
            <w:r w:rsidRPr="00B97923">
              <w:rPr>
                <w:rFonts w:ascii="Arial" w:hAnsi="Arial" w:cs="Arial"/>
                <w:sz w:val="20"/>
                <w:szCs w:val="20"/>
                <w:lang w:val="en-US"/>
              </w:rPr>
              <w:t>ProHance</w:t>
            </w:r>
            <w:proofErr w:type="spellEnd"/>
            <w:r w:rsidRPr="00B97923">
              <w:rPr>
                <w:rFonts w:ascii="Arial" w:hAnsi="Arial" w:cs="Arial"/>
                <w:sz w:val="20"/>
                <w:szCs w:val="20"/>
                <w:lang w:val="en-US"/>
              </w:rPr>
              <w:t>®, Bracco S.p.A., Milan, Italy)</w:t>
            </w:r>
          </w:p>
        </w:tc>
        <w:tc>
          <w:tcPr>
            <w:tcW w:w="752" w:type="dxa"/>
            <w:tcBorders>
              <w:top w:val="nil"/>
              <w:left w:val="nil"/>
              <w:bottom w:val="single" w:sz="4" w:space="0" w:color="auto"/>
              <w:right w:val="single" w:sz="4" w:space="0" w:color="auto"/>
            </w:tcBorders>
            <w:shd w:val="clear" w:color="auto" w:fill="auto"/>
            <w:noWrap/>
            <w:vAlign w:val="center"/>
            <w:hideMark/>
          </w:tcPr>
          <w:p w14:paraId="12F02C02"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PSIR</w:t>
            </w:r>
          </w:p>
        </w:tc>
        <w:tc>
          <w:tcPr>
            <w:tcW w:w="1431" w:type="dxa"/>
            <w:tcBorders>
              <w:top w:val="nil"/>
              <w:left w:val="nil"/>
              <w:bottom w:val="single" w:sz="4" w:space="0" w:color="auto"/>
              <w:right w:val="single" w:sz="4" w:space="0" w:color="auto"/>
            </w:tcBorders>
            <w:shd w:val="clear" w:color="auto" w:fill="auto"/>
            <w:noWrap/>
            <w:vAlign w:val="center"/>
            <w:hideMark/>
          </w:tcPr>
          <w:p w14:paraId="22D5165B"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SSFP sequences</w:t>
            </w:r>
          </w:p>
        </w:tc>
        <w:tc>
          <w:tcPr>
            <w:tcW w:w="2238" w:type="dxa"/>
            <w:tcBorders>
              <w:top w:val="nil"/>
              <w:left w:val="nil"/>
              <w:bottom w:val="single" w:sz="4" w:space="0" w:color="auto"/>
              <w:right w:val="single" w:sz="4" w:space="0" w:color="auto"/>
            </w:tcBorders>
            <w:shd w:val="clear" w:color="auto" w:fill="auto"/>
            <w:vAlign w:val="center"/>
            <w:hideMark/>
          </w:tcPr>
          <w:p w14:paraId="63C75B6D" w14:textId="77777777" w:rsidR="00D26B38" w:rsidRPr="00B97923" w:rsidRDefault="00D26B38" w:rsidP="00FD50D7">
            <w:pPr>
              <w:rPr>
                <w:rFonts w:ascii="Arial" w:hAnsi="Arial" w:cs="Arial"/>
                <w:sz w:val="20"/>
                <w:szCs w:val="20"/>
              </w:rPr>
            </w:pPr>
            <w:r w:rsidRPr="00B97923">
              <w:rPr>
                <w:rFonts w:ascii="Arial" w:hAnsi="Arial" w:cs="Arial"/>
                <w:sz w:val="20"/>
                <w:szCs w:val="20"/>
              </w:rPr>
              <w:t xml:space="preserve">TI 260 </w:t>
            </w:r>
            <w:proofErr w:type="spellStart"/>
            <w:r w:rsidRPr="00B97923">
              <w:rPr>
                <w:rFonts w:ascii="Arial" w:hAnsi="Arial" w:cs="Arial"/>
                <w:sz w:val="20"/>
                <w:szCs w:val="20"/>
              </w:rPr>
              <w:t>ms</w:t>
            </w:r>
            <w:proofErr w:type="spellEnd"/>
            <w:r w:rsidRPr="00B97923">
              <w:rPr>
                <w:rFonts w:ascii="Arial" w:hAnsi="Arial" w:cs="Arial"/>
                <w:sz w:val="20"/>
                <w:szCs w:val="20"/>
              </w:rPr>
              <w:t xml:space="preserve">, TR = 7.70 </w:t>
            </w:r>
            <w:proofErr w:type="spellStart"/>
            <w:r w:rsidRPr="00B97923">
              <w:rPr>
                <w:rFonts w:ascii="Arial" w:hAnsi="Arial" w:cs="Arial"/>
                <w:sz w:val="20"/>
                <w:szCs w:val="20"/>
              </w:rPr>
              <w:t>ms</w:t>
            </w:r>
            <w:proofErr w:type="spellEnd"/>
            <w:r w:rsidRPr="00B97923">
              <w:rPr>
                <w:rFonts w:ascii="Arial" w:hAnsi="Arial" w:cs="Arial"/>
                <w:sz w:val="20"/>
                <w:szCs w:val="20"/>
              </w:rPr>
              <w:t xml:space="preserve">, TE 5.4 </w:t>
            </w:r>
            <w:proofErr w:type="spellStart"/>
            <w:r w:rsidRPr="00B97923">
              <w:rPr>
                <w:rFonts w:ascii="Arial" w:hAnsi="Arial" w:cs="Arial"/>
                <w:sz w:val="20"/>
                <w:szCs w:val="20"/>
              </w:rPr>
              <w:t>ms</w:t>
            </w:r>
            <w:proofErr w:type="spellEnd"/>
            <w:r w:rsidRPr="00B97923">
              <w:rPr>
                <w:rFonts w:ascii="Arial" w:hAnsi="Arial" w:cs="Arial"/>
                <w:sz w:val="20"/>
                <w:szCs w:val="20"/>
              </w:rPr>
              <w:t>, FA 30°</w:t>
            </w:r>
          </w:p>
        </w:tc>
        <w:tc>
          <w:tcPr>
            <w:tcW w:w="1418" w:type="dxa"/>
            <w:tcBorders>
              <w:top w:val="nil"/>
              <w:left w:val="nil"/>
              <w:bottom w:val="single" w:sz="4" w:space="0" w:color="auto"/>
              <w:right w:val="single" w:sz="4" w:space="0" w:color="auto"/>
            </w:tcBorders>
            <w:shd w:val="clear" w:color="auto" w:fill="auto"/>
            <w:vAlign w:val="center"/>
            <w:hideMark/>
          </w:tcPr>
          <w:p w14:paraId="720B518A"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350x263 mm2</w:t>
            </w:r>
          </w:p>
        </w:tc>
        <w:tc>
          <w:tcPr>
            <w:tcW w:w="1559" w:type="dxa"/>
            <w:tcBorders>
              <w:top w:val="nil"/>
              <w:left w:val="nil"/>
              <w:bottom w:val="single" w:sz="4" w:space="0" w:color="auto"/>
              <w:right w:val="single" w:sz="4" w:space="0" w:color="auto"/>
            </w:tcBorders>
            <w:shd w:val="clear" w:color="auto" w:fill="auto"/>
            <w:vAlign w:val="center"/>
            <w:hideMark/>
          </w:tcPr>
          <w:p w14:paraId="37441F62"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192x125 mm or 192x174 mm</w:t>
            </w:r>
          </w:p>
        </w:tc>
        <w:tc>
          <w:tcPr>
            <w:tcW w:w="850" w:type="dxa"/>
            <w:tcBorders>
              <w:top w:val="nil"/>
              <w:left w:val="nil"/>
              <w:bottom w:val="single" w:sz="4" w:space="0" w:color="auto"/>
              <w:right w:val="single" w:sz="4" w:space="0" w:color="auto"/>
            </w:tcBorders>
            <w:shd w:val="clear" w:color="auto" w:fill="auto"/>
            <w:vAlign w:val="center"/>
            <w:hideMark/>
          </w:tcPr>
          <w:p w14:paraId="4B74BD01"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1.4x1.4 mm2</w:t>
            </w:r>
          </w:p>
        </w:tc>
        <w:tc>
          <w:tcPr>
            <w:tcW w:w="851" w:type="dxa"/>
            <w:tcBorders>
              <w:top w:val="nil"/>
              <w:left w:val="nil"/>
              <w:bottom w:val="single" w:sz="4" w:space="0" w:color="auto"/>
              <w:right w:val="single" w:sz="4" w:space="0" w:color="auto"/>
            </w:tcBorders>
            <w:shd w:val="clear" w:color="auto" w:fill="auto"/>
            <w:vAlign w:val="center"/>
            <w:hideMark/>
          </w:tcPr>
          <w:p w14:paraId="5883B75D"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8 mm</w:t>
            </w:r>
          </w:p>
        </w:tc>
        <w:tc>
          <w:tcPr>
            <w:tcW w:w="697" w:type="dxa"/>
            <w:tcBorders>
              <w:top w:val="nil"/>
              <w:left w:val="nil"/>
              <w:bottom w:val="single" w:sz="4" w:space="0" w:color="auto"/>
              <w:right w:val="single" w:sz="4" w:space="0" w:color="auto"/>
            </w:tcBorders>
            <w:shd w:val="clear" w:color="auto" w:fill="auto"/>
            <w:vAlign w:val="center"/>
            <w:hideMark/>
          </w:tcPr>
          <w:p w14:paraId="501E491F"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0 mm</w:t>
            </w:r>
          </w:p>
        </w:tc>
      </w:tr>
      <w:tr w:rsidR="00D26B38" w:rsidRPr="00B97923" w14:paraId="584B6D0D" w14:textId="77777777" w:rsidTr="007801EB">
        <w:trPr>
          <w:trHeight w:val="903"/>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2235FF0"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 </w:t>
            </w:r>
          </w:p>
        </w:tc>
        <w:tc>
          <w:tcPr>
            <w:tcW w:w="596" w:type="dxa"/>
            <w:tcBorders>
              <w:top w:val="nil"/>
              <w:left w:val="nil"/>
              <w:bottom w:val="single" w:sz="4" w:space="0" w:color="auto"/>
              <w:right w:val="single" w:sz="4" w:space="0" w:color="auto"/>
            </w:tcBorders>
            <w:shd w:val="clear" w:color="auto" w:fill="auto"/>
            <w:noWrap/>
            <w:vAlign w:val="center"/>
            <w:hideMark/>
          </w:tcPr>
          <w:p w14:paraId="62245EE4"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31</w:t>
            </w:r>
          </w:p>
        </w:tc>
        <w:tc>
          <w:tcPr>
            <w:tcW w:w="486" w:type="dxa"/>
            <w:tcBorders>
              <w:top w:val="nil"/>
              <w:left w:val="nil"/>
              <w:bottom w:val="single" w:sz="4" w:space="0" w:color="auto"/>
              <w:right w:val="single" w:sz="4" w:space="0" w:color="auto"/>
            </w:tcBorders>
            <w:shd w:val="clear" w:color="auto" w:fill="auto"/>
            <w:noWrap/>
            <w:vAlign w:val="center"/>
            <w:hideMark/>
          </w:tcPr>
          <w:p w14:paraId="28592F77"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14:paraId="007EAB85"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31</w:t>
            </w:r>
          </w:p>
        </w:tc>
        <w:tc>
          <w:tcPr>
            <w:tcW w:w="1119" w:type="dxa"/>
            <w:tcBorders>
              <w:top w:val="nil"/>
              <w:left w:val="nil"/>
              <w:bottom w:val="single" w:sz="4" w:space="0" w:color="auto"/>
              <w:right w:val="single" w:sz="4" w:space="0" w:color="auto"/>
            </w:tcBorders>
            <w:shd w:val="clear" w:color="auto" w:fill="auto"/>
            <w:vAlign w:val="center"/>
            <w:hideMark/>
          </w:tcPr>
          <w:p w14:paraId="1686C524"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October 2015 - Dezember 2021</w:t>
            </w:r>
          </w:p>
        </w:tc>
        <w:tc>
          <w:tcPr>
            <w:tcW w:w="1007" w:type="dxa"/>
            <w:tcBorders>
              <w:top w:val="nil"/>
              <w:left w:val="nil"/>
              <w:bottom w:val="single" w:sz="4" w:space="0" w:color="auto"/>
              <w:right w:val="single" w:sz="4" w:space="0" w:color="auto"/>
            </w:tcBorders>
            <w:shd w:val="clear" w:color="auto" w:fill="auto"/>
            <w:vAlign w:val="center"/>
            <w:hideMark/>
          </w:tcPr>
          <w:p w14:paraId="4B45B5EB"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10-20 min</w:t>
            </w:r>
          </w:p>
        </w:tc>
        <w:tc>
          <w:tcPr>
            <w:tcW w:w="1048" w:type="dxa"/>
            <w:tcBorders>
              <w:top w:val="nil"/>
              <w:left w:val="nil"/>
              <w:bottom w:val="single" w:sz="4" w:space="0" w:color="auto"/>
              <w:right w:val="single" w:sz="4" w:space="0" w:color="auto"/>
            </w:tcBorders>
            <w:shd w:val="clear" w:color="auto" w:fill="auto"/>
            <w:vAlign w:val="center"/>
            <w:hideMark/>
          </w:tcPr>
          <w:p w14:paraId="4C60D46C"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 xml:space="preserve">0.2 mmol/kg </w:t>
            </w:r>
          </w:p>
        </w:tc>
        <w:tc>
          <w:tcPr>
            <w:tcW w:w="1591" w:type="dxa"/>
            <w:tcBorders>
              <w:top w:val="nil"/>
              <w:left w:val="nil"/>
              <w:bottom w:val="single" w:sz="4" w:space="0" w:color="auto"/>
              <w:right w:val="single" w:sz="4" w:space="0" w:color="auto"/>
            </w:tcBorders>
            <w:shd w:val="clear" w:color="auto" w:fill="auto"/>
            <w:vAlign w:val="center"/>
            <w:hideMark/>
          </w:tcPr>
          <w:p w14:paraId="39C1FF83" w14:textId="3173199F"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gadoteridol (</w:t>
            </w:r>
            <w:proofErr w:type="spellStart"/>
            <w:r w:rsidRPr="00B97923">
              <w:rPr>
                <w:rFonts w:ascii="Arial" w:hAnsi="Arial" w:cs="Arial"/>
                <w:sz w:val="20"/>
                <w:szCs w:val="20"/>
                <w:lang w:val="en-US"/>
              </w:rPr>
              <w:t>ProHance</w:t>
            </w:r>
            <w:proofErr w:type="spellEnd"/>
            <w:r w:rsidRPr="00B97923">
              <w:rPr>
                <w:rFonts w:ascii="Arial" w:hAnsi="Arial" w:cs="Arial"/>
                <w:sz w:val="20"/>
                <w:szCs w:val="20"/>
                <w:lang w:val="en-US"/>
              </w:rPr>
              <w:t>®, Bracco S.p.A., Milan, Italy)</w:t>
            </w:r>
          </w:p>
        </w:tc>
        <w:tc>
          <w:tcPr>
            <w:tcW w:w="752" w:type="dxa"/>
            <w:tcBorders>
              <w:top w:val="nil"/>
              <w:left w:val="nil"/>
              <w:bottom w:val="single" w:sz="4" w:space="0" w:color="auto"/>
              <w:right w:val="single" w:sz="4" w:space="0" w:color="auto"/>
            </w:tcBorders>
            <w:shd w:val="clear" w:color="auto" w:fill="auto"/>
            <w:vAlign w:val="center"/>
            <w:hideMark/>
          </w:tcPr>
          <w:p w14:paraId="62741AFB"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PSIR</w:t>
            </w:r>
          </w:p>
        </w:tc>
        <w:tc>
          <w:tcPr>
            <w:tcW w:w="1431" w:type="dxa"/>
            <w:tcBorders>
              <w:top w:val="nil"/>
              <w:left w:val="nil"/>
              <w:bottom w:val="single" w:sz="4" w:space="0" w:color="auto"/>
              <w:right w:val="single" w:sz="4" w:space="0" w:color="auto"/>
            </w:tcBorders>
            <w:shd w:val="clear" w:color="auto" w:fill="auto"/>
            <w:noWrap/>
            <w:vAlign w:val="center"/>
            <w:hideMark/>
          </w:tcPr>
          <w:p w14:paraId="1B3BF996"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SSFP sequences</w:t>
            </w:r>
          </w:p>
        </w:tc>
        <w:tc>
          <w:tcPr>
            <w:tcW w:w="2238" w:type="dxa"/>
            <w:tcBorders>
              <w:top w:val="nil"/>
              <w:left w:val="nil"/>
              <w:bottom w:val="single" w:sz="4" w:space="0" w:color="auto"/>
              <w:right w:val="single" w:sz="4" w:space="0" w:color="auto"/>
            </w:tcBorders>
            <w:shd w:val="clear" w:color="auto" w:fill="auto"/>
            <w:vAlign w:val="center"/>
            <w:hideMark/>
          </w:tcPr>
          <w:p w14:paraId="66E2A045" w14:textId="77777777" w:rsidR="00D26B38" w:rsidRPr="00B97923" w:rsidRDefault="00D26B38" w:rsidP="00FD50D7">
            <w:pPr>
              <w:rPr>
                <w:rFonts w:ascii="Arial" w:hAnsi="Arial" w:cs="Arial"/>
                <w:sz w:val="20"/>
                <w:szCs w:val="20"/>
              </w:rPr>
            </w:pPr>
            <w:r w:rsidRPr="00B97923">
              <w:rPr>
                <w:rFonts w:ascii="Arial" w:hAnsi="Arial" w:cs="Arial"/>
                <w:sz w:val="20"/>
                <w:szCs w:val="20"/>
              </w:rPr>
              <w:t xml:space="preserve">TI 240 </w:t>
            </w:r>
            <w:proofErr w:type="spellStart"/>
            <w:r w:rsidRPr="00B97923">
              <w:rPr>
                <w:rFonts w:ascii="Arial" w:hAnsi="Arial" w:cs="Arial"/>
                <w:sz w:val="20"/>
                <w:szCs w:val="20"/>
              </w:rPr>
              <w:t>ms</w:t>
            </w:r>
            <w:proofErr w:type="spellEnd"/>
            <w:r w:rsidRPr="00B97923">
              <w:rPr>
                <w:rFonts w:ascii="Arial" w:hAnsi="Arial" w:cs="Arial"/>
                <w:sz w:val="20"/>
                <w:szCs w:val="20"/>
              </w:rPr>
              <w:t xml:space="preserve">, TR 29.76 </w:t>
            </w:r>
            <w:proofErr w:type="spellStart"/>
            <w:r w:rsidRPr="00B97923">
              <w:rPr>
                <w:rFonts w:ascii="Arial" w:hAnsi="Arial" w:cs="Arial"/>
                <w:sz w:val="20"/>
                <w:szCs w:val="20"/>
              </w:rPr>
              <w:t>ms</w:t>
            </w:r>
            <w:proofErr w:type="spellEnd"/>
            <w:r w:rsidRPr="00B97923">
              <w:rPr>
                <w:rFonts w:ascii="Arial" w:hAnsi="Arial" w:cs="Arial"/>
                <w:sz w:val="20"/>
                <w:szCs w:val="20"/>
              </w:rPr>
              <w:t xml:space="preserve">, TE 5.17 </w:t>
            </w:r>
            <w:proofErr w:type="spellStart"/>
            <w:r w:rsidRPr="00B97923">
              <w:rPr>
                <w:rFonts w:ascii="Arial" w:hAnsi="Arial" w:cs="Arial"/>
                <w:sz w:val="20"/>
                <w:szCs w:val="20"/>
              </w:rPr>
              <w:t>ms</w:t>
            </w:r>
            <w:proofErr w:type="spellEnd"/>
            <w:r w:rsidRPr="00B97923">
              <w:rPr>
                <w:rFonts w:ascii="Arial" w:hAnsi="Arial" w:cs="Arial"/>
                <w:sz w:val="20"/>
                <w:szCs w:val="20"/>
              </w:rPr>
              <w:t>, FA 30°</w:t>
            </w:r>
          </w:p>
        </w:tc>
        <w:tc>
          <w:tcPr>
            <w:tcW w:w="1418" w:type="dxa"/>
            <w:tcBorders>
              <w:top w:val="nil"/>
              <w:left w:val="nil"/>
              <w:bottom w:val="single" w:sz="4" w:space="0" w:color="auto"/>
              <w:right w:val="single" w:sz="4" w:space="0" w:color="auto"/>
            </w:tcBorders>
            <w:shd w:val="clear" w:color="auto" w:fill="auto"/>
            <w:vAlign w:val="center"/>
            <w:hideMark/>
          </w:tcPr>
          <w:p w14:paraId="1F2B5A6C"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350x263 mm2</w:t>
            </w:r>
          </w:p>
        </w:tc>
        <w:tc>
          <w:tcPr>
            <w:tcW w:w="1559" w:type="dxa"/>
            <w:tcBorders>
              <w:top w:val="nil"/>
              <w:left w:val="nil"/>
              <w:bottom w:val="single" w:sz="4" w:space="0" w:color="auto"/>
              <w:right w:val="single" w:sz="4" w:space="0" w:color="auto"/>
            </w:tcBorders>
            <w:shd w:val="clear" w:color="auto" w:fill="auto"/>
            <w:vAlign w:val="center"/>
            <w:hideMark/>
          </w:tcPr>
          <w:p w14:paraId="5D38B587"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192x125 mm or 192x174 mm or</w:t>
            </w:r>
            <w:r w:rsidRPr="00B97923">
              <w:rPr>
                <w:rFonts w:ascii="Arial" w:hAnsi="Arial" w:cs="Arial"/>
                <w:sz w:val="20"/>
                <w:szCs w:val="20"/>
                <w:lang w:val="en-US"/>
              </w:rPr>
              <w:br/>
              <w:t>192x256 mm</w:t>
            </w:r>
          </w:p>
        </w:tc>
        <w:tc>
          <w:tcPr>
            <w:tcW w:w="850" w:type="dxa"/>
            <w:tcBorders>
              <w:top w:val="nil"/>
              <w:left w:val="nil"/>
              <w:bottom w:val="single" w:sz="4" w:space="0" w:color="auto"/>
              <w:right w:val="single" w:sz="4" w:space="0" w:color="auto"/>
            </w:tcBorders>
            <w:shd w:val="clear" w:color="auto" w:fill="auto"/>
            <w:vAlign w:val="center"/>
            <w:hideMark/>
          </w:tcPr>
          <w:p w14:paraId="6398E324"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1.4x1.4 mm2</w:t>
            </w:r>
          </w:p>
        </w:tc>
        <w:tc>
          <w:tcPr>
            <w:tcW w:w="851" w:type="dxa"/>
            <w:tcBorders>
              <w:top w:val="nil"/>
              <w:left w:val="nil"/>
              <w:bottom w:val="single" w:sz="4" w:space="0" w:color="auto"/>
              <w:right w:val="single" w:sz="4" w:space="0" w:color="auto"/>
            </w:tcBorders>
            <w:shd w:val="clear" w:color="auto" w:fill="auto"/>
            <w:vAlign w:val="center"/>
            <w:hideMark/>
          </w:tcPr>
          <w:p w14:paraId="7B4ED9E1"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7 mm or</w:t>
            </w:r>
            <w:r w:rsidRPr="00B97923">
              <w:rPr>
                <w:rFonts w:ascii="Arial" w:hAnsi="Arial" w:cs="Arial"/>
                <w:sz w:val="20"/>
                <w:szCs w:val="20"/>
                <w:lang w:val="en-US"/>
              </w:rPr>
              <w:br/>
              <w:t>8 mm</w:t>
            </w:r>
          </w:p>
        </w:tc>
        <w:tc>
          <w:tcPr>
            <w:tcW w:w="697" w:type="dxa"/>
            <w:tcBorders>
              <w:top w:val="nil"/>
              <w:left w:val="nil"/>
              <w:bottom w:val="single" w:sz="4" w:space="0" w:color="auto"/>
              <w:right w:val="single" w:sz="4" w:space="0" w:color="auto"/>
            </w:tcBorders>
            <w:shd w:val="clear" w:color="auto" w:fill="auto"/>
            <w:vAlign w:val="center"/>
            <w:hideMark/>
          </w:tcPr>
          <w:p w14:paraId="1B098BF8"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0 mm</w:t>
            </w:r>
          </w:p>
        </w:tc>
      </w:tr>
      <w:tr w:rsidR="00D26B38" w:rsidRPr="00B97923" w14:paraId="41DB36F3" w14:textId="77777777" w:rsidTr="007801EB">
        <w:trPr>
          <w:trHeight w:val="60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0A38242"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57</w:t>
            </w:r>
          </w:p>
        </w:tc>
        <w:tc>
          <w:tcPr>
            <w:tcW w:w="596" w:type="dxa"/>
            <w:tcBorders>
              <w:top w:val="nil"/>
              <w:left w:val="nil"/>
              <w:bottom w:val="single" w:sz="4" w:space="0" w:color="auto"/>
              <w:right w:val="single" w:sz="4" w:space="0" w:color="auto"/>
            </w:tcBorders>
            <w:shd w:val="clear" w:color="auto" w:fill="auto"/>
            <w:noWrap/>
            <w:vAlign w:val="center"/>
            <w:hideMark/>
          </w:tcPr>
          <w:p w14:paraId="7BC90573"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 </w:t>
            </w:r>
          </w:p>
        </w:tc>
        <w:tc>
          <w:tcPr>
            <w:tcW w:w="486" w:type="dxa"/>
            <w:tcBorders>
              <w:top w:val="nil"/>
              <w:left w:val="nil"/>
              <w:bottom w:val="single" w:sz="4" w:space="0" w:color="auto"/>
              <w:right w:val="single" w:sz="4" w:space="0" w:color="auto"/>
            </w:tcBorders>
            <w:shd w:val="clear" w:color="auto" w:fill="auto"/>
            <w:noWrap/>
            <w:vAlign w:val="center"/>
            <w:hideMark/>
          </w:tcPr>
          <w:p w14:paraId="69E3070F"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 </w:t>
            </w:r>
          </w:p>
        </w:tc>
        <w:tc>
          <w:tcPr>
            <w:tcW w:w="567" w:type="dxa"/>
            <w:tcBorders>
              <w:top w:val="nil"/>
              <w:left w:val="nil"/>
              <w:bottom w:val="single" w:sz="4" w:space="0" w:color="auto"/>
              <w:right w:val="single" w:sz="4" w:space="0" w:color="auto"/>
            </w:tcBorders>
            <w:shd w:val="clear" w:color="auto" w:fill="auto"/>
            <w:noWrap/>
            <w:vAlign w:val="center"/>
            <w:hideMark/>
          </w:tcPr>
          <w:p w14:paraId="4592B512"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57</w:t>
            </w:r>
          </w:p>
        </w:tc>
        <w:tc>
          <w:tcPr>
            <w:tcW w:w="1119" w:type="dxa"/>
            <w:tcBorders>
              <w:top w:val="nil"/>
              <w:left w:val="nil"/>
              <w:bottom w:val="single" w:sz="4" w:space="0" w:color="auto"/>
              <w:right w:val="single" w:sz="4" w:space="0" w:color="auto"/>
            </w:tcBorders>
            <w:shd w:val="clear" w:color="auto" w:fill="auto"/>
            <w:vAlign w:val="center"/>
            <w:hideMark/>
          </w:tcPr>
          <w:p w14:paraId="28395F96"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October 2014 - February 2016</w:t>
            </w:r>
          </w:p>
        </w:tc>
        <w:tc>
          <w:tcPr>
            <w:tcW w:w="1007" w:type="dxa"/>
            <w:tcBorders>
              <w:top w:val="nil"/>
              <w:left w:val="nil"/>
              <w:bottom w:val="single" w:sz="4" w:space="0" w:color="auto"/>
              <w:right w:val="single" w:sz="4" w:space="0" w:color="auto"/>
            </w:tcBorders>
            <w:shd w:val="clear" w:color="auto" w:fill="auto"/>
            <w:vAlign w:val="center"/>
            <w:hideMark/>
          </w:tcPr>
          <w:p w14:paraId="3C14D47C"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10-20 min</w:t>
            </w:r>
          </w:p>
        </w:tc>
        <w:tc>
          <w:tcPr>
            <w:tcW w:w="1048" w:type="dxa"/>
            <w:tcBorders>
              <w:top w:val="nil"/>
              <w:left w:val="nil"/>
              <w:bottom w:val="single" w:sz="4" w:space="0" w:color="auto"/>
              <w:right w:val="single" w:sz="4" w:space="0" w:color="auto"/>
            </w:tcBorders>
            <w:shd w:val="clear" w:color="auto" w:fill="auto"/>
            <w:vAlign w:val="center"/>
            <w:hideMark/>
          </w:tcPr>
          <w:p w14:paraId="06286E78"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0.2 mmol/kg</w:t>
            </w:r>
          </w:p>
        </w:tc>
        <w:tc>
          <w:tcPr>
            <w:tcW w:w="1591" w:type="dxa"/>
            <w:tcBorders>
              <w:top w:val="nil"/>
              <w:left w:val="nil"/>
              <w:bottom w:val="single" w:sz="4" w:space="0" w:color="auto"/>
              <w:right w:val="single" w:sz="4" w:space="0" w:color="auto"/>
            </w:tcBorders>
            <w:shd w:val="clear" w:color="auto" w:fill="auto"/>
            <w:vAlign w:val="center"/>
            <w:hideMark/>
          </w:tcPr>
          <w:p w14:paraId="5822A7C4" w14:textId="268BFB4B"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CMI: gadoteridol (</w:t>
            </w:r>
            <w:proofErr w:type="spellStart"/>
            <w:r w:rsidRPr="00B97923">
              <w:rPr>
                <w:rFonts w:ascii="Arial" w:hAnsi="Arial" w:cs="Arial"/>
                <w:sz w:val="20"/>
                <w:szCs w:val="20"/>
                <w:lang w:val="en-US"/>
              </w:rPr>
              <w:t>ProHance</w:t>
            </w:r>
            <w:proofErr w:type="spellEnd"/>
            <w:r w:rsidRPr="00B97923">
              <w:rPr>
                <w:rFonts w:ascii="Arial" w:hAnsi="Arial" w:cs="Arial"/>
                <w:sz w:val="20"/>
                <w:szCs w:val="20"/>
                <w:lang w:val="en-US"/>
              </w:rPr>
              <w:t>®, Bracco S.p.A., Milan, Italy)</w:t>
            </w:r>
          </w:p>
        </w:tc>
        <w:tc>
          <w:tcPr>
            <w:tcW w:w="752" w:type="dxa"/>
            <w:tcBorders>
              <w:top w:val="nil"/>
              <w:left w:val="nil"/>
              <w:bottom w:val="single" w:sz="4" w:space="0" w:color="auto"/>
              <w:right w:val="single" w:sz="4" w:space="0" w:color="auto"/>
            </w:tcBorders>
            <w:shd w:val="clear" w:color="auto" w:fill="auto"/>
            <w:vAlign w:val="center"/>
            <w:hideMark/>
          </w:tcPr>
          <w:p w14:paraId="448AF08E"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PSIR</w:t>
            </w:r>
          </w:p>
        </w:tc>
        <w:tc>
          <w:tcPr>
            <w:tcW w:w="1431" w:type="dxa"/>
            <w:tcBorders>
              <w:top w:val="nil"/>
              <w:left w:val="nil"/>
              <w:bottom w:val="single" w:sz="4" w:space="0" w:color="auto"/>
              <w:right w:val="single" w:sz="4" w:space="0" w:color="auto"/>
            </w:tcBorders>
            <w:shd w:val="clear" w:color="auto" w:fill="auto"/>
            <w:vAlign w:val="center"/>
            <w:hideMark/>
          </w:tcPr>
          <w:p w14:paraId="213B5613"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multi-slice 2D bSSFP-based</w:t>
            </w:r>
          </w:p>
        </w:tc>
        <w:tc>
          <w:tcPr>
            <w:tcW w:w="2238" w:type="dxa"/>
            <w:tcBorders>
              <w:top w:val="nil"/>
              <w:left w:val="nil"/>
              <w:bottom w:val="single" w:sz="4" w:space="0" w:color="auto"/>
              <w:right w:val="single" w:sz="4" w:space="0" w:color="auto"/>
            </w:tcBorders>
            <w:shd w:val="clear" w:color="auto" w:fill="auto"/>
            <w:vAlign w:val="center"/>
            <w:hideMark/>
          </w:tcPr>
          <w:p w14:paraId="7C61CC3F" w14:textId="77777777" w:rsidR="00D26B38" w:rsidRPr="00B97923" w:rsidRDefault="00D26B38" w:rsidP="00FD50D7">
            <w:pPr>
              <w:rPr>
                <w:rFonts w:ascii="Arial" w:hAnsi="Arial" w:cs="Arial"/>
                <w:sz w:val="20"/>
                <w:szCs w:val="20"/>
              </w:rPr>
            </w:pPr>
            <w:r w:rsidRPr="00B97923">
              <w:rPr>
                <w:rFonts w:ascii="Arial" w:hAnsi="Arial" w:cs="Arial"/>
                <w:sz w:val="20"/>
                <w:szCs w:val="20"/>
              </w:rPr>
              <w:t>TI 240ms, TR 29.76ms, TE 5.17ms, FA 65°</w:t>
            </w:r>
          </w:p>
        </w:tc>
        <w:tc>
          <w:tcPr>
            <w:tcW w:w="1418" w:type="dxa"/>
            <w:tcBorders>
              <w:top w:val="nil"/>
              <w:left w:val="nil"/>
              <w:bottom w:val="single" w:sz="4" w:space="0" w:color="auto"/>
              <w:right w:val="single" w:sz="4" w:space="0" w:color="auto"/>
            </w:tcBorders>
            <w:shd w:val="clear" w:color="auto" w:fill="auto"/>
            <w:vAlign w:val="center"/>
            <w:hideMark/>
          </w:tcPr>
          <w:p w14:paraId="4EE599AD" w14:textId="4FD95A0C"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350x450 mm2</w:t>
            </w:r>
          </w:p>
        </w:tc>
        <w:tc>
          <w:tcPr>
            <w:tcW w:w="1559" w:type="dxa"/>
            <w:tcBorders>
              <w:top w:val="nil"/>
              <w:left w:val="nil"/>
              <w:bottom w:val="single" w:sz="4" w:space="0" w:color="auto"/>
              <w:right w:val="single" w:sz="4" w:space="0" w:color="auto"/>
            </w:tcBorders>
            <w:shd w:val="clear" w:color="auto" w:fill="auto"/>
            <w:vAlign w:val="center"/>
            <w:hideMark/>
          </w:tcPr>
          <w:p w14:paraId="59456760" w14:textId="20CBACD2"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144x192 mm</w:t>
            </w:r>
          </w:p>
        </w:tc>
        <w:tc>
          <w:tcPr>
            <w:tcW w:w="850" w:type="dxa"/>
            <w:tcBorders>
              <w:top w:val="nil"/>
              <w:left w:val="nil"/>
              <w:bottom w:val="single" w:sz="4" w:space="0" w:color="auto"/>
              <w:right w:val="single" w:sz="4" w:space="0" w:color="auto"/>
            </w:tcBorders>
            <w:shd w:val="clear" w:color="auto" w:fill="auto"/>
            <w:vAlign w:val="center"/>
            <w:hideMark/>
          </w:tcPr>
          <w:p w14:paraId="569BAC6F"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1.4x1.4 mm2</w:t>
            </w:r>
          </w:p>
        </w:tc>
        <w:tc>
          <w:tcPr>
            <w:tcW w:w="851" w:type="dxa"/>
            <w:tcBorders>
              <w:top w:val="nil"/>
              <w:left w:val="nil"/>
              <w:bottom w:val="single" w:sz="4" w:space="0" w:color="auto"/>
              <w:right w:val="single" w:sz="4" w:space="0" w:color="auto"/>
            </w:tcBorders>
            <w:shd w:val="clear" w:color="auto" w:fill="auto"/>
            <w:vAlign w:val="center"/>
            <w:hideMark/>
          </w:tcPr>
          <w:p w14:paraId="2D330102"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7 mm</w:t>
            </w:r>
          </w:p>
        </w:tc>
        <w:tc>
          <w:tcPr>
            <w:tcW w:w="697" w:type="dxa"/>
            <w:tcBorders>
              <w:top w:val="nil"/>
              <w:left w:val="nil"/>
              <w:bottom w:val="single" w:sz="4" w:space="0" w:color="auto"/>
              <w:right w:val="single" w:sz="4" w:space="0" w:color="auto"/>
            </w:tcBorders>
            <w:shd w:val="clear" w:color="auto" w:fill="auto"/>
            <w:vAlign w:val="center"/>
            <w:hideMark/>
          </w:tcPr>
          <w:p w14:paraId="18BA65AC" w14:textId="7451664F"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0 mm</w:t>
            </w:r>
          </w:p>
        </w:tc>
      </w:tr>
      <w:tr w:rsidR="00D26B38" w:rsidRPr="00B97923" w14:paraId="4D1388D3" w14:textId="77777777" w:rsidTr="007801EB">
        <w:trPr>
          <w:trHeight w:val="921"/>
        </w:trPr>
        <w:tc>
          <w:tcPr>
            <w:tcW w:w="507" w:type="dxa"/>
            <w:tcBorders>
              <w:top w:val="single" w:sz="4" w:space="0" w:color="auto"/>
              <w:left w:val="single" w:sz="4" w:space="0" w:color="auto"/>
              <w:bottom w:val="single" w:sz="24" w:space="0" w:color="auto"/>
              <w:right w:val="single" w:sz="4" w:space="0" w:color="auto"/>
            </w:tcBorders>
            <w:shd w:val="clear" w:color="auto" w:fill="auto"/>
            <w:noWrap/>
            <w:vAlign w:val="center"/>
            <w:hideMark/>
          </w:tcPr>
          <w:p w14:paraId="11D7DC5A"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 </w:t>
            </w:r>
          </w:p>
        </w:tc>
        <w:tc>
          <w:tcPr>
            <w:tcW w:w="596" w:type="dxa"/>
            <w:tcBorders>
              <w:top w:val="single" w:sz="4" w:space="0" w:color="auto"/>
              <w:left w:val="nil"/>
              <w:bottom w:val="single" w:sz="24" w:space="0" w:color="auto"/>
              <w:right w:val="single" w:sz="4" w:space="0" w:color="auto"/>
            </w:tcBorders>
            <w:shd w:val="clear" w:color="auto" w:fill="auto"/>
            <w:noWrap/>
            <w:vAlign w:val="center"/>
            <w:hideMark/>
          </w:tcPr>
          <w:p w14:paraId="212D1488"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35</w:t>
            </w:r>
          </w:p>
        </w:tc>
        <w:tc>
          <w:tcPr>
            <w:tcW w:w="486" w:type="dxa"/>
            <w:tcBorders>
              <w:top w:val="single" w:sz="4" w:space="0" w:color="auto"/>
              <w:left w:val="nil"/>
              <w:bottom w:val="single" w:sz="24" w:space="0" w:color="auto"/>
              <w:right w:val="single" w:sz="4" w:space="0" w:color="auto"/>
            </w:tcBorders>
            <w:shd w:val="clear" w:color="auto" w:fill="auto"/>
            <w:noWrap/>
            <w:vAlign w:val="center"/>
            <w:hideMark/>
          </w:tcPr>
          <w:p w14:paraId="597962D9"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36</w:t>
            </w:r>
          </w:p>
        </w:tc>
        <w:tc>
          <w:tcPr>
            <w:tcW w:w="567" w:type="dxa"/>
            <w:tcBorders>
              <w:top w:val="single" w:sz="4" w:space="0" w:color="auto"/>
              <w:left w:val="nil"/>
              <w:bottom w:val="single" w:sz="24" w:space="0" w:color="auto"/>
              <w:right w:val="single" w:sz="4" w:space="0" w:color="auto"/>
            </w:tcBorders>
            <w:shd w:val="clear" w:color="auto" w:fill="auto"/>
            <w:noWrap/>
            <w:vAlign w:val="center"/>
            <w:hideMark/>
          </w:tcPr>
          <w:p w14:paraId="20D1F693"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71</w:t>
            </w:r>
          </w:p>
        </w:tc>
        <w:tc>
          <w:tcPr>
            <w:tcW w:w="1119" w:type="dxa"/>
            <w:tcBorders>
              <w:top w:val="single" w:sz="4" w:space="0" w:color="auto"/>
              <w:left w:val="nil"/>
              <w:bottom w:val="single" w:sz="24" w:space="0" w:color="auto"/>
              <w:right w:val="single" w:sz="4" w:space="0" w:color="auto"/>
            </w:tcBorders>
            <w:shd w:val="clear" w:color="auto" w:fill="auto"/>
            <w:vAlign w:val="center"/>
            <w:hideMark/>
          </w:tcPr>
          <w:p w14:paraId="31ED33C7"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November 2014 - July 2015</w:t>
            </w:r>
          </w:p>
        </w:tc>
        <w:tc>
          <w:tcPr>
            <w:tcW w:w="1007" w:type="dxa"/>
            <w:tcBorders>
              <w:top w:val="single" w:sz="4" w:space="0" w:color="auto"/>
              <w:left w:val="nil"/>
              <w:bottom w:val="single" w:sz="24" w:space="0" w:color="auto"/>
              <w:right w:val="single" w:sz="4" w:space="0" w:color="auto"/>
            </w:tcBorders>
            <w:shd w:val="clear" w:color="auto" w:fill="auto"/>
            <w:vAlign w:val="center"/>
            <w:hideMark/>
          </w:tcPr>
          <w:p w14:paraId="73E832FB"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10-20 min</w:t>
            </w:r>
          </w:p>
        </w:tc>
        <w:tc>
          <w:tcPr>
            <w:tcW w:w="1048" w:type="dxa"/>
            <w:tcBorders>
              <w:top w:val="single" w:sz="4" w:space="0" w:color="auto"/>
              <w:left w:val="nil"/>
              <w:bottom w:val="single" w:sz="24" w:space="0" w:color="auto"/>
              <w:right w:val="single" w:sz="4" w:space="0" w:color="auto"/>
            </w:tcBorders>
            <w:shd w:val="clear" w:color="auto" w:fill="auto"/>
            <w:vAlign w:val="center"/>
            <w:hideMark/>
          </w:tcPr>
          <w:p w14:paraId="2DF8B149"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0.1 mmol/kg or</w:t>
            </w:r>
            <w:r w:rsidRPr="00B97923">
              <w:rPr>
                <w:rFonts w:ascii="Arial" w:hAnsi="Arial" w:cs="Arial"/>
                <w:sz w:val="20"/>
                <w:szCs w:val="20"/>
                <w:lang w:val="en-US"/>
              </w:rPr>
              <w:br/>
              <w:t>0.15 mmol/kg</w:t>
            </w:r>
          </w:p>
        </w:tc>
        <w:tc>
          <w:tcPr>
            <w:tcW w:w="1591" w:type="dxa"/>
            <w:tcBorders>
              <w:top w:val="single" w:sz="4" w:space="0" w:color="auto"/>
              <w:left w:val="nil"/>
              <w:bottom w:val="single" w:sz="24" w:space="0" w:color="auto"/>
              <w:right w:val="single" w:sz="4" w:space="0" w:color="auto"/>
            </w:tcBorders>
            <w:shd w:val="clear" w:color="auto" w:fill="auto"/>
            <w:vAlign w:val="center"/>
            <w:hideMark/>
          </w:tcPr>
          <w:p w14:paraId="38B5F8CA" w14:textId="1447C9E4"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 xml:space="preserve">IHD: </w:t>
            </w:r>
            <w:r w:rsidR="008F5EFB" w:rsidRPr="00B97923">
              <w:rPr>
                <w:rFonts w:ascii="Arial" w:hAnsi="Arial" w:cs="Arial"/>
                <w:sz w:val="20"/>
                <w:szCs w:val="20"/>
                <w:lang w:val="en-US"/>
              </w:rPr>
              <w:t>gadopentetate (</w:t>
            </w:r>
            <w:proofErr w:type="spellStart"/>
            <w:r w:rsidRPr="00B97923">
              <w:rPr>
                <w:rFonts w:ascii="Arial" w:hAnsi="Arial" w:cs="Arial"/>
                <w:sz w:val="20"/>
                <w:szCs w:val="20"/>
                <w:lang w:val="en-US"/>
              </w:rPr>
              <w:t>Magnevist</w:t>
            </w:r>
            <w:proofErr w:type="spellEnd"/>
            <w:r w:rsidRPr="00B97923">
              <w:rPr>
                <w:rFonts w:ascii="Arial" w:hAnsi="Arial" w:cs="Arial"/>
                <w:sz w:val="20"/>
                <w:szCs w:val="20"/>
                <w:lang w:val="en-US"/>
              </w:rPr>
              <w:t>®, Bayer Healthcare, Wayne, New Jersey, USA)</w:t>
            </w:r>
          </w:p>
        </w:tc>
        <w:tc>
          <w:tcPr>
            <w:tcW w:w="752" w:type="dxa"/>
            <w:tcBorders>
              <w:top w:val="single" w:sz="4" w:space="0" w:color="auto"/>
              <w:left w:val="nil"/>
              <w:bottom w:val="single" w:sz="24" w:space="0" w:color="auto"/>
              <w:right w:val="single" w:sz="4" w:space="0" w:color="auto"/>
            </w:tcBorders>
            <w:shd w:val="clear" w:color="auto" w:fill="auto"/>
            <w:vAlign w:val="center"/>
            <w:hideMark/>
          </w:tcPr>
          <w:p w14:paraId="38162ADC"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PSIR</w:t>
            </w:r>
          </w:p>
        </w:tc>
        <w:tc>
          <w:tcPr>
            <w:tcW w:w="1431" w:type="dxa"/>
            <w:tcBorders>
              <w:top w:val="single" w:sz="4" w:space="0" w:color="auto"/>
              <w:left w:val="nil"/>
              <w:bottom w:val="single" w:sz="24" w:space="0" w:color="auto"/>
              <w:right w:val="single" w:sz="4" w:space="0" w:color="auto"/>
            </w:tcBorders>
            <w:shd w:val="clear" w:color="auto" w:fill="auto"/>
            <w:vAlign w:val="center"/>
            <w:hideMark/>
          </w:tcPr>
          <w:p w14:paraId="45770CB8"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multi-slice 2D bSSFP-based</w:t>
            </w:r>
          </w:p>
        </w:tc>
        <w:tc>
          <w:tcPr>
            <w:tcW w:w="2238" w:type="dxa"/>
            <w:tcBorders>
              <w:top w:val="single" w:sz="4" w:space="0" w:color="auto"/>
              <w:left w:val="nil"/>
              <w:bottom w:val="single" w:sz="24" w:space="0" w:color="auto"/>
              <w:right w:val="single" w:sz="4" w:space="0" w:color="auto"/>
            </w:tcBorders>
            <w:shd w:val="clear" w:color="auto" w:fill="auto"/>
            <w:vAlign w:val="center"/>
            <w:hideMark/>
          </w:tcPr>
          <w:p w14:paraId="032FBDAC" w14:textId="77777777" w:rsidR="00D26B38" w:rsidRPr="00B97923" w:rsidRDefault="00D26B38" w:rsidP="00FD50D7">
            <w:pPr>
              <w:rPr>
                <w:rFonts w:ascii="Arial" w:hAnsi="Arial" w:cs="Arial"/>
                <w:sz w:val="20"/>
                <w:szCs w:val="20"/>
              </w:rPr>
            </w:pPr>
            <w:r w:rsidRPr="00B97923">
              <w:rPr>
                <w:rFonts w:ascii="Arial" w:hAnsi="Arial" w:cs="Arial"/>
                <w:sz w:val="20"/>
                <w:szCs w:val="20"/>
              </w:rPr>
              <w:t>TI 240ms, TR 29.76ms, TE 5.17ms, FA 65°</w:t>
            </w:r>
          </w:p>
        </w:tc>
        <w:tc>
          <w:tcPr>
            <w:tcW w:w="1418" w:type="dxa"/>
            <w:tcBorders>
              <w:top w:val="single" w:sz="4" w:space="0" w:color="auto"/>
              <w:left w:val="nil"/>
              <w:bottom w:val="single" w:sz="24" w:space="0" w:color="auto"/>
              <w:right w:val="single" w:sz="4" w:space="0" w:color="auto"/>
            </w:tcBorders>
            <w:shd w:val="clear" w:color="auto" w:fill="auto"/>
            <w:vAlign w:val="center"/>
            <w:hideMark/>
          </w:tcPr>
          <w:p w14:paraId="598C2641" w14:textId="6FC8311F"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350x450 mm2</w:t>
            </w:r>
          </w:p>
        </w:tc>
        <w:tc>
          <w:tcPr>
            <w:tcW w:w="1559" w:type="dxa"/>
            <w:tcBorders>
              <w:top w:val="single" w:sz="4" w:space="0" w:color="auto"/>
              <w:left w:val="nil"/>
              <w:bottom w:val="single" w:sz="24" w:space="0" w:color="auto"/>
              <w:right w:val="single" w:sz="4" w:space="0" w:color="auto"/>
            </w:tcBorders>
            <w:shd w:val="clear" w:color="auto" w:fill="auto"/>
            <w:vAlign w:val="center"/>
            <w:hideMark/>
          </w:tcPr>
          <w:p w14:paraId="70A48359" w14:textId="4559575B"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144x192 mm</w:t>
            </w:r>
          </w:p>
        </w:tc>
        <w:tc>
          <w:tcPr>
            <w:tcW w:w="850" w:type="dxa"/>
            <w:tcBorders>
              <w:top w:val="single" w:sz="4" w:space="0" w:color="auto"/>
              <w:left w:val="nil"/>
              <w:bottom w:val="single" w:sz="24" w:space="0" w:color="auto"/>
              <w:right w:val="single" w:sz="4" w:space="0" w:color="auto"/>
            </w:tcBorders>
            <w:shd w:val="clear" w:color="auto" w:fill="auto"/>
            <w:vAlign w:val="center"/>
            <w:hideMark/>
          </w:tcPr>
          <w:p w14:paraId="724FE836" w14:textId="276A93AC"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1.4x1.4 mm2</w:t>
            </w:r>
          </w:p>
        </w:tc>
        <w:tc>
          <w:tcPr>
            <w:tcW w:w="851" w:type="dxa"/>
            <w:tcBorders>
              <w:top w:val="single" w:sz="4" w:space="0" w:color="auto"/>
              <w:left w:val="nil"/>
              <w:bottom w:val="single" w:sz="24" w:space="0" w:color="auto"/>
              <w:right w:val="single" w:sz="4" w:space="0" w:color="auto"/>
            </w:tcBorders>
            <w:shd w:val="clear" w:color="auto" w:fill="auto"/>
            <w:vAlign w:val="center"/>
            <w:hideMark/>
          </w:tcPr>
          <w:p w14:paraId="7E8C5B9F"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7 mm</w:t>
            </w:r>
          </w:p>
        </w:tc>
        <w:tc>
          <w:tcPr>
            <w:tcW w:w="697" w:type="dxa"/>
            <w:tcBorders>
              <w:top w:val="single" w:sz="4" w:space="0" w:color="auto"/>
              <w:left w:val="nil"/>
              <w:bottom w:val="single" w:sz="24" w:space="0" w:color="auto"/>
              <w:right w:val="single" w:sz="4" w:space="0" w:color="auto"/>
            </w:tcBorders>
            <w:shd w:val="clear" w:color="auto" w:fill="auto"/>
            <w:vAlign w:val="center"/>
            <w:hideMark/>
          </w:tcPr>
          <w:p w14:paraId="69A3D447" w14:textId="5B7E337D"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0 mm</w:t>
            </w:r>
          </w:p>
        </w:tc>
      </w:tr>
      <w:tr w:rsidR="007801EB" w:rsidRPr="00B97923" w14:paraId="73C1AD79" w14:textId="77777777" w:rsidTr="007801EB">
        <w:trPr>
          <w:trHeight w:val="282"/>
        </w:trPr>
        <w:tc>
          <w:tcPr>
            <w:tcW w:w="507" w:type="dxa"/>
            <w:tcBorders>
              <w:top w:val="single" w:sz="24" w:space="0" w:color="auto"/>
              <w:left w:val="nil"/>
              <w:bottom w:val="single" w:sz="8" w:space="0" w:color="auto"/>
              <w:right w:val="nil"/>
            </w:tcBorders>
            <w:shd w:val="clear" w:color="000000" w:fill="FFFFFF"/>
            <w:noWrap/>
            <w:vAlign w:val="bottom"/>
            <w:hideMark/>
          </w:tcPr>
          <w:p w14:paraId="0174E91D" w14:textId="77777777" w:rsidR="00D26B38" w:rsidRPr="00B97923" w:rsidRDefault="00D26B38" w:rsidP="00FD50D7">
            <w:pPr>
              <w:jc w:val="center"/>
              <w:rPr>
                <w:rFonts w:ascii="Arial" w:hAnsi="Arial" w:cs="Arial"/>
                <w:color w:val="000000"/>
                <w:sz w:val="20"/>
                <w:szCs w:val="20"/>
                <w:lang w:val="en-US"/>
              </w:rPr>
            </w:pPr>
            <w:r w:rsidRPr="00B97923">
              <w:rPr>
                <w:rFonts w:ascii="Arial" w:hAnsi="Arial" w:cs="Arial"/>
                <w:color w:val="000000"/>
                <w:sz w:val="20"/>
                <w:szCs w:val="20"/>
                <w:lang w:val="en-US"/>
              </w:rPr>
              <w:t>98</w:t>
            </w:r>
          </w:p>
        </w:tc>
        <w:tc>
          <w:tcPr>
            <w:tcW w:w="596" w:type="dxa"/>
            <w:tcBorders>
              <w:top w:val="single" w:sz="24" w:space="0" w:color="auto"/>
              <w:left w:val="nil"/>
              <w:bottom w:val="single" w:sz="8" w:space="0" w:color="auto"/>
              <w:right w:val="nil"/>
            </w:tcBorders>
            <w:shd w:val="clear" w:color="000000" w:fill="FFFFFF"/>
            <w:noWrap/>
            <w:vAlign w:val="bottom"/>
            <w:hideMark/>
          </w:tcPr>
          <w:p w14:paraId="7D1FA492" w14:textId="77777777" w:rsidR="00D26B38" w:rsidRPr="00B97923" w:rsidRDefault="00D26B38" w:rsidP="00FD50D7">
            <w:pPr>
              <w:jc w:val="center"/>
              <w:rPr>
                <w:rFonts w:ascii="Arial" w:hAnsi="Arial" w:cs="Arial"/>
                <w:color w:val="000000"/>
                <w:sz w:val="20"/>
                <w:szCs w:val="20"/>
                <w:lang w:val="en-US"/>
              </w:rPr>
            </w:pPr>
            <w:r w:rsidRPr="00B97923">
              <w:rPr>
                <w:rFonts w:ascii="Arial" w:hAnsi="Arial" w:cs="Arial"/>
                <w:color w:val="000000"/>
                <w:sz w:val="20"/>
                <w:szCs w:val="20"/>
                <w:lang w:val="en-US"/>
              </w:rPr>
              <w:t>91</w:t>
            </w:r>
          </w:p>
        </w:tc>
        <w:tc>
          <w:tcPr>
            <w:tcW w:w="486" w:type="dxa"/>
            <w:tcBorders>
              <w:top w:val="single" w:sz="24" w:space="0" w:color="auto"/>
              <w:left w:val="nil"/>
              <w:bottom w:val="single" w:sz="8" w:space="0" w:color="auto"/>
              <w:right w:val="nil"/>
            </w:tcBorders>
            <w:shd w:val="clear" w:color="000000" w:fill="FFFFFF"/>
            <w:noWrap/>
            <w:vAlign w:val="bottom"/>
            <w:hideMark/>
          </w:tcPr>
          <w:p w14:paraId="41F9673B" w14:textId="77777777" w:rsidR="00D26B38" w:rsidRPr="00B97923" w:rsidRDefault="00D26B38" w:rsidP="00FD50D7">
            <w:pPr>
              <w:jc w:val="center"/>
              <w:rPr>
                <w:rFonts w:ascii="Arial" w:hAnsi="Arial" w:cs="Arial"/>
                <w:color w:val="000000"/>
                <w:sz w:val="20"/>
                <w:szCs w:val="20"/>
                <w:lang w:val="en-US"/>
              </w:rPr>
            </w:pPr>
            <w:r w:rsidRPr="00B97923">
              <w:rPr>
                <w:rFonts w:ascii="Arial" w:hAnsi="Arial" w:cs="Arial"/>
                <w:color w:val="000000"/>
                <w:sz w:val="20"/>
                <w:szCs w:val="20"/>
                <w:lang w:val="en-US"/>
              </w:rPr>
              <w:t>96</w:t>
            </w:r>
          </w:p>
        </w:tc>
        <w:tc>
          <w:tcPr>
            <w:tcW w:w="567" w:type="dxa"/>
            <w:tcBorders>
              <w:top w:val="single" w:sz="24" w:space="0" w:color="auto"/>
              <w:left w:val="nil"/>
              <w:bottom w:val="single" w:sz="8" w:space="0" w:color="auto"/>
              <w:right w:val="nil"/>
            </w:tcBorders>
            <w:shd w:val="clear" w:color="000000" w:fill="FFFFFF"/>
            <w:noWrap/>
            <w:vAlign w:val="bottom"/>
            <w:hideMark/>
          </w:tcPr>
          <w:p w14:paraId="17FA20EC" w14:textId="77777777" w:rsidR="00D26B38" w:rsidRPr="00B97923" w:rsidRDefault="00D26B38" w:rsidP="00FD50D7">
            <w:pPr>
              <w:jc w:val="center"/>
              <w:rPr>
                <w:rFonts w:ascii="Arial" w:hAnsi="Arial" w:cs="Arial"/>
                <w:color w:val="000000"/>
                <w:sz w:val="20"/>
                <w:szCs w:val="20"/>
                <w:lang w:val="en-US"/>
              </w:rPr>
            </w:pPr>
            <w:r w:rsidRPr="00B97923">
              <w:rPr>
                <w:rFonts w:ascii="Arial" w:hAnsi="Arial" w:cs="Arial"/>
                <w:color w:val="000000"/>
                <w:sz w:val="20"/>
                <w:szCs w:val="20"/>
                <w:lang w:val="en-US"/>
              </w:rPr>
              <w:t>285</w:t>
            </w:r>
          </w:p>
        </w:tc>
        <w:tc>
          <w:tcPr>
            <w:tcW w:w="1119" w:type="dxa"/>
            <w:tcBorders>
              <w:top w:val="single" w:sz="24" w:space="0" w:color="auto"/>
              <w:left w:val="nil"/>
              <w:right w:val="nil"/>
            </w:tcBorders>
            <w:shd w:val="clear" w:color="000000" w:fill="FFFFFF"/>
            <w:noWrap/>
            <w:vAlign w:val="bottom"/>
            <w:hideMark/>
          </w:tcPr>
          <w:p w14:paraId="71CDB315" w14:textId="77777777" w:rsidR="00D26B38" w:rsidRPr="00B97923" w:rsidRDefault="00D26B38" w:rsidP="00FD50D7">
            <w:pPr>
              <w:jc w:val="center"/>
              <w:rPr>
                <w:rFonts w:ascii="Arial" w:hAnsi="Arial" w:cs="Arial"/>
                <w:color w:val="000000"/>
                <w:sz w:val="20"/>
                <w:szCs w:val="20"/>
                <w:lang w:val="en-US"/>
              </w:rPr>
            </w:pPr>
            <w:r w:rsidRPr="00B97923">
              <w:rPr>
                <w:rFonts w:ascii="Arial" w:hAnsi="Arial" w:cs="Arial"/>
                <w:color w:val="000000"/>
                <w:sz w:val="20"/>
                <w:szCs w:val="20"/>
                <w:lang w:val="en-US"/>
              </w:rPr>
              <w:t> </w:t>
            </w:r>
          </w:p>
        </w:tc>
        <w:tc>
          <w:tcPr>
            <w:tcW w:w="1007" w:type="dxa"/>
            <w:tcBorders>
              <w:top w:val="single" w:sz="24" w:space="0" w:color="auto"/>
              <w:left w:val="nil"/>
              <w:right w:val="nil"/>
            </w:tcBorders>
            <w:shd w:val="clear" w:color="000000" w:fill="FFFFFF"/>
            <w:noWrap/>
            <w:vAlign w:val="bottom"/>
            <w:hideMark/>
          </w:tcPr>
          <w:p w14:paraId="7B5C130D" w14:textId="77777777" w:rsidR="00D26B38" w:rsidRPr="00B97923" w:rsidRDefault="00D26B38" w:rsidP="00FD50D7">
            <w:pPr>
              <w:jc w:val="center"/>
              <w:rPr>
                <w:rFonts w:ascii="Arial" w:hAnsi="Arial" w:cs="Arial"/>
                <w:color w:val="000000"/>
                <w:sz w:val="20"/>
                <w:szCs w:val="20"/>
                <w:lang w:val="en-US"/>
              </w:rPr>
            </w:pPr>
            <w:r w:rsidRPr="00B97923">
              <w:rPr>
                <w:rFonts w:ascii="Arial" w:hAnsi="Arial" w:cs="Arial"/>
                <w:color w:val="000000"/>
                <w:sz w:val="20"/>
                <w:szCs w:val="20"/>
                <w:lang w:val="en-US"/>
              </w:rPr>
              <w:t> </w:t>
            </w:r>
          </w:p>
        </w:tc>
        <w:tc>
          <w:tcPr>
            <w:tcW w:w="1048" w:type="dxa"/>
            <w:tcBorders>
              <w:top w:val="single" w:sz="24" w:space="0" w:color="auto"/>
              <w:left w:val="nil"/>
              <w:right w:val="nil"/>
            </w:tcBorders>
            <w:shd w:val="clear" w:color="000000" w:fill="FFFFFF"/>
            <w:noWrap/>
            <w:vAlign w:val="bottom"/>
            <w:hideMark/>
          </w:tcPr>
          <w:p w14:paraId="1653E59E" w14:textId="77777777" w:rsidR="00D26B38" w:rsidRPr="00B97923" w:rsidRDefault="00D26B38" w:rsidP="00FD50D7">
            <w:pPr>
              <w:jc w:val="center"/>
              <w:rPr>
                <w:rFonts w:ascii="Arial" w:hAnsi="Arial" w:cs="Arial"/>
                <w:color w:val="000000"/>
                <w:sz w:val="20"/>
                <w:szCs w:val="20"/>
                <w:lang w:val="en-US"/>
              </w:rPr>
            </w:pPr>
            <w:r w:rsidRPr="00B97923">
              <w:rPr>
                <w:rFonts w:ascii="Arial" w:hAnsi="Arial" w:cs="Arial"/>
                <w:color w:val="000000"/>
                <w:sz w:val="20"/>
                <w:szCs w:val="20"/>
                <w:lang w:val="en-US"/>
              </w:rPr>
              <w:t> </w:t>
            </w:r>
          </w:p>
        </w:tc>
        <w:tc>
          <w:tcPr>
            <w:tcW w:w="1591" w:type="dxa"/>
            <w:tcBorders>
              <w:top w:val="single" w:sz="24" w:space="0" w:color="auto"/>
              <w:left w:val="nil"/>
              <w:right w:val="nil"/>
            </w:tcBorders>
            <w:shd w:val="clear" w:color="000000" w:fill="FFFFFF"/>
            <w:noWrap/>
            <w:vAlign w:val="bottom"/>
            <w:hideMark/>
          </w:tcPr>
          <w:p w14:paraId="2B9C96AC" w14:textId="230F9759" w:rsidR="00D26B38" w:rsidRPr="00B97923" w:rsidRDefault="00D26B38" w:rsidP="00FD50D7">
            <w:pPr>
              <w:jc w:val="center"/>
              <w:rPr>
                <w:rFonts w:ascii="Arial" w:hAnsi="Arial" w:cs="Arial"/>
                <w:color w:val="000000"/>
                <w:sz w:val="20"/>
                <w:szCs w:val="20"/>
                <w:lang w:val="en-US"/>
              </w:rPr>
            </w:pPr>
            <w:r w:rsidRPr="00B97923">
              <w:rPr>
                <w:rFonts w:ascii="Arial" w:hAnsi="Arial" w:cs="Arial"/>
                <w:color w:val="000000"/>
                <w:sz w:val="20"/>
                <w:szCs w:val="20"/>
                <w:lang w:val="en-US"/>
              </w:rPr>
              <w:t> </w:t>
            </w:r>
          </w:p>
        </w:tc>
        <w:tc>
          <w:tcPr>
            <w:tcW w:w="752" w:type="dxa"/>
            <w:tcBorders>
              <w:top w:val="single" w:sz="24" w:space="0" w:color="auto"/>
              <w:left w:val="nil"/>
              <w:right w:val="nil"/>
            </w:tcBorders>
            <w:shd w:val="clear" w:color="000000" w:fill="FFFFFF"/>
            <w:noWrap/>
            <w:vAlign w:val="bottom"/>
            <w:hideMark/>
          </w:tcPr>
          <w:p w14:paraId="314D07C5" w14:textId="77777777" w:rsidR="00D26B38" w:rsidRPr="00B97923" w:rsidRDefault="00D26B38" w:rsidP="00FD50D7">
            <w:pPr>
              <w:jc w:val="center"/>
              <w:rPr>
                <w:rFonts w:ascii="Arial" w:hAnsi="Arial" w:cs="Arial"/>
                <w:color w:val="000000"/>
                <w:sz w:val="20"/>
                <w:szCs w:val="20"/>
                <w:lang w:val="en-US"/>
              </w:rPr>
            </w:pPr>
            <w:r w:rsidRPr="00B97923">
              <w:rPr>
                <w:rFonts w:ascii="Arial" w:hAnsi="Arial" w:cs="Arial"/>
                <w:color w:val="000000"/>
                <w:sz w:val="20"/>
                <w:szCs w:val="20"/>
                <w:lang w:val="en-US"/>
              </w:rPr>
              <w:t> </w:t>
            </w:r>
          </w:p>
        </w:tc>
        <w:tc>
          <w:tcPr>
            <w:tcW w:w="1431" w:type="dxa"/>
            <w:tcBorders>
              <w:top w:val="single" w:sz="24" w:space="0" w:color="auto"/>
              <w:left w:val="nil"/>
              <w:right w:val="nil"/>
            </w:tcBorders>
            <w:shd w:val="clear" w:color="000000" w:fill="FFFFFF"/>
            <w:vAlign w:val="bottom"/>
            <w:hideMark/>
          </w:tcPr>
          <w:p w14:paraId="732FEEC0" w14:textId="77777777" w:rsidR="00D26B38" w:rsidRPr="00B97923" w:rsidRDefault="00D26B38" w:rsidP="00FD50D7">
            <w:pPr>
              <w:rPr>
                <w:rFonts w:ascii="Arial" w:hAnsi="Arial" w:cs="Arial"/>
                <w:color w:val="000000"/>
                <w:sz w:val="20"/>
                <w:szCs w:val="20"/>
                <w:lang w:val="en-US"/>
              </w:rPr>
            </w:pPr>
            <w:r w:rsidRPr="00B97923">
              <w:rPr>
                <w:rFonts w:ascii="Arial" w:hAnsi="Arial" w:cs="Arial"/>
                <w:color w:val="000000"/>
                <w:sz w:val="20"/>
                <w:szCs w:val="20"/>
                <w:lang w:val="en-US"/>
              </w:rPr>
              <w:t> </w:t>
            </w:r>
          </w:p>
        </w:tc>
        <w:tc>
          <w:tcPr>
            <w:tcW w:w="2238" w:type="dxa"/>
            <w:tcBorders>
              <w:top w:val="single" w:sz="24" w:space="0" w:color="auto"/>
              <w:left w:val="nil"/>
              <w:right w:val="nil"/>
            </w:tcBorders>
            <w:shd w:val="clear" w:color="000000" w:fill="FFFFFF"/>
            <w:noWrap/>
            <w:vAlign w:val="bottom"/>
            <w:hideMark/>
          </w:tcPr>
          <w:p w14:paraId="10E721F5" w14:textId="77777777" w:rsidR="00D26B38" w:rsidRPr="00B97923" w:rsidRDefault="00D26B38" w:rsidP="00FD50D7">
            <w:pPr>
              <w:jc w:val="center"/>
              <w:rPr>
                <w:rFonts w:ascii="Arial" w:hAnsi="Arial" w:cs="Arial"/>
                <w:color w:val="000000"/>
                <w:sz w:val="20"/>
                <w:szCs w:val="20"/>
                <w:lang w:val="en-US"/>
              </w:rPr>
            </w:pPr>
            <w:r w:rsidRPr="00B97923">
              <w:rPr>
                <w:rFonts w:ascii="Arial" w:hAnsi="Arial" w:cs="Arial"/>
                <w:color w:val="000000"/>
                <w:sz w:val="20"/>
                <w:szCs w:val="20"/>
                <w:lang w:val="en-US"/>
              </w:rPr>
              <w:t> </w:t>
            </w:r>
          </w:p>
        </w:tc>
        <w:tc>
          <w:tcPr>
            <w:tcW w:w="1418" w:type="dxa"/>
            <w:tcBorders>
              <w:top w:val="single" w:sz="24" w:space="0" w:color="auto"/>
              <w:left w:val="nil"/>
              <w:right w:val="nil"/>
            </w:tcBorders>
            <w:shd w:val="clear" w:color="000000" w:fill="FFFFFF"/>
            <w:noWrap/>
            <w:vAlign w:val="bottom"/>
            <w:hideMark/>
          </w:tcPr>
          <w:p w14:paraId="0E0E5E31" w14:textId="77777777" w:rsidR="00D26B38" w:rsidRPr="00B97923" w:rsidRDefault="00D26B38" w:rsidP="00FD50D7">
            <w:pPr>
              <w:jc w:val="center"/>
              <w:rPr>
                <w:rFonts w:ascii="Arial" w:hAnsi="Arial" w:cs="Arial"/>
                <w:color w:val="000000"/>
                <w:sz w:val="20"/>
                <w:szCs w:val="20"/>
                <w:lang w:val="en-US"/>
              </w:rPr>
            </w:pPr>
            <w:r w:rsidRPr="00B97923">
              <w:rPr>
                <w:rFonts w:ascii="Arial" w:hAnsi="Arial" w:cs="Arial"/>
                <w:color w:val="000000"/>
                <w:sz w:val="20"/>
                <w:szCs w:val="20"/>
                <w:lang w:val="en-US"/>
              </w:rPr>
              <w:t> </w:t>
            </w:r>
          </w:p>
        </w:tc>
        <w:tc>
          <w:tcPr>
            <w:tcW w:w="1559" w:type="dxa"/>
            <w:tcBorders>
              <w:top w:val="single" w:sz="24" w:space="0" w:color="auto"/>
              <w:left w:val="nil"/>
              <w:right w:val="nil"/>
            </w:tcBorders>
            <w:shd w:val="clear" w:color="000000" w:fill="FFFFFF"/>
            <w:noWrap/>
            <w:vAlign w:val="bottom"/>
            <w:hideMark/>
          </w:tcPr>
          <w:p w14:paraId="58403B64" w14:textId="77777777" w:rsidR="00D26B38" w:rsidRPr="00B97923" w:rsidRDefault="00D26B38" w:rsidP="00FD50D7">
            <w:pPr>
              <w:jc w:val="center"/>
              <w:rPr>
                <w:rFonts w:ascii="Arial" w:hAnsi="Arial" w:cs="Arial"/>
                <w:color w:val="000000"/>
                <w:sz w:val="20"/>
                <w:szCs w:val="20"/>
                <w:lang w:val="en-US"/>
              </w:rPr>
            </w:pPr>
            <w:r w:rsidRPr="00B97923">
              <w:rPr>
                <w:rFonts w:ascii="Arial" w:hAnsi="Arial" w:cs="Arial"/>
                <w:color w:val="000000"/>
                <w:sz w:val="20"/>
                <w:szCs w:val="20"/>
                <w:lang w:val="en-US"/>
              </w:rPr>
              <w:t> </w:t>
            </w:r>
          </w:p>
        </w:tc>
        <w:tc>
          <w:tcPr>
            <w:tcW w:w="850" w:type="dxa"/>
            <w:tcBorders>
              <w:top w:val="single" w:sz="24" w:space="0" w:color="auto"/>
              <w:left w:val="nil"/>
              <w:right w:val="nil"/>
            </w:tcBorders>
            <w:shd w:val="clear" w:color="000000" w:fill="FFFFFF"/>
            <w:noWrap/>
            <w:vAlign w:val="bottom"/>
            <w:hideMark/>
          </w:tcPr>
          <w:p w14:paraId="33335102" w14:textId="6E0DB62A" w:rsidR="00D26B38" w:rsidRPr="00B97923" w:rsidRDefault="00D26B38" w:rsidP="00FD50D7">
            <w:pPr>
              <w:jc w:val="center"/>
              <w:rPr>
                <w:rFonts w:ascii="Arial" w:hAnsi="Arial" w:cs="Arial"/>
                <w:color w:val="000000"/>
                <w:sz w:val="20"/>
                <w:szCs w:val="20"/>
                <w:lang w:val="en-US"/>
              </w:rPr>
            </w:pPr>
            <w:r w:rsidRPr="00B97923">
              <w:rPr>
                <w:rFonts w:ascii="Arial" w:hAnsi="Arial" w:cs="Arial"/>
                <w:color w:val="000000"/>
                <w:sz w:val="20"/>
                <w:szCs w:val="20"/>
                <w:lang w:val="en-US"/>
              </w:rPr>
              <w:t> </w:t>
            </w:r>
          </w:p>
        </w:tc>
        <w:tc>
          <w:tcPr>
            <w:tcW w:w="851" w:type="dxa"/>
            <w:tcBorders>
              <w:top w:val="single" w:sz="24" w:space="0" w:color="auto"/>
              <w:left w:val="nil"/>
              <w:right w:val="nil"/>
            </w:tcBorders>
            <w:shd w:val="clear" w:color="000000" w:fill="FFFFFF"/>
            <w:noWrap/>
            <w:vAlign w:val="bottom"/>
            <w:hideMark/>
          </w:tcPr>
          <w:p w14:paraId="52B77FDC" w14:textId="77777777" w:rsidR="00D26B38" w:rsidRPr="00B97923" w:rsidRDefault="00D26B38" w:rsidP="00FD50D7">
            <w:pPr>
              <w:jc w:val="center"/>
              <w:rPr>
                <w:rFonts w:ascii="Arial" w:hAnsi="Arial" w:cs="Arial"/>
                <w:color w:val="000000"/>
                <w:sz w:val="20"/>
                <w:szCs w:val="20"/>
                <w:lang w:val="en-US"/>
              </w:rPr>
            </w:pPr>
            <w:r w:rsidRPr="00B97923">
              <w:rPr>
                <w:rFonts w:ascii="Arial" w:hAnsi="Arial" w:cs="Arial"/>
                <w:color w:val="000000"/>
                <w:sz w:val="20"/>
                <w:szCs w:val="20"/>
                <w:lang w:val="en-US"/>
              </w:rPr>
              <w:t> </w:t>
            </w:r>
          </w:p>
        </w:tc>
        <w:tc>
          <w:tcPr>
            <w:tcW w:w="697" w:type="dxa"/>
            <w:tcBorders>
              <w:top w:val="single" w:sz="24" w:space="0" w:color="auto"/>
              <w:left w:val="nil"/>
              <w:right w:val="nil"/>
            </w:tcBorders>
            <w:shd w:val="clear" w:color="000000" w:fill="FFFFFF"/>
            <w:noWrap/>
            <w:vAlign w:val="bottom"/>
            <w:hideMark/>
          </w:tcPr>
          <w:p w14:paraId="64B0F55C" w14:textId="41F9B210" w:rsidR="00D26B38" w:rsidRPr="00B97923" w:rsidRDefault="00D26B38" w:rsidP="00FD50D7">
            <w:pPr>
              <w:jc w:val="center"/>
              <w:rPr>
                <w:rFonts w:ascii="Arial" w:hAnsi="Arial" w:cs="Arial"/>
                <w:color w:val="000000"/>
                <w:sz w:val="20"/>
                <w:szCs w:val="20"/>
                <w:lang w:val="en-US"/>
              </w:rPr>
            </w:pPr>
            <w:r w:rsidRPr="00B97923">
              <w:rPr>
                <w:rFonts w:ascii="Arial" w:hAnsi="Arial" w:cs="Arial"/>
                <w:color w:val="000000"/>
                <w:sz w:val="20"/>
                <w:szCs w:val="20"/>
                <w:lang w:val="en-US"/>
              </w:rPr>
              <w:t> </w:t>
            </w:r>
          </w:p>
        </w:tc>
      </w:tr>
      <w:tr w:rsidR="008F5EFB" w:rsidRPr="00B97923" w14:paraId="40CC765A" w14:textId="77777777" w:rsidTr="007801EB">
        <w:trPr>
          <w:trHeight w:val="282"/>
        </w:trPr>
        <w:tc>
          <w:tcPr>
            <w:tcW w:w="507" w:type="dxa"/>
            <w:tcBorders>
              <w:top w:val="single" w:sz="8" w:space="0" w:color="auto"/>
              <w:left w:val="nil"/>
              <w:right w:val="nil"/>
            </w:tcBorders>
            <w:shd w:val="clear" w:color="000000" w:fill="FFFFFF"/>
            <w:noWrap/>
            <w:vAlign w:val="bottom"/>
          </w:tcPr>
          <w:p w14:paraId="386C9494" w14:textId="77777777" w:rsidR="008F5EFB" w:rsidRPr="00B97923" w:rsidRDefault="008F5EFB" w:rsidP="00FD50D7">
            <w:pPr>
              <w:jc w:val="center"/>
              <w:rPr>
                <w:rFonts w:ascii="Arial" w:hAnsi="Arial" w:cs="Arial"/>
                <w:color w:val="000000"/>
                <w:sz w:val="20"/>
                <w:szCs w:val="20"/>
                <w:lang w:val="en-US"/>
              </w:rPr>
            </w:pPr>
          </w:p>
        </w:tc>
        <w:tc>
          <w:tcPr>
            <w:tcW w:w="596" w:type="dxa"/>
            <w:tcBorders>
              <w:top w:val="single" w:sz="8" w:space="0" w:color="auto"/>
              <w:left w:val="nil"/>
              <w:right w:val="nil"/>
            </w:tcBorders>
            <w:shd w:val="clear" w:color="000000" w:fill="FFFFFF"/>
            <w:noWrap/>
            <w:vAlign w:val="bottom"/>
          </w:tcPr>
          <w:p w14:paraId="388CD4F9" w14:textId="77777777" w:rsidR="008F5EFB" w:rsidRPr="00B97923" w:rsidRDefault="008F5EFB" w:rsidP="00FD50D7">
            <w:pPr>
              <w:jc w:val="center"/>
              <w:rPr>
                <w:rFonts w:ascii="Arial" w:hAnsi="Arial" w:cs="Arial"/>
                <w:color w:val="000000"/>
                <w:sz w:val="20"/>
                <w:szCs w:val="20"/>
                <w:lang w:val="en-US"/>
              </w:rPr>
            </w:pPr>
          </w:p>
        </w:tc>
        <w:tc>
          <w:tcPr>
            <w:tcW w:w="486" w:type="dxa"/>
            <w:tcBorders>
              <w:top w:val="single" w:sz="8" w:space="0" w:color="auto"/>
              <w:left w:val="nil"/>
              <w:right w:val="nil"/>
            </w:tcBorders>
            <w:shd w:val="clear" w:color="000000" w:fill="FFFFFF"/>
            <w:noWrap/>
            <w:vAlign w:val="bottom"/>
          </w:tcPr>
          <w:p w14:paraId="0DD31AD1" w14:textId="77777777" w:rsidR="008F5EFB" w:rsidRPr="00B97923" w:rsidRDefault="008F5EFB" w:rsidP="00FD50D7">
            <w:pPr>
              <w:jc w:val="center"/>
              <w:rPr>
                <w:rFonts w:ascii="Arial" w:hAnsi="Arial" w:cs="Arial"/>
                <w:color w:val="000000"/>
                <w:sz w:val="20"/>
                <w:szCs w:val="20"/>
                <w:lang w:val="en-US"/>
              </w:rPr>
            </w:pPr>
          </w:p>
        </w:tc>
        <w:tc>
          <w:tcPr>
            <w:tcW w:w="567" w:type="dxa"/>
            <w:tcBorders>
              <w:top w:val="single" w:sz="8" w:space="0" w:color="auto"/>
              <w:left w:val="nil"/>
              <w:right w:val="nil"/>
            </w:tcBorders>
            <w:shd w:val="clear" w:color="000000" w:fill="FFFFFF"/>
            <w:noWrap/>
            <w:vAlign w:val="bottom"/>
          </w:tcPr>
          <w:p w14:paraId="76B88CE7" w14:textId="77777777" w:rsidR="008F5EFB" w:rsidRPr="00B97923" w:rsidRDefault="008F5EFB" w:rsidP="00FD50D7">
            <w:pPr>
              <w:jc w:val="center"/>
              <w:rPr>
                <w:rFonts w:ascii="Arial" w:hAnsi="Arial" w:cs="Arial"/>
                <w:color w:val="000000"/>
                <w:sz w:val="20"/>
                <w:szCs w:val="20"/>
                <w:lang w:val="en-US"/>
              </w:rPr>
            </w:pPr>
          </w:p>
        </w:tc>
        <w:tc>
          <w:tcPr>
            <w:tcW w:w="1119" w:type="dxa"/>
            <w:tcBorders>
              <w:left w:val="nil"/>
              <w:right w:val="nil"/>
            </w:tcBorders>
            <w:shd w:val="clear" w:color="000000" w:fill="FFFFFF"/>
            <w:noWrap/>
            <w:vAlign w:val="bottom"/>
          </w:tcPr>
          <w:p w14:paraId="210276FA" w14:textId="77777777" w:rsidR="008F5EFB" w:rsidRPr="00B97923" w:rsidRDefault="008F5EFB" w:rsidP="00FD50D7">
            <w:pPr>
              <w:jc w:val="center"/>
              <w:rPr>
                <w:rFonts w:ascii="Arial" w:hAnsi="Arial" w:cs="Arial"/>
                <w:color w:val="000000"/>
                <w:sz w:val="20"/>
                <w:szCs w:val="20"/>
                <w:lang w:val="en-US"/>
              </w:rPr>
            </w:pPr>
          </w:p>
        </w:tc>
        <w:tc>
          <w:tcPr>
            <w:tcW w:w="1007" w:type="dxa"/>
            <w:tcBorders>
              <w:left w:val="nil"/>
              <w:right w:val="nil"/>
            </w:tcBorders>
            <w:shd w:val="clear" w:color="000000" w:fill="FFFFFF"/>
            <w:noWrap/>
            <w:vAlign w:val="bottom"/>
          </w:tcPr>
          <w:p w14:paraId="769B0E70" w14:textId="77777777" w:rsidR="008F5EFB" w:rsidRPr="00B97923" w:rsidRDefault="008F5EFB" w:rsidP="00FD50D7">
            <w:pPr>
              <w:jc w:val="center"/>
              <w:rPr>
                <w:rFonts w:ascii="Arial" w:hAnsi="Arial" w:cs="Arial"/>
                <w:color w:val="000000"/>
                <w:sz w:val="20"/>
                <w:szCs w:val="20"/>
                <w:lang w:val="en-US"/>
              </w:rPr>
            </w:pPr>
          </w:p>
        </w:tc>
        <w:tc>
          <w:tcPr>
            <w:tcW w:w="1048" w:type="dxa"/>
            <w:tcBorders>
              <w:left w:val="nil"/>
              <w:right w:val="nil"/>
            </w:tcBorders>
            <w:shd w:val="clear" w:color="000000" w:fill="FFFFFF"/>
            <w:noWrap/>
            <w:vAlign w:val="bottom"/>
          </w:tcPr>
          <w:p w14:paraId="3585D2AD" w14:textId="77777777" w:rsidR="008F5EFB" w:rsidRPr="00B97923" w:rsidRDefault="008F5EFB" w:rsidP="00FD50D7">
            <w:pPr>
              <w:jc w:val="center"/>
              <w:rPr>
                <w:rFonts w:ascii="Arial" w:hAnsi="Arial" w:cs="Arial"/>
                <w:color w:val="000000"/>
                <w:sz w:val="20"/>
                <w:szCs w:val="20"/>
                <w:lang w:val="en-US"/>
              </w:rPr>
            </w:pPr>
          </w:p>
        </w:tc>
        <w:tc>
          <w:tcPr>
            <w:tcW w:w="1591" w:type="dxa"/>
            <w:tcBorders>
              <w:left w:val="nil"/>
              <w:right w:val="nil"/>
            </w:tcBorders>
            <w:shd w:val="clear" w:color="000000" w:fill="FFFFFF"/>
            <w:noWrap/>
            <w:vAlign w:val="bottom"/>
          </w:tcPr>
          <w:p w14:paraId="69F01794" w14:textId="77777777" w:rsidR="008F5EFB" w:rsidRPr="00B97923" w:rsidRDefault="008F5EFB" w:rsidP="00FD50D7">
            <w:pPr>
              <w:jc w:val="center"/>
              <w:rPr>
                <w:rFonts w:ascii="Arial" w:hAnsi="Arial" w:cs="Arial"/>
                <w:color w:val="000000"/>
                <w:sz w:val="20"/>
                <w:szCs w:val="20"/>
                <w:lang w:val="en-US"/>
              </w:rPr>
            </w:pPr>
          </w:p>
        </w:tc>
        <w:tc>
          <w:tcPr>
            <w:tcW w:w="752" w:type="dxa"/>
            <w:tcBorders>
              <w:left w:val="nil"/>
              <w:right w:val="nil"/>
            </w:tcBorders>
            <w:shd w:val="clear" w:color="000000" w:fill="FFFFFF"/>
            <w:noWrap/>
            <w:vAlign w:val="bottom"/>
          </w:tcPr>
          <w:p w14:paraId="3AC575B6" w14:textId="77777777" w:rsidR="008F5EFB" w:rsidRPr="00B97923" w:rsidRDefault="008F5EFB" w:rsidP="00FD50D7">
            <w:pPr>
              <w:jc w:val="center"/>
              <w:rPr>
                <w:rFonts w:ascii="Arial" w:hAnsi="Arial" w:cs="Arial"/>
                <w:color w:val="000000"/>
                <w:sz w:val="20"/>
                <w:szCs w:val="20"/>
                <w:lang w:val="en-US"/>
              </w:rPr>
            </w:pPr>
          </w:p>
        </w:tc>
        <w:tc>
          <w:tcPr>
            <w:tcW w:w="1431" w:type="dxa"/>
            <w:tcBorders>
              <w:left w:val="nil"/>
              <w:right w:val="nil"/>
            </w:tcBorders>
            <w:shd w:val="clear" w:color="000000" w:fill="FFFFFF"/>
            <w:vAlign w:val="bottom"/>
          </w:tcPr>
          <w:p w14:paraId="4441A501" w14:textId="77777777" w:rsidR="008F5EFB" w:rsidRPr="00B97923" w:rsidRDefault="008F5EFB" w:rsidP="00FD50D7">
            <w:pPr>
              <w:rPr>
                <w:rFonts w:ascii="Arial" w:hAnsi="Arial" w:cs="Arial"/>
                <w:color w:val="000000"/>
                <w:sz w:val="20"/>
                <w:szCs w:val="20"/>
                <w:lang w:val="en-US"/>
              </w:rPr>
            </w:pPr>
          </w:p>
        </w:tc>
        <w:tc>
          <w:tcPr>
            <w:tcW w:w="2238" w:type="dxa"/>
            <w:tcBorders>
              <w:left w:val="nil"/>
              <w:right w:val="nil"/>
            </w:tcBorders>
            <w:shd w:val="clear" w:color="000000" w:fill="FFFFFF"/>
            <w:noWrap/>
            <w:vAlign w:val="bottom"/>
          </w:tcPr>
          <w:p w14:paraId="2563E1B2" w14:textId="77777777" w:rsidR="008F5EFB" w:rsidRPr="00B97923" w:rsidRDefault="008F5EFB" w:rsidP="00FD50D7">
            <w:pPr>
              <w:jc w:val="center"/>
              <w:rPr>
                <w:rFonts w:ascii="Arial" w:hAnsi="Arial" w:cs="Arial"/>
                <w:color w:val="000000"/>
                <w:sz w:val="20"/>
                <w:szCs w:val="20"/>
                <w:lang w:val="en-US"/>
              </w:rPr>
            </w:pPr>
          </w:p>
        </w:tc>
        <w:tc>
          <w:tcPr>
            <w:tcW w:w="1418" w:type="dxa"/>
            <w:tcBorders>
              <w:left w:val="nil"/>
              <w:right w:val="nil"/>
            </w:tcBorders>
            <w:shd w:val="clear" w:color="000000" w:fill="FFFFFF"/>
            <w:noWrap/>
            <w:vAlign w:val="bottom"/>
          </w:tcPr>
          <w:p w14:paraId="03D62456" w14:textId="77777777" w:rsidR="008F5EFB" w:rsidRPr="00B97923" w:rsidRDefault="008F5EFB" w:rsidP="00FD50D7">
            <w:pPr>
              <w:jc w:val="center"/>
              <w:rPr>
                <w:rFonts w:ascii="Arial" w:hAnsi="Arial" w:cs="Arial"/>
                <w:color w:val="000000"/>
                <w:sz w:val="20"/>
                <w:szCs w:val="20"/>
                <w:lang w:val="en-US"/>
              </w:rPr>
            </w:pPr>
          </w:p>
        </w:tc>
        <w:tc>
          <w:tcPr>
            <w:tcW w:w="1559" w:type="dxa"/>
            <w:tcBorders>
              <w:left w:val="nil"/>
              <w:right w:val="nil"/>
            </w:tcBorders>
            <w:shd w:val="clear" w:color="000000" w:fill="FFFFFF"/>
            <w:noWrap/>
            <w:vAlign w:val="bottom"/>
          </w:tcPr>
          <w:p w14:paraId="493CB356" w14:textId="77777777" w:rsidR="008F5EFB" w:rsidRPr="00B97923" w:rsidRDefault="008F5EFB" w:rsidP="00FD50D7">
            <w:pPr>
              <w:jc w:val="center"/>
              <w:rPr>
                <w:rFonts w:ascii="Arial" w:hAnsi="Arial" w:cs="Arial"/>
                <w:color w:val="000000"/>
                <w:sz w:val="20"/>
                <w:szCs w:val="20"/>
                <w:lang w:val="en-US"/>
              </w:rPr>
            </w:pPr>
          </w:p>
        </w:tc>
        <w:tc>
          <w:tcPr>
            <w:tcW w:w="850" w:type="dxa"/>
            <w:tcBorders>
              <w:left w:val="nil"/>
              <w:right w:val="nil"/>
            </w:tcBorders>
            <w:shd w:val="clear" w:color="000000" w:fill="FFFFFF"/>
            <w:noWrap/>
            <w:vAlign w:val="bottom"/>
          </w:tcPr>
          <w:p w14:paraId="38B8B7A5" w14:textId="77777777" w:rsidR="008F5EFB" w:rsidRPr="00B97923" w:rsidRDefault="008F5EFB" w:rsidP="00FD50D7">
            <w:pPr>
              <w:jc w:val="center"/>
              <w:rPr>
                <w:rFonts w:ascii="Arial" w:hAnsi="Arial" w:cs="Arial"/>
                <w:color w:val="000000"/>
                <w:sz w:val="20"/>
                <w:szCs w:val="20"/>
                <w:lang w:val="en-US"/>
              </w:rPr>
            </w:pPr>
          </w:p>
        </w:tc>
        <w:tc>
          <w:tcPr>
            <w:tcW w:w="851" w:type="dxa"/>
            <w:tcBorders>
              <w:left w:val="nil"/>
              <w:right w:val="nil"/>
            </w:tcBorders>
            <w:shd w:val="clear" w:color="000000" w:fill="FFFFFF"/>
            <w:noWrap/>
            <w:vAlign w:val="bottom"/>
          </w:tcPr>
          <w:p w14:paraId="216A00C5" w14:textId="77777777" w:rsidR="008F5EFB" w:rsidRPr="00B97923" w:rsidRDefault="008F5EFB" w:rsidP="00FD50D7">
            <w:pPr>
              <w:jc w:val="center"/>
              <w:rPr>
                <w:rFonts w:ascii="Arial" w:hAnsi="Arial" w:cs="Arial"/>
                <w:color w:val="000000"/>
                <w:sz w:val="20"/>
                <w:szCs w:val="20"/>
                <w:lang w:val="en-US"/>
              </w:rPr>
            </w:pPr>
          </w:p>
        </w:tc>
        <w:tc>
          <w:tcPr>
            <w:tcW w:w="697" w:type="dxa"/>
            <w:tcBorders>
              <w:left w:val="nil"/>
              <w:right w:val="nil"/>
            </w:tcBorders>
            <w:shd w:val="clear" w:color="000000" w:fill="FFFFFF"/>
            <w:noWrap/>
            <w:vAlign w:val="bottom"/>
          </w:tcPr>
          <w:p w14:paraId="7AAC5882" w14:textId="77777777" w:rsidR="008F5EFB" w:rsidRPr="00B97923" w:rsidRDefault="008F5EFB" w:rsidP="00FD50D7">
            <w:pPr>
              <w:jc w:val="center"/>
              <w:rPr>
                <w:rFonts w:ascii="Arial" w:hAnsi="Arial" w:cs="Arial"/>
                <w:color w:val="000000"/>
                <w:sz w:val="20"/>
                <w:szCs w:val="20"/>
                <w:lang w:val="en-US"/>
              </w:rPr>
            </w:pPr>
          </w:p>
        </w:tc>
      </w:tr>
      <w:tr w:rsidR="008F5EFB" w:rsidRPr="00B97923" w14:paraId="1F5A2F9F" w14:textId="77777777" w:rsidTr="007801EB">
        <w:trPr>
          <w:trHeight w:val="282"/>
        </w:trPr>
        <w:tc>
          <w:tcPr>
            <w:tcW w:w="16717" w:type="dxa"/>
            <w:gridSpan w:val="16"/>
            <w:tcBorders>
              <w:left w:val="nil"/>
              <w:right w:val="nil"/>
            </w:tcBorders>
            <w:shd w:val="clear" w:color="000000" w:fill="FFFFFF"/>
            <w:noWrap/>
            <w:vAlign w:val="bottom"/>
          </w:tcPr>
          <w:p w14:paraId="73B91B53" w14:textId="1A3C6014" w:rsidR="008F5EFB" w:rsidRPr="00B97923" w:rsidRDefault="008F5EFB" w:rsidP="008F5EFB">
            <w:pPr>
              <w:rPr>
                <w:rFonts w:ascii="Arial" w:hAnsi="Arial" w:cs="Arial"/>
                <w:b/>
                <w:i/>
                <w:sz w:val="20"/>
                <w:szCs w:val="20"/>
                <w:lang w:val="en-US"/>
              </w:rPr>
            </w:pPr>
            <w:r w:rsidRPr="00B97923">
              <w:rPr>
                <w:rFonts w:ascii="Arial" w:hAnsi="Arial" w:cs="Arial"/>
                <w:b/>
                <w:bCs/>
                <w:i/>
                <w:iCs/>
                <w:sz w:val="20"/>
                <w:szCs w:val="20"/>
                <w:lang w:val="en-US"/>
              </w:rPr>
              <w:t xml:space="preserve">Table 2: Image acquisition parameters. </w:t>
            </w:r>
            <w:r w:rsidRPr="00B97923">
              <w:rPr>
                <w:rFonts w:ascii="Arial" w:hAnsi="Arial" w:cs="Arial"/>
                <w:i/>
                <w:iCs/>
                <w:sz w:val="20"/>
                <w:szCs w:val="20"/>
                <w:lang w:val="en-US"/>
              </w:rPr>
              <w:t>bSSFP: balanced steady state free precession;</w:t>
            </w:r>
            <w:r w:rsidRPr="00B97923">
              <w:rPr>
                <w:rFonts w:ascii="Arial" w:hAnsi="Arial" w:cs="Arial"/>
                <w:i/>
                <w:sz w:val="20"/>
                <w:szCs w:val="20"/>
                <w:lang w:val="en-US"/>
              </w:rPr>
              <w:t xml:space="preserve"> CMI: Chronic myocardial </w:t>
            </w:r>
            <w:r w:rsidRPr="00B97923">
              <w:rPr>
                <w:rFonts w:ascii="Arial" w:hAnsi="Arial" w:cs="Arial"/>
                <w:i/>
                <w:iCs/>
                <w:sz w:val="20"/>
                <w:szCs w:val="20"/>
                <w:lang w:val="en-US"/>
              </w:rPr>
              <w:t>infarction</w:t>
            </w:r>
            <w:r w:rsidRPr="00B97923">
              <w:rPr>
                <w:rFonts w:ascii="Arial" w:hAnsi="Arial" w:cs="Arial"/>
                <w:i/>
                <w:sz w:val="20"/>
                <w:szCs w:val="20"/>
                <w:lang w:val="en-US"/>
              </w:rPr>
              <w:t xml:space="preserve">; FA: Flip angle; FOV: Field of view; </w:t>
            </w:r>
            <w:r w:rsidRPr="00B97923">
              <w:rPr>
                <w:rFonts w:ascii="Arial" w:hAnsi="Arial" w:cs="Arial"/>
                <w:bCs/>
                <w:i/>
                <w:sz w:val="20"/>
                <w:szCs w:val="20"/>
                <w:lang w:val="en-US"/>
              </w:rPr>
              <w:t>GBCA</w:t>
            </w:r>
            <w:r w:rsidRPr="00B97923">
              <w:rPr>
                <w:rFonts w:ascii="Arial" w:hAnsi="Arial" w:cs="Arial"/>
                <w:i/>
                <w:sz w:val="20"/>
                <w:szCs w:val="20"/>
                <w:lang w:val="en-US"/>
              </w:rPr>
              <w:t xml:space="preserve">: </w:t>
            </w:r>
            <w:r w:rsidRPr="00B97923">
              <w:rPr>
                <w:rFonts w:ascii="Arial" w:hAnsi="Arial" w:cs="Arial"/>
                <w:bCs/>
                <w:i/>
                <w:sz w:val="20"/>
                <w:szCs w:val="20"/>
                <w:lang w:val="en-US"/>
              </w:rPr>
              <w:t>gadolinium based contrast agent</w:t>
            </w:r>
            <w:r w:rsidRPr="00B97923">
              <w:rPr>
                <w:rFonts w:ascii="Arial" w:hAnsi="Arial" w:cs="Arial"/>
                <w:i/>
                <w:sz w:val="20"/>
                <w:szCs w:val="20"/>
                <w:lang w:val="en-US"/>
              </w:rPr>
              <w:t xml:space="preserve">; HCM: Hypertrophic cardiomyopathy; IHD: Inflammatory heart disease; LGE: Late gadolinium enhancement; </w:t>
            </w:r>
            <w:r w:rsidRPr="00B97923">
              <w:rPr>
                <w:rFonts w:ascii="Arial" w:hAnsi="Arial" w:cs="Arial"/>
                <w:bCs/>
                <w:i/>
                <w:sz w:val="20"/>
                <w:szCs w:val="20"/>
                <w:lang w:val="en-US"/>
              </w:rPr>
              <w:t>PSIR: phase sensitive inversion recovery</w:t>
            </w:r>
            <w:r w:rsidRPr="00B97923">
              <w:rPr>
                <w:rFonts w:ascii="Arial" w:hAnsi="Arial" w:cs="Arial"/>
                <w:b/>
                <w:i/>
                <w:sz w:val="20"/>
                <w:szCs w:val="20"/>
                <w:lang w:val="en-US"/>
              </w:rPr>
              <w:t xml:space="preserve">; </w:t>
            </w:r>
            <w:r w:rsidRPr="00B97923">
              <w:rPr>
                <w:rFonts w:ascii="Arial" w:hAnsi="Arial" w:cs="Arial"/>
                <w:i/>
                <w:sz w:val="20"/>
                <w:szCs w:val="20"/>
                <w:lang w:val="en-US"/>
              </w:rPr>
              <w:t>Recon: Reconstruction; ST: Slice thickness; SSFP: Steady state free precession; TE: Echo Time TI: Inversion time; TR: Repetition Time.</w:t>
            </w:r>
          </w:p>
        </w:tc>
      </w:tr>
    </w:tbl>
    <w:p w14:paraId="6829001A" w14:textId="77D92CCC" w:rsidR="00D26B38" w:rsidRPr="00B97923" w:rsidRDefault="00D26B38" w:rsidP="00D26B38">
      <w:pPr>
        <w:rPr>
          <w:rFonts w:ascii="Arial" w:hAnsi="Arial" w:cs="Arial"/>
          <w:sz w:val="20"/>
          <w:szCs w:val="20"/>
          <w:lang w:val="en-US"/>
        </w:rPr>
        <w:sectPr w:rsidR="00D26B38" w:rsidRPr="00B97923" w:rsidSect="008F5EFB">
          <w:type w:val="continuous"/>
          <w:pgSz w:w="16840" w:h="11900" w:orient="landscape"/>
          <w:pgMar w:top="720" w:right="720" w:bottom="720" w:left="720" w:header="708" w:footer="708" w:gutter="0"/>
          <w:cols w:space="708"/>
          <w:docGrid w:linePitch="360"/>
        </w:sectPr>
      </w:pPr>
    </w:p>
    <w:p w14:paraId="07F5DD1C" w14:textId="77777777" w:rsidR="00D26B38" w:rsidRPr="00B97923" w:rsidRDefault="00D26B38" w:rsidP="00D26B38">
      <w:pPr>
        <w:rPr>
          <w:rFonts w:ascii="Arial" w:hAnsi="Arial" w:cs="Arial"/>
          <w:sz w:val="20"/>
          <w:szCs w:val="20"/>
          <w:lang w:val="en-US"/>
        </w:rPr>
      </w:pPr>
    </w:p>
    <w:tbl>
      <w:tblPr>
        <w:tblW w:w="8250" w:type="dxa"/>
        <w:tblCellMar>
          <w:left w:w="70" w:type="dxa"/>
          <w:right w:w="70" w:type="dxa"/>
        </w:tblCellMar>
        <w:tblLook w:val="04A0" w:firstRow="1" w:lastRow="0" w:firstColumn="1" w:lastColumn="0" w:noHBand="0" w:noVBand="1"/>
      </w:tblPr>
      <w:tblGrid>
        <w:gridCol w:w="1178"/>
        <w:gridCol w:w="1178"/>
        <w:gridCol w:w="1179"/>
        <w:gridCol w:w="1178"/>
        <w:gridCol w:w="1179"/>
        <w:gridCol w:w="1180"/>
        <w:gridCol w:w="1178"/>
      </w:tblGrid>
      <w:tr w:rsidR="00D26B38" w:rsidRPr="00B97923" w14:paraId="49322FC7" w14:textId="77777777" w:rsidTr="004576CC">
        <w:trPr>
          <w:trHeight w:val="363"/>
        </w:trPr>
        <w:tc>
          <w:tcPr>
            <w:tcW w:w="1178" w:type="dxa"/>
            <w:tcBorders>
              <w:top w:val="nil"/>
              <w:left w:val="nil"/>
              <w:bottom w:val="single" w:sz="24" w:space="0" w:color="auto"/>
              <w:right w:val="nil"/>
            </w:tcBorders>
            <w:shd w:val="clear" w:color="auto" w:fill="auto"/>
            <w:noWrap/>
            <w:vAlign w:val="bottom"/>
            <w:hideMark/>
          </w:tcPr>
          <w:p w14:paraId="7E3031B7"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 </w:t>
            </w:r>
          </w:p>
        </w:tc>
        <w:tc>
          <w:tcPr>
            <w:tcW w:w="1178" w:type="dxa"/>
            <w:tcBorders>
              <w:top w:val="nil"/>
              <w:left w:val="nil"/>
              <w:bottom w:val="single" w:sz="24" w:space="0" w:color="auto"/>
              <w:right w:val="nil"/>
            </w:tcBorders>
            <w:shd w:val="clear" w:color="auto" w:fill="auto"/>
            <w:noWrap/>
            <w:vAlign w:val="bottom"/>
            <w:hideMark/>
          </w:tcPr>
          <w:p w14:paraId="19F042AD"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 </w:t>
            </w:r>
          </w:p>
        </w:tc>
        <w:tc>
          <w:tcPr>
            <w:tcW w:w="1179" w:type="dxa"/>
            <w:tcBorders>
              <w:top w:val="nil"/>
              <w:left w:val="nil"/>
              <w:bottom w:val="single" w:sz="24" w:space="0" w:color="auto"/>
              <w:right w:val="nil"/>
            </w:tcBorders>
            <w:shd w:val="clear" w:color="auto" w:fill="auto"/>
            <w:noWrap/>
            <w:vAlign w:val="bottom"/>
            <w:hideMark/>
          </w:tcPr>
          <w:p w14:paraId="313AB0CE"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 </w:t>
            </w:r>
          </w:p>
        </w:tc>
        <w:tc>
          <w:tcPr>
            <w:tcW w:w="1178" w:type="dxa"/>
            <w:tcBorders>
              <w:top w:val="nil"/>
              <w:left w:val="nil"/>
              <w:bottom w:val="single" w:sz="24" w:space="0" w:color="auto"/>
              <w:right w:val="nil"/>
            </w:tcBorders>
            <w:shd w:val="clear" w:color="auto" w:fill="auto"/>
            <w:noWrap/>
            <w:vAlign w:val="bottom"/>
            <w:hideMark/>
          </w:tcPr>
          <w:p w14:paraId="339D8D07"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 </w:t>
            </w:r>
          </w:p>
        </w:tc>
        <w:tc>
          <w:tcPr>
            <w:tcW w:w="1179" w:type="dxa"/>
            <w:tcBorders>
              <w:top w:val="nil"/>
              <w:left w:val="nil"/>
              <w:bottom w:val="single" w:sz="24" w:space="0" w:color="auto"/>
              <w:right w:val="nil"/>
            </w:tcBorders>
            <w:shd w:val="clear" w:color="auto" w:fill="auto"/>
            <w:noWrap/>
            <w:vAlign w:val="bottom"/>
            <w:hideMark/>
          </w:tcPr>
          <w:p w14:paraId="3E38163E"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 </w:t>
            </w:r>
          </w:p>
        </w:tc>
        <w:tc>
          <w:tcPr>
            <w:tcW w:w="1180" w:type="dxa"/>
            <w:tcBorders>
              <w:top w:val="nil"/>
              <w:left w:val="nil"/>
              <w:bottom w:val="single" w:sz="24" w:space="0" w:color="auto"/>
              <w:right w:val="nil"/>
            </w:tcBorders>
            <w:shd w:val="clear" w:color="auto" w:fill="auto"/>
            <w:noWrap/>
            <w:vAlign w:val="bottom"/>
            <w:hideMark/>
          </w:tcPr>
          <w:p w14:paraId="08BA140E"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 </w:t>
            </w:r>
          </w:p>
        </w:tc>
        <w:tc>
          <w:tcPr>
            <w:tcW w:w="1178" w:type="dxa"/>
            <w:tcBorders>
              <w:top w:val="nil"/>
              <w:left w:val="nil"/>
              <w:bottom w:val="single" w:sz="8" w:space="0" w:color="auto"/>
              <w:right w:val="nil"/>
            </w:tcBorders>
            <w:shd w:val="clear" w:color="auto" w:fill="auto"/>
            <w:noWrap/>
            <w:vAlign w:val="bottom"/>
            <w:hideMark/>
          </w:tcPr>
          <w:p w14:paraId="65A01428"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 </w:t>
            </w:r>
          </w:p>
        </w:tc>
      </w:tr>
      <w:tr w:rsidR="00D26B38" w:rsidRPr="00B97923" w14:paraId="149DADBA" w14:textId="77777777" w:rsidTr="004576CC">
        <w:trPr>
          <w:trHeight w:val="340"/>
        </w:trPr>
        <w:tc>
          <w:tcPr>
            <w:tcW w:w="1178" w:type="dxa"/>
            <w:tcBorders>
              <w:top w:val="single" w:sz="24" w:space="0" w:color="auto"/>
              <w:left w:val="nil"/>
              <w:bottom w:val="nil"/>
              <w:right w:val="nil"/>
            </w:tcBorders>
            <w:shd w:val="clear" w:color="000000" w:fill="FFFFFF"/>
            <w:noWrap/>
            <w:vAlign w:val="bottom"/>
            <w:hideMark/>
          </w:tcPr>
          <w:p w14:paraId="255FB8B1"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 </w:t>
            </w:r>
          </w:p>
        </w:tc>
        <w:tc>
          <w:tcPr>
            <w:tcW w:w="2357" w:type="dxa"/>
            <w:gridSpan w:val="2"/>
            <w:tcBorders>
              <w:top w:val="single" w:sz="24" w:space="0" w:color="auto"/>
              <w:left w:val="nil"/>
              <w:bottom w:val="nil"/>
              <w:right w:val="nil"/>
            </w:tcBorders>
            <w:shd w:val="clear" w:color="000000" w:fill="FFFFFF"/>
            <w:noWrap/>
            <w:vAlign w:val="bottom"/>
            <w:hideMark/>
          </w:tcPr>
          <w:p w14:paraId="643D1825" w14:textId="77777777" w:rsidR="00D26B38" w:rsidRPr="00B97923" w:rsidRDefault="00D26B38" w:rsidP="00FD50D7">
            <w:pPr>
              <w:jc w:val="center"/>
              <w:rPr>
                <w:rFonts w:ascii="Arial" w:hAnsi="Arial" w:cs="Arial"/>
                <w:b/>
                <w:bCs/>
                <w:sz w:val="20"/>
                <w:szCs w:val="20"/>
                <w:lang w:val="en-US"/>
              </w:rPr>
            </w:pPr>
            <w:r w:rsidRPr="00B97923">
              <w:rPr>
                <w:rFonts w:ascii="Arial" w:hAnsi="Arial" w:cs="Arial"/>
                <w:b/>
                <w:bCs/>
                <w:sz w:val="20"/>
                <w:szCs w:val="20"/>
                <w:lang w:val="en-US"/>
              </w:rPr>
              <w:t>pilot study</w:t>
            </w:r>
          </w:p>
        </w:tc>
        <w:tc>
          <w:tcPr>
            <w:tcW w:w="2357" w:type="dxa"/>
            <w:gridSpan w:val="2"/>
            <w:tcBorders>
              <w:top w:val="single" w:sz="24" w:space="0" w:color="auto"/>
              <w:left w:val="nil"/>
              <w:bottom w:val="nil"/>
              <w:right w:val="nil"/>
            </w:tcBorders>
            <w:shd w:val="clear" w:color="000000" w:fill="FFFFFF"/>
            <w:noWrap/>
            <w:vAlign w:val="bottom"/>
            <w:hideMark/>
          </w:tcPr>
          <w:p w14:paraId="16D425FA" w14:textId="77777777" w:rsidR="00D26B38" w:rsidRPr="00B97923" w:rsidRDefault="00D26B38" w:rsidP="00FD50D7">
            <w:pPr>
              <w:jc w:val="center"/>
              <w:rPr>
                <w:rFonts w:ascii="Arial" w:hAnsi="Arial" w:cs="Arial"/>
                <w:b/>
                <w:bCs/>
                <w:sz w:val="20"/>
                <w:szCs w:val="20"/>
                <w:lang w:val="en-US"/>
              </w:rPr>
            </w:pPr>
            <w:r w:rsidRPr="00B97923">
              <w:rPr>
                <w:rFonts w:ascii="Arial" w:hAnsi="Arial" w:cs="Arial"/>
                <w:b/>
                <w:bCs/>
                <w:sz w:val="20"/>
                <w:szCs w:val="20"/>
                <w:lang w:val="en-US"/>
              </w:rPr>
              <w:t>validation study</w:t>
            </w:r>
          </w:p>
        </w:tc>
        <w:tc>
          <w:tcPr>
            <w:tcW w:w="2358" w:type="dxa"/>
            <w:gridSpan w:val="2"/>
            <w:tcBorders>
              <w:top w:val="single" w:sz="24" w:space="0" w:color="auto"/>
              <w:left w:val="nil"/>
              <w:bottom w:val="nil"/>
              <w:right w:val="nil"/>
            </w:tcBorders>
            <w:shd w:val="clear" w:color="000000" w:fill="FFFFFF"/>
            <w:noWrap/>
            <w:vAlign w:val="bottom"/>
            <w:hideMark/>
          </w:tcPr>
          <w:p w14:paraId="63C195D3" w14:textId="77777777" w:rsidR="00D26B38" w:rsidRPr="00B97923" w:rsidRDefault="00D26B38" w:rsidP="00FD50D7">
            <w:pPr>
              <w:jc w:val="center"/>
              <w:rPr>
                <w:rFonts w:ascii="Arial" w:hAnsi="Arial" w:cs="Arial"/>
                <w:b/>
                <w:bCs/>
                <w:sz w:val="20"/>
                <w:szCs w:val="20"/>
                <w:lang w:val="en-US"/>
              </w:rPr>
            </w:pPr>
            <w:r w:rsidRPr="00B97923">
              <w:rPr>
                <w:rFonts w:ascii="Arial" w:hAnsi="Arial" w:cs="Arial"/>
                <w:b/>
                <w:bCs/>
                <w:sz w:val="20"/>
                <w:szCs w:val="20"/>
                <w:lang w:val="en-US"/>
              </w:rPr>
              <w:t>all cases</w:t>
            </w:r>
          </w:p>
        </w:tc>
      </w:tr>
      <w:tr w:rsidR="00D26B38" w:rsidRPr="00B97923" w14:paraId="281480EE" w14:textId="77777777" w:rsidTr="004576CC">
        <w:trPr>
          <w:trHeight w:val="340"/>
        </w:trPr>
        <w:tc>
          <w:tcPr>
            <w:tcW w:w="1178" w:type="dxa"/>
            <w:tcBorders>
              <w:top w:val="nil"/>
              <w:left w:val="nil"/>
              <w:bottom w:val="nil"/>
              <w:right w:val="nil"/>
            </w:tcBorders>
            <w:shd w:val="clear" w:color="000000" w:fill="FFFFFF"/>
            <w:noWrap/>
            <w:vAlign w:val="bottom"/>
            <w:hideMark/>
          </w:tcPr>
          <w:p w14:paraId="001E6588" w14:textId="77777777" w:rsidR="00D26B38" w:rsidRPr="00B97923" w:rsidRDefault="00D26B38" w:rsidP="00FD50D7">
            <w:pPr>
              <w:jc w:val="center"/>
              <w:rPr>
                <w:rFonts w:ascii="Arial" w:hAnsi="Arial" w:cs="Arial"/>
                <w:b/>
                <w:bCs/>
                <w:sz w:val="20"/>
                <w:szCs w:val="20"/>
                <w:lang w:val="en-US"/>
              </w:rPr>
            </w:pPr>
            <w:r w:rsidRPr="00B97923">
              <w:rPr>
                <w:rFonts w:ascii="Arial" w:hAnsi="Arial" w:cs="Arial"/>
                <w:b/>
                <w:bCs/>
                <w:sz w:val="20"/>
                <w:szCs w:val="20"/>
                <w:lang w:val="en-US"/>
              </w:rPr>
              <w:t>cohort</w:t>
            </w:r>
          </w:p>
        </w:tc>
        <w:tc>
          <w:tcPr>
            <w:tcW w:w="1178" w:type="dxa"/>
            <w:tcBorders>
              <w:top w:val="nil"/>
              <w:left w:val="nil"/>
              <w:bottom w:val="nil"/>
              <w:right w:val="nil"/>
            </w:tcBorders>
            <w:shd w:val="clear" w:color="000000" w:fill="FFFFFF"/>
            <w:noWrap/>
            <w:vAlign w:val="bottom"/>
            <w:hideMark/>
          </w:tcPr>
          <w:p w14:paraId="2929C549" w14:textId="77777777" w:rsidR="00D26B38" w:rsidRPr="00B97923" w:rsidRDefault="00D26B38" w:rsidP="00FD50D7">
            <w:pPr>
              <w:jc w:val="center"/>
              <w:rPr>
                <w:rFonts w:ascii="Arial" w:hAnsi="Arial" w:cs="Arial"/>
                <w:b/>
                <w:bCs/>
                <w:sz w:val="20"/>
                <w:szCs w:val="20"/>
                <w:lang w:val="en-US"/>
              </w:rPr>
            </w:pPr>
            <w:r w:rsidRPr="00B97923">
              <w:rPr>
                <w:rFonts w:ascii="Arial" w:hAnsi="Arial" w:cs="Arial"/>
                <w:b/>
                <w:bCs/>
                <w:sz w:val="20"/>
                <w:szCs w:val="20"/>
                <w:lang w:val="en-US"/>
              </w:rPr>
              <w:t>1st read</w:t>
            </w:r>
          </w:p>
        </w:tc>
        <w:tc>
          <w:tcPr>
            <w:tcW w:w="1179" w:type="dxa"/>
            <w:tcBorders>
              <w:top w:val="nil"/>
              <w:left w:val="nil"/>
              <w:bottom w:val="nil"/>
              <w:right w:val="nil"/>
            </w:tcBorders>
            <w:shd w:val="clear" w:color="000000" w:fill="FFFFFF"/>
            <w:noWrap/>
            <w:vAlign w:val="bottom"/>
            <w:hideMark/>
          </w:tcPr>
          <w:p w14:paraId="428241CF" w14:textId="77777777" w:rsidR="00D26B38" w:rsidRPr="00B97923" w:rsidRDefault="00D26B38" w:rsidP="00FD50D7">
            <w:pPr>
              <w:jc w:val="center"/>
              <w:rPr>
                <w:rFonts w:ascii="Arial" w:hAnsi="Arial" w:cs="Arial"/>
                <w:b/>
                <w:bCs/>
                <w:sz w:val="20"/>
                <w:szCs w:val="20"/>
                <w:lang w:val="en-US"/>
              </w:rPr>
            </w:pPr>
            <w:r w:rsidRPr="00B97923">
              <w:rPr>
                <w:rFonts w:ascii="Arial" w:hAnsi="Arial" w:cs="Arial"/>
                <w:b/>
                <w:bCs/>
                <w:sz w:val="20"/>
                <w:szCs w:val="20"/>
                <w:lang w:val="en-US"/>
              </w:rPr>
              <w:t>2nd read</w:t>
            </w:r>
          </w:p>
        </w:tc>
        <w:tc>
          <w:tcPr>
            <w:tcW w:w="1178" w:type="dxa"/>
            <w:tcBorders>
              <w:top w:val="nil"/>
              <w:left w:val="nil"/>
              <w:bottom w:val="nil"/>
              <w:right w:val="nil"/>
            </w:tcBorders>
            <w:shd w:val="clear" w:color="000000" w:fill="FFFFFF"/>
            <w:noWrap/>
            <w:vAlign w:val="bottom"/>
            <w:hideMark/>
          </w:tcPr>
          <w:p w14:paraId="1A238495" w14:textId="77777777" w:rsidR="00D26B38" w:rsidRPr="00B97923" w:rsidRDefault="00D26B38" w:rsidP="00FD50D7">
            <w:pPr>
              <w:jc w:val="center"/>
              <w:rPr>
                <w:rFonts w:ascii="Arial" w:hAnsi="Arial" w:cs="Arial"/>
                <w:b/>
                <w:bCs/>
                <w:sz w:val="20"/>
                <w:szCs w:val="20"/>
                <w:lang w:val="en-US"/>
              </w:rPr>
            </w:pPr>
            <w:r w:rsidRPr="00B97923">
              <w:rPr>
                <w:rFonts w:ascii="Arial" w:hAnsi="Arial" w:cs="Arial"/>
                <w:b/>
                <w:bCs/>
                <w:sz w:val="20"/>
                <w:szCs w:val="20"/>
                <w:lang w:val="en-US"/>
              </w:rPr>
              <w:t>1st read</w:t>
            </w:r>
          </w:p>
        </w:tc>
        <w:tc>
          <w:tcPr>
            <w:tcW w:w="1179" w:type="dxa"/>
            <w:tcBorders>
              <w:top w:val="nil"/>
              <w:left w:val="nil"/>
              <w:bottom w:val="nil"/>
              <w:right w:val="nil"/>
            </w:tcBorders>
            <w:shd w:val="clear" w:color="000000" w:fill="FFFFFF"/>
            <w:noWrap/>
            <w:vAlign w:val="bottom"/>
            <w:hideMark/>
          </w:tcPr>
          <w:p w14:paraId="5FA20E8F" w14:textId="77777777" w:rsidR="00D26B38" w:rsidRPr="00B97923" w:rsidRDefault="00D26B38" w:rsidP="00FD50D7">
            <w:pPr>
              <w:jc w:val="center"/>
              <w:rPr>
                <w:rFonts w:ascii="Arial" w:hAnsi="Arial" w:cs="Arial"/>
                <w:b/>
                <w:bCs/>
                <w:sz w:val="20"/>
                <w:szCs w:val="20"/>
                <w:lang w:val="en-US"/>
              </w:rPr>
            </w:pPr>
            <w:r w:rsidRPr="00B97923">
              <w:rPr>
                <w:rFonts w:ascii="Arial" w:hAnsi="Arial" w:cs="Arial"/>
                <w:b/>
                <w:bCs/>
                <w:sz w:val="20"/>
                <w:szCs w:val="20"/>
                <w:lang w:val="en-US"/>
              </w:rPr>
              <w:t>2nd read</w:t>
            </w:r>
          </w:p>
        </w:tc>
        <w:tc>
          <w:tcPr>
            <w:tcW w:w="1180" w:type="dxa"/>
            <w:tcBorders>
              <w:top w:val="nil"/>
              <w:left w:val="nil"/>
              <w:bottom w:val="nil"/>
              <w:right w:val="nil"/>
            </w:tcBorders>
            <w:shd w:val="clear" w:color="000000" w:fill="FFFFFF"/>
            <w:noWrap/>
            <w:vAlign w:val="bottom"/>
            <w:hideMark/>
          </w:tcPr>
          <w:p w14:paraId="67157A42" w14:textId="77777777" w:rsidR="00D26B38" w:rsidRPr="00B97923" w:rsidRDefault="00D26B38" w:rsidP="00FD50D7">
            <w:pPr>
              <w:jc w:val="center"/>
              <w:rPr>
                <w:rFonts w:ascii="Arial" w:hAnsi="Arial" w:cs="Arial"/>
                <w:b/>
                <w:bCs/>
                <w:sz w:val="20"/>
                <w:szCs w:val="20"/>
                <w:lang w:val="en-US"/>
              </w:rPr>
            </w:pPr>
            <w:r w:rsidRPr="00B97923">
              <w:rPr>
                <w:rFonts w:ascii="Arial" w:hAnsi="Arial" w:cs="Arial"/>
                <w:b/>
                <w:bCs/>
                <w:sz w:val="20"/>
                <w:szCs w:val="20"/>
                <w:lang w:val="en-US"/>
              </w:rPr>
              <w:t xml:space="preserve"> pilot</w:t>
            </w:r>
          </w:p>
        </w:tc>
        <w:tc>
          <w:tcPr>
            <w:tcW w:w="1178" w:type="dxa"/>
            <w:tcBorders>
              <w:top w:val="nil"/>
              <w:left w:val="nil"/>
              <w:bottom w:val="nil"/>
              <w:right w:val="nil"/>
            </w:tcBorders>
            <w:shd w:val="clear" w:color="000000" w:fill="FFFFFF"/>
            <w:noWrap/>
            <w:vAlign w:val="bottom"/>
            <w:hideMark/>
          </w:tcPr>
          <w:p w14:paraId="3E002EE9" w14:textId="77777777" w:rsidR="00D26B38" w:rsidRPr="00B97923" w:rsidRDefault="00D26B38" w:rsidP="00FD50D7">
            <w:pPr>
              <w:jc w:val="center"/>
              <w:rPr>
                <w:rFonts w:ascii="Arial" w:hAnsi="Arial" w:cs="Arial"/>
                <w:b/>
                <w:bCs/>
                <w:sz w:val="20"/>
                <w:szCs w:val="20"/>
                <w:lang w:val="en-US"/>
              </w:rPr>
            </w:pPr>
            <w:r w:rsidRPr="00B97923">
              <w:rPr>
                <w:rFonts w:ascii="Arial" w:hAnsi="Arial" w:cs="Arial"/>
                <w:b/>
                <w:bCs/>
                <w:sz w:val="20"/>
                <w:szCs w:val="20"/>
                <w:lang w:val="en-US"/>
              </w:rPr>
              <w:t>validation</w:t>
            </w:r>
          </w:p>
        </w:tc>
      </w:tr>
      <w:tr w:rsidR="00D26B38" w:rsidRPr="00B97923" w14:paraId="2428591E" w14:textId="77777777" w:rsidTr="004576CC">
        <w:trPr>
          <w:trHeight w:val="340"/>
        </w:trPr>
        <w:tc>
          <w:tcPr>
            <w:tcW w:w="1178" w:type="dxa"/>
            <w:tcBorders>
              <w:top w:val="single" w:sz="4" w:space="0" w:color="auto"/>
              <w:left w:val="nil"/>
              <w:bottom w:val="nil"/>
              <w:right w:val="nil"/>
            </w:tcBorders>
            <w:shd w:val="clear" w:color="000000" w:fill="FFFFFF"/>
            <w:noWrap/>
            <w:vAlign w:val="bottom"/>
            <w:hideMark/>
          </w:tcPr>
          <w:p w14:paraId="35A2ED99" w14:textId="77777777" w:rsidR="00D26B38" w:rsidRPr="00B97923" w:rsidRDefault="00D26B38" w:rsidP="00FD50D7">
            <w:pPr>
              <w:jc w:val="center"/>
              <w:rPr>
                <w:rFonts w:ascii="Arial" w:hAnsi="Arial" w:cs="Arial"/>
                <w:b/>
                <w:bCs/>
                <w:sz w:val="20"/>
                <w:szCs w:val="20"/>
                <w:lang w:val="en-US"/>
              </w:rPr>
            </w:pPr>
            <w:r w:rsidRPr="00B97923">
              <w:rPr>
                <w:rFonts w:ascii="Arial" w:hAnsi="Arial" w:cs="Arial"/>
                <w:b/>
                <w:bCs/>
                <w:sz w:val="20"/>
                <w:szCs w:val="20"/>
                <w:lang w:val="en-US"/>
              </w:rPr>
              <w:t>CMI</w:t>
            </w:r>
          </w:p>
        </w:tc>
        <w:tc>
          <w:tcPr>
            <w:tcW w:w="1178" w:type="dxa"/>
            <w:tcBorders>
              <w:top w:val="single" w:sz="4" w:space="0" w:color="auto"/>
              <w:left w:val="single" w:sz="4" w:space="0" w:color="auto"/>
              <w:bottom w:val="nil"/>
              <w:right w:val="nil"/>
            </w:tcBorders>
            <w:shd w:val="clear" w:color="000000" w:fill="FFFFFF"/>
            <w:noWrap/>
            <w:vAlign w:val="bottom"/>
            <w:hideMark/>
          </w:tcPr>
          <w:p w14:paraId="4681D6D5"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28:50</w:t>
            </w:r>
          </w:p>
        </w:tc>
        <w:tc>
          <w:tcPr>
            <w:tcW w:w="1179" w:type="dxa"/>
            <w:tcBorders>
              <w:top w:val="single" w:sz="4" w:space="0" w:color="auto"/>
              <w:left w:val="nil"/>
              <w:bottom w:val="nil"/>
              <w:right w:val="single" w:sz="4" w:space="0" w:color="auto"/>
            </w:tcBorders>
            <w:shd w:val="clear" w:color="000000" w:fill="FFFFFF"/>
            <w:noWrap/>
            <w:vAlign w:val="bottom"/>
            <w:hideMark/>
          </w:tcPr>
          <w:p w14:paraId="7E1B7175"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24:46</w:t>
            </w:r>
          </w:p>
        </w:tc>
        <w:tc>
          <w:tcPr>
            <w:tcW w:w="1178" w:type="dxa"/>
            <w:tcBorders>
              <w:top w:val="single" w:sz="4" w:space="0" w:color="auto"/>
              <w:left w:val="nil"/>
              <w:bottom w:val="nil"/>
              <w:right w:val="nil"/>
            </w:tcBorders>
            <w:shd w:val="clear" w:color="000000" w:fill="FFFFFF"/>
            <w:noWrap/>
            <w:vAlign w:val="bottom"/>
            <w:hideMark/>
          </w:tcPr>
          <w:p w14:paraId="7DDC8BAA"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23:21</w:t>
            </w:r>
          </w:p>
        </w:tc>
        <w:tc>
          <w:tcPr>
            <w:tcW w:w="1179" w:type="dxa"/>
            <w:tcBorders>
              <w:top w:val="single" w:sz="4" w:space="0" w:color="auto"/>
              <w:left w:val="nil"/>
              <w:bottom w:val="nil"/>
              <w:right w:val="single" w:sz="4" w:space="0" w:color="auto"/>
            </w:tcBorders>
            <w:shd w:val="clear" w:color="000000" w:fill="FFFFFF"/>
            <w:noWrap/>
            <w:vAlign w:val="bottom"/>
            <w:hideMark/>
          </w:tcPr>
          <w:p w14:paraId="10E6E3D5"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23:30</w:t>
            </w:r>
          </w:p>
        </w:tc>
        <w:tc>
          <w:tcPr>
            <w:tcW w:w="1180" w:type="dxa"/>
            <w:tcBorders>
              <w:top w:val="single" w:sz="4" w:space="0" w:color="auto"/>
              <w:left w:val="nil"/>
              <w:bottom w:val="nil"/>
              <w:right w:val="nil"/>
            </w:tcBorders>
            <w:shd w:val="clear" w:color="000000" w:fill="FFFFFF"/>
            <w:noWrap/>
            <w:vAlign w:val="bottom"/>
            <w:hideMark/>
          </w:tcPr>
          <w:p w14:paraId="04BF2B96"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26:48</w:t>
            </w:r>
          </w:p>
        </w:tc>
        <w:tc>
          <w:tcPr>
            <w:tcW w:w="1178" w:type="dxa"/>
            <w:tcBorders>
              <w:top w:val="single" w:sz="4" w:space="0" w:color="auto"/>
              <w:left w:val="nil"/>
              <w:bottom w:val="nil"/>
              <w:right w:val="nil"/>
            </w:tcBorders>
            <w:shd w:val="clear" w:color="000000" w:fill="FFFFFF"/>
            <w:noWrap/>
            <w:vAlign w:val="bottom"/>
            <w:hideMark/>
          </w:tcPr>
          <w:p w14:paraId="34F7DEBA"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23:25</w:t>
            </w:r>
          </w:p>
        </w:tc>
      </w:tr>
      <w:tr w:rsidR="00D26B38" w:rsidRPr="00B97923" w14:paraId="1FF4F672" w14:textId="77777777" w:rsidTr="004576CC">
        <w:trPr>
          <w:trHeight w:val="340"/>
        </w:trPr>
        <w:tc>
          <w:tcPr>
            <w:tcW w:w="1178" w:type="dxa"/>
            <w:tcBorders>
              <w:top w:val="nil"/>
              <w:left w:val="nil"/>
              <w:bottom w:val="nil"/>
              <w:right w:val="nil"/>
            </w:tcBorders>
            <w:shd w:val="clear" w:color="000000" w:fill="FFFFFF"/>
            <w:noWrap/>
            <w:vAlign w:val="bottom"/>
            <w:hideMark/>
          </w:tcPr>
          <w:p w14:paraId="3AEF9BAE" w14:textId="77777777" w:rsidR="00D26B38" w:rsidRPr="00B97923" w:rsidRDefault="00D26B38" w:rsidP="00FD50D7">
            <w:pPr>
              <w:jc w:val="center"/>
              <w:rPr>
                <w:rFonts w:ascii="Arial" w:hAnsi="Arial" w:cs="Arial"/>
                <w:b/>
                <w:bCs/>
                <w:sz w:val="20"/>
                <w:szCs w:val="20"/>
                <w:lang w:val="en-US"/>
              </w:rPr>
            </w:pPr>
            <w:r w:rsidRPr="00B97923">
              <w:rPr>
                <w:rFonts w:ascii="Arial" w:hAnsi="Arial" w:cs="Arial"/>
                <w:b/>
                <w:bCs/>
                <w:sz w:val="20"/>
                <w:szCs w:val="20"/>
                <w:lang w:val="en-US"/>
              </w:rPr>
              <w:t>HCM</w:t>
            </w:r>
          </w:p>
        </w:tc>
        <w:tc>
          <w:tcPr>
            <w:tcW w:w="1178" w:type="dxa"/>
            <w:tcBorders>
              <w:top w:val="nil"/>
              <w:left w:val="single" w:sz="4" w:space="0" w:color="auto"/>
              <w:bottom w:val="nil"/>
              <w:right w:val="nil"/>
            </w:tcBorders>
            <w:shd w:val="clear" w:color="000000" w:fill="FFFFFF"/>
            <w:noWrap/>
            <w:vAlign w:val="bottom"/>
            <w:hideMark/>
          </w:tcPr>
          <w:p w14:paraId="15343C81"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37:25</w:t>
            </w:r>
          </w:p>
        </w:tc>
        <w:tc>
          <w:tcPr>
            <w:tcW w:w="1179" w:type="dxa"/>
            <w:tcBorders>
              <w:top w:val="nil"/>
              <w:left w:val="nil"/>
              <w:bottom w:val="nil"/>
              <w:right w:val="single" w:sz="4" w:space="0" w:color="auto"/>
            </w:tcBorders>
            <w:shd w:val="clear" w:color="000000" w:fill="FFFFFF"/>
            <w:noWrap/>
            <w:vAlign w:val="bottom"/>
            <w:hideMark/>
          </w:tcPr>
          <w:p w14:paraId="1001CF9F"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25:57</w:t>
            </w:r>
          </w:p>
        </w:tc>
        <w:tc>
          <w:tcPr>
            <w:tcW w:w="1178" w:type="dxa"/>
            <w:tcBorders>
              <w:top w:val="nil"/>
              <w:left w:val="nil"/>
              <w:bottom w:val="nil"/>
              <w:right w:val="nil"/>
            </w:tcBorders>
            <w:shd w:val="clear" w:color="000000" w:fill="FFFFFF"/>
            <w:noWrap/>
            <w:vAlign w:val="bottom"/>
            <w:hideMark/>
          </w:tcPr>
          <w:p w14:paraId="3086C76D"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23:21</w:t>
            </w:r>
          </w:p>
        </w:tc>
        <w:tc>
          <w:tcPr>
            <w:tcW w:w="1179" w:type="dxa"/>
            <w:tcBorders>
              <w:top w:val="nil"/>
              <w:left w:val="nil"/>
              <w:bottom w:val="nil"/>
              <w:right w:val="single" w:sz="4" w:space="0" w:color="auto"/>
            </w:tcBorders>
            <w:shd w:val="clear" w:color="000000" w:fill="FFFFFF"/>
            <w:noWrap/>
            <w:vAlign w:val="bottom"/>
            <w:hideMark/>
          </w:tcPr>
          <w:p w14:paraId="3D9D7112"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19:57</w:t>
            </w:r>
          </w:p>
        </w:tc>
        <w:tc>
          <w:tcPr>
            <w:tcW w:w="1180" w:type="dxa"/>
            <w:tcBorders>
              <w:top w:val="nil"/>
              <w:left w:val="nil"/>
              <w:bottom w:val="nil"/>
              <w:right w:val="nil"/>
            </w:tcBorders>
            <w:shd w:val="clear" w:color="000000" w:fill="FFFFFF"/>
            <w:noWrap/>
            <w:vAlign w:val="bottom"/>
            <w:hideMark/>
          </w:tcPr>
          <w:p w14:paraId="5C079C86"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31:41</w:t>
            </w:r>
          </w:p>
        </w:tc>
        <w:tc>
          <w:tcPr>
            <w:tcW w:w="1178" w:type="dxa"/>
            <w:tcBorders>
              <w:top w:val="nil"/>
              <w:left w:val="nil"/>
              <w:bottom w:val="nil"/>
              <w:right w:val="nil"/>
            </w:tcBorders>
            <w:shd w:val="clear" w:color="000000" w:fill="FFFFFF"/>
            <w:noWrap/>
            <w:vAlign w:val="bottom"/>
            <w:hideMark/>
          </w:tcPr>
          <w:p w14:paraId="2B0CAA7B"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21:39</w:t>
            </w:r>
          </w:p>
        </w:tc>
      </w:tr>
      <w:tr w:rsidR="00D26B38" w:rsidRPr="00B97923" w14:paraId="2CCF592E" w14:textId="77777777" w:rsidTr="004576CC">
        <w:trPr>
          <w:trHeight w:val="340"/>
        </w:trPr>
        <w:tc>
          <w:tcPr>
            <w:tcW w:w="1178" w:type="dxa"/>
            <w:tcBorders>
              <w:top w:val="nil"/>
              <w:left w:val="nil"/>
              <w:bottom w:val="single" w:sz="4" w:space="0" w:color="auto"/>
              <w:right w:val="nil"/>
            </w:tcBorders>
            <w:shd w:val="clear" w:color="000000" w:fill="FFFFFF"/>
            <w:noWrap/>
            <w:vAlign w:val="bottom"/>
            <w:hideMark/>
          </w:tcPr>
          <w:p w14:paraId="139F2B04" w14:textId="77777777" w:rsidR="00D26B38" w:rsidRPr="00B97923" w:rsidRDefault="00D26B38" w:rsidP="00FD50D7">
            <w:pPr>
              <w:jc w:val="center"/>
              <w:rPr>
                <w:rFonts w:ascii="Arial" w:hAnsi="Arial" w:cs="Arial"/>
                <w:b/>
                <w:bCs/>
                <w:sz w:val="20"/>
                <w:szCs w:val="20"/>
                <w:lang w:val="en-US"/>
              </w:rPr>
            </w:pPr>
            <w:r w:rsidRPr="00B97923">
              <w:rPr>
                <w:rFonts w:ascii="Arial" w:hAnsi="Arial" w:cs="Arial"/>
                <w:b/>
                <w:bCs/>
                <w:sz w:val="20"/>
                <w:szCs w:val="20"/>
                <w:lang w:val="en-US"/>
              </w:rPr>
              <w:t>IHD</w:t>
            </w:r>
          </w:p>
        </w:tc>
        <w:tc>
          <w:tcPr>
            <w:tcW w:w="1178" w:type="dxa"/>
            <w:tcBorders>
              <w:top w:val="nil"/>
              <w:left w:val="single" w:sz="4" w:space="0" w:color="auto"/>
              <w:bottom w:val="single" w:sz="4" w:space="0" w:color="auto"/>
              <w:right w:val="nil"/>
            </w:tcBorders>
            <w:shd w:val="clear" w:color="000000" w:fill="FFFFFF"/>
            <w:noWrap/>
            <w:vAlign w:val="bottom"/>
            <w:hideMark/>
          </w:tcPr>
          <w:p w14:paraId="5C41E363"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26:39</w:t>
            </w:r>
          </w:p>
        </w:tc>
        <w:tc>
          <w:tcPr>
            <w:tcW w:w="1179" w:type="dxa"/>
            <w:tcBorders>
              <w:top w:val="nil"/>
              <w:left w:val="nil"/>
              <w:bottom w:val="single" w:sz="4" w:space="0" w:color="auto"/>
              <w:right w:val="single" w:sz="4" w:space="0" w:color="auto"/>
            </w:tcBorders>
            <w:shd w:val="clear" w:color="000000" w:fill="FFFFFF"/>
            <w:noWrap/>
            <w:vAlign w:val="bottom"/>
            <w:hideMark/>
          </w:tcPr>
          <w:p w14:paraId="66BD29E0"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23:30</w:t>
            </w:r>
          </w:p>
        </w:tc>
        <w:tc>
          <w:tcPr>
            <w:tcW w:w="1178" w:type="dxa"/>
            <w:tcBorders>
              <w:top w:val="nil"/>
              <w:left w:val="nil"/>
              <w:bottom w:val="single" w:sz="4" w:space="0" w:color="auto"/>
              <w:right w:val="nil"/>
            </w:tcBorders>
            <w:shd w:val="clear" w:color="000000" w:fill="FFFFFF"/>
            <w:noWrap/>
            <w:vAlign w:val="bottom"/>
            <w:hideMark/>
          </w:tcPr>
          <w:p w14:paraId="01FC5936"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27:52</w:t>
            </w:r>
          </w:p>
        </w:tc>
        <w:tc>
          <w:tcPr>
            <w:tcW w:w="1179" w:type="dxa"/>
            <w:tcBorders>
              <w:top w:val="nil"/>
              <w:left w:val="nil"/>
              <w:bottom w:val="single" w:sz="4" w:space="0" w:color="auto"/>
              <w:right w:val="single" w:sz="4" w:space="0" w:color="auto"/>
            </w:tcBorders>
            <w:shd w:val="clear" w:color="000000" w:fill="FFFFFF"/>
            <w:noWrap/>
            <w:vAlign w:val="bottom"/>
            <w:hideMark/>
          </w:tcPr>
          <w:p w14:paraId="48F71022"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24:37</w:t>
            </w:r>
          </w:p>
        </w:tc>
        <w:tc>
          <w:tcPr>
            <w:tcW w:w="1180" w:type="dxa"/>
            <w:tcBorders>
              <w:top w:val="nil"/>
              <w:left w:val="nil"/>
              <w:bottom w:val="single" w:sz="4" w:space="0" w:color="auto"/>
              <w:right w:val="nil"/>
            </w:tcBorders>
            <w:shd w:val="clear" w:color="000000" w:fill="FFFFFF"/>
            <w:noWrap/>
            <w:vAlign w:val="bottom"/>
            <w:hideMark/>
          </w:tcPr>
          <w:p w14:paraId="4932C5F0"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25:04</w:t>
            </w:r>
          </w:p>
        </w:tc>
        <w:tc>
          <w:tcPr>
            <w:tcW w:w="1178" w:type="dxa"/>
            <w:tcBorders>
              <w:top w:val="nil"/>
              <w:left w:val="nil"/>
              <w:bottom w:val="single" w:sz="4" w:space="0" w:color="auto"/>
              <w:right w:val="nil"/>
            </w:tcBorders>
            <w:shd w:val="clear" w:color="000000" w:fill="FFFFFF"/>
            <w:noWrap/>
            <w:vAlign w:val="bottom"/>
            <w:hideMark/>
          </w:tcPr>
          <w:p w14:paraId="3BE07403"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26:15</w:t>
            </w:r>
          </w:p>
        </w:tc>
      </w:tr>
      <w:tr w:rsidR="00D26B38" w:rsidRPr="00B97923" w14:paraId="1417AC9A" w14:textId="77777777" w:rsidTr="004576CC">
        <w:trPr>
          <w:trHeight w:val="363"/>
        </w:trPr>
        <w:tc>
          <w:tcPr>
            <w:tcW w:w="1178" w:type="dxa"/>
            <w:tcBorders>
              <w:top w:val="nil"/>
              <w:left w:val="nil"/>
              <w:bottom w:val="single" w:sz="24" w:space="0" w:color="auto"/>
              <w:right w:val="nil"/>
            </w:tcBorders>
            <w:shd w:val="clear" w:color="000000" w:fill="FFFFFF"/>
            <w:noWrap/>
            <w:vAlign w:val="bottom"/>
            <w:hideMark/>
          </w:tcPr>
          <w:p w14:paraId="299CF521" w14:textId="77777777" w:rsidR="00D26B38" w:rsidRPr="00B97923" w:rsidRDefault="00D26B38" w:rsidP="00FD50D7">
            <w:pPr>
              <w:jc w:val="center"/>
              <w:rPr>
                <w:rFonts w:ascii="Arial" w:hAnsi="Arial" w:cs="Arial"/>
                <w:b/>
                <w:bCs/>
                <w:sz w:val="20"/>
                <w:szCs w:val="20"/>
                <w:lang w:val="en-US"/>
              </w:rPr>
            </w:pPr>
            <w:r w:rsidRPr="00B97923">
              <w:rPr>
                <w:rFonts w:ascii="Arial" w:hAnsi="Arial" w:cs="Arial"/>
                <w:b/>
                <w:bCs/>
                <w:sz w:val="20"/>
                <w:szCs w:val="20"/>
                <w:lang w:val="en-US"/>
              </w:rPr>
              <w:t>all</w:t>
            </w:r>
          </w:p>
        </w:tc>
        <w:tc>
          <w:tcPr>
            <w:tcW w:w="1178" w:type="dxa"/>
            <w:tcBorders>
              <w:top w:val="nil"/>
              <w:left w:val="single" w:sz="4" w:space="0" w:color="auto"/>
              <w:bottom w:val="single" w:sz="24" w:space="0" w:color="auto"/>
              <w:right w:val="nil"/>
            </w:tcBorders>
            <w:shd w:val="clear" w:color="000000" w:fill="FFFFFF"/>
            <w:noWrap/>
            <w:vAlign w:val="bottom"/>
            <w:hideMark/>
          </w:tcPr>
          <w:p w14:paraId="0574CE68"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30:58</w:t>
            </w:r>
          </w:p>
        </w:tc>
        <w:tc>
          <w:tcPr>
            <w:tcW w:w="1179" w:type="dxa"/>
            <w:tcBorders>
              <w:top w:val="nil"/>
              <w:left w:val="nil"/>
              <w:bottom w:val="single" w:sz="24" w:space="0" w:color="auto"/>
              <w:right w:val="single" w:sz="4" w:space="0" w:color="auto"/>
            </w:tcBorders>
            <w:shd w:val="clear" w:color="000000" w:fill="FFFFFF"/>
            <w:noWrap/>
            <w:vAlign w:val="bottom"/>
            <w:hideMark/>
          </w:tcPr>
          <w:p w14:paraId="6D1F0FF8"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24:44</w:t>
            </w:r>
          </w:p>
        </w:tc>
        <w:tc>
          <w:tcPr>
            <w:tcW w:w="1178" w:type="dxa"/>
            <w:tcBorders>
              <w:top w:val="nil"/>
              <w:left w:val="nil"/>
              <w:bottom w:val="single" w:sz="24" w:space="0" w:color="auto"/>
              <w:right w:val="nil"/>
            </w:tcBorders>
            <w:shd w:val="clear" w:color="000000" w:fill="FFFFFF"/>
            <w:noWrap/>
            <w:vAlign w:val="bottom"/>
            <w:hideMark/>
          </w:tcPr>
          <w:p w14:paraId="5BB49308"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24:51</w:t>
            </w:r>
          </w:p>
        </w:tc>
        <w:tc>
          <w:tcPr>
            <w:tcW w:w="1179" w:type="dxa"/>
            <w:tcBorders>
              <w:top w:val="nil"/>
              <w:left w:val="nil"/>
              <w:bottom w:val="single" w:sz="24" w:space="0" w:color="auto"/>
              <w:right w:val="single" w:sz="4" w:space="0" w:color="auto"/>
            </w:tcBorders>
            <w:shd w:val="clear" w:color="000000" w:fill="FFFFFF"/>
            <w:noWrap/>
            <w:vAlign w:val="bottom"/>
            <w:hideMark/>
          </w:tcPr>
          <w:p w14:paraId="39797026"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22:41</w:t>
            </w:r>
          </w:p>
        </w:tc>
        <w:tc>
          <w:tcPr>
            <w:tcW w:w="1180" w:type="dxa"/>
            <w:tcBorders>
              <w:top w:val="nil"/>
              <w:left w:val="nil"/>
              <w:bottom w:val="single" w:sz="24" w:space="0" w:color="auto"/>
              <w:right w:val="nil"/>
            </w:tcBorders>
            <w:shd w:val="clear" w:color="000000" w:fill="FFFFFF"/>
            <w:noWrap/>
            <w:vAlign w:val="bottom"/>
            <w:hideMark/>
          </w:tcPr>
          <w:p w14:paraId="02D03E45"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27:51</w:t>
            </w:r>
          </w:p>
        </w:tc>
        <w:tc>
          <w:tcPr>
            <w:tcW w:w="1178" w:type="dxa"/>
            <w:tcBorders>
              <w:top w:val="nil"/>
              <w:left w:val="nil"/>
              <w:bottom w:val="single" w:sz="24" w:space="0" w:color="auto"/>
              <w:right w:val="nil"/>
            </w:tcBorders>
            <w:shd w:val="clear" w:color="000000" w:fill="FFFFFF"/>
            <w:noWrap/>
            <w:vAlign w:val="bottom"/>
            <w:hideMark/>
          </w:tcPr>
          <w:p w14:paraId="09F19617" w14:textId="77777777" w:rsidR="00D26B38" w:rsidRPr="00B97923" w:rsidRDefault="00D26B38" w:rsidP="00FD50D7">
            <w:pPr>
              <w:jc w:val="center"/>
              <w:rPr>
                <w:rFonts w:ascii="Arial" w:hAnsi="Arial" w:cs="Arial"/>
                <w:sz w:val="20"/>
                <w:szCs w:val="20"/>
                <w:lang w:val="en-US"/>
              </w:rPr>
            </w:pPr>
            <w:r w:rsidRPr="00B97923">
              <w:rPr>
                <w:rFonts w:ascii="Arial" w:hAnsi="Arial" w:cs="Arial"/>
                <w:sz w:val="20"/>
                <w:szCs w:val="20"/>
                <w:lang w:val="en-US"/>
              </w:rPr>
              <w:t>23:46</w:t>
            </w:r>
          </w:p>
        </w:tc>
      </w:tr>
      <w:tr w:rsidR="004576CC" w:rsidRPr="00B97923" w14:paraId="2113122A" w14:textId="77777777" w:rsidTr="00D34FD3">
        <w:trPr>
          <w:trHeight w:val="340"/>
        </w:trPr>
        <w:tc>
          <w:tcPr>
            <w:tcW w:w="8250" w:type="dxa"/>
            <w:gridSpan w:val="7"/>
            <w:tcBorders>
              <w:top w:val="single" w:sz="24" w:space="0" w:color="auto"/>
              <w:left w:val="nil"/>
              <w:bottom w:val="nil"/>
              <w:right w:val="nil"/>
            </w:tcBorders>
            <w:shd w:val="clear" w:color="000000" w:fill="FFFFFF"/>
            <w:noWrap/>
            <w:vAlign w:val="bottom"/>
            <w:hideMark/>
          </w:tcPr>
          <w:p w14:paraId="28763FE7" w14:textId="77777777" w:rsidR="004576CC" w:rsidRPr="00B97923" w:rsidRDefault="004576CC" w:rsidP="00FD50D7">
            <w:pPr>
              <w:rPr>
                <w:rFonts w:ascii="Arial" w:hAnsi="Arial" w:cs="Arial"/>
                <w:i/>
                <w:iCs/>
                <w:sz w:val="20"/>
                <w:szCs w:val="20"/>
                <w:lang w:val="en-US"/>
              </w:rPr>
            </w:pPr>
          </w:p>
          <w:p w14:paraId="147BCF0E" w14:textId="1148B82D" w:rsidR="004576CC" w:rsidRPr="00B97923" w:rsidRDefault="004576CC" w:rsidP="00FD50D7">
            <w:pPr>
              <w:rPr>
                <w:rFonts w:ascii="Arial" w:hAnsi="Arial" w:cs="Arial"/>
                <w:i/>
                <w:iCs/>
                <w:sz w:val="20"/>
                <w:szCs w:val="20"/>
                <w:lang w:val="en-US"/>
              </w:rPr>
            </w:pPr>
            <w:r w:rsidRPr="00B97923">
              <w:rPr>
                <w:rFonts w:ascii="Arial" w:hAnsi="Arial" w:cs="Arial"/>
                <w:b/>
                <w:bCs/>
                <w:i/>
                <w:iCs/>
                <w:sz w:val="20"/>
                <w:szCs w:val="20"/>
                <w:lang w:val="en-US"/>
              </w:rPr>
              <w:t>Table 3:</w:t>
            </w:r>
            <w:r w:rsidRPr="00B97923">
              <w:rPr>
                <w:rFonts w:ascii="Arial" w:hAnsi="Arial" w:cs="Arial"/>
                <w:i/>
                <w:iCs/>
                <w:sz w:val="20"/>
                <w:szCs w:val="20"/>
                <w:lang w:val="en-US"/>
              </w:rPr>
              <w:t xml:space="preserve"> Contouring time expressed in minutes and seconds for manual tracing and applying quantification techniques that were observed in the validation study (</w:t>
            </w:r>
            <w:proofErr w:type="spellStart"/>
            <w:proofErr w:type="gramStart"/>
            <w:r w:rsidRPr="00B97923">
              <w:rPr>
                <w:rFonts w:ascii="Arial" w:hAnsi="Arial" w:cs="Arial"/>
                <w:i/>
                <w:iCs/>
                <w:sz w:val="20"/>
                <w:szCs w:val="20"/>
                <w:lang w:val="en-US"/>
              </w:rPr>
              <w:t>mm:ss</w:t>
            </w:r>
            <w:proofErr w:type="spellEnd"/>
            <w:proofErr w:type="gramEnd"/>
            <w:r w:rsidRPr="00B97923">
              <w:rPr>
                <w:rFonts w:ascii="Arial" w:hAnsi="Arial" w:cs="Arial"/>
                <w:i/>
                <w:iCs/>
                <w:sz w:val="20"/>
                <w:szCs w:val="20"/>
                <w:lang w:val="en-US"/>
              </w:rPr>
              <w:t>). CMI: Chronic myocardial infarction; HCM: Hypertrophic cardiomyopathy; IHD: Inflammatory heart disease.</w:t>
            </w:r>
          </w:p>
          <w:p w14:paraId="69BA09B3" w14:textId="5B7E39CA" w:rsidR="004576CC" w:rsidRPr="00B97923" w:rsidRDefault="004576CC" w:rsidP="00FD50D7">
            <w:pPr>
              <w:rPr>
                <w:rFonts w:ascii="Arial" w:hAnsi="Arial" w:cs="Arial"/>
                <w:sz w:val="20"/>
                <w:szCs w:val="20"/>
                <w:lang w:val="en-US"/>
              </w:rPr>
            </w:pPr>
            <w:r w:rsidRPr="00B97923">
              <w:rPr>
                <w:rFonts w:ascii="Arial" w:hAnsi="Arial" w:cs="Arial"/>
                <w:sz w:val="20"/>
                <w:szCs w:val="20"/>
                <w:lang w:val="en-US"/>
              </w:rPr>
              <w:t> </w:t>
            </w:r>
          </w:p>
        </w:tc>
      </w:tr>
      <w:tr w:rsidR="00D26B38" w:rsidRPr="00B97923" w14:paraId="339D13E8" w14:textId="77777777" w:rsidTr="004576CC">
        <w:trPr>
          <w:trHeight w:val="340"/>
        </w:trPr>
        <w:tc>
          <w:tcPr>
            <w:tcW w:w="1178" w:type="dxa"/>
            <w:tcBorders>
              <w:top w:val="nil"/>
              <w:left w:val="nil"/>
              <w:bottom w:val="nil"/>
              <w:right w:val="nil"/>
            </w:tcBorders>
            <w:shd w:val="clear" w:color="auto" w:fill="auto"/>
            <w:noWrap/>
            <w:vAlign w:val="bottom"/>
            <w:hideMark/>
          </w:tcPr>
          <w:p w14:paraId="73AC8B94" w14:textId="77777777" w:rsidR="00D26B38" w:rsidRPr="00B97923" w:rsidRDefault="00D26B38" w:rsidP="00FD50D7">
            <w:pPr>
              <w:rPr>
                <w:rFonts w:ascii="Arial" w:hAnsi="Arial" w:cs="Arial"/>
                <w:sz w:val="20"/>
                <w:szCs w:val="20"/>
                <w:lang w:val="en-US"/>
              </w:rPr>
            </w:pPr>
          </w:p>
        </w:tc>
        <w:tc>
          <w:tcPr>
            <w:tcW w:w="1178" w:type="dxa"/>
            <w:tcBorders>
              <w:top w:val="nil"/>
              <w:left w:val="nil"/>
              <w:bottom w:val="nil"/>
              <w:right w:val="nil"/>
            </w:tcBorders>
            <w:shd w:val="clear" w:color="000000" w:fill="FFFFFF"/>
            <w:noWrap/>
            <w:vAlign w:val="bottom"/>
            <w:hideMark/>
          </w:tcPr>
          <w:p w14:paraId="3D73A10E"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 </w:t>
            </w:r>
          </w:p>
        </w:tc>
        <w:tc>
          <w:tcPr>
            <w:tcW w:w="1179" w:type="dxa"/>
            <w:tcBorders>
              <w:top w:val="nil"/>
              <w:left w:val="nil"/>
              <w:bottom w:val="nil"/>
              <w:right w:val="nil"/>
            </w:tcBorders>
            <w:shd w:val="clear" w:color="000000" w:fill="FFFFFF"/>
            <w:noWrap/>
            <w:vAlign w:val="bottom"/>
            <w:hideMark/>
          </w:tcPr>
          <w:p w14:paraId="17F66C55"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 </w:t>
            </w:r>
          </w:p>
        </w:tc>
        <w:tc>
          <w:tcPr>
            <w:tcW w:w="1178" w:type="dxa"/>
            <w:tcBorders>
              <w:top w:val="nil"/>
              <w:left w:val="nil"/>
              <w:bottom w:val="nil"/>
              <w:right w:val="nil"/>
            </w:tcBorders>
            <w:shd w:val="clear" w:color="000000" w:fill="FFFFFF"/>
            <w:noWrap/>
            <w:vAlign w:val="bottom"/>
            <w:hideMark/>
          </w:tcPr>
          <w:p w14:paraId="63A6AEFA"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 </w:t>
            </w:r>
          </w:p>
        </w:tc>
        <w:tc>
          <w:tcPr>
            <w:tcW w:w="1179" w:type="dxa"/>
            <w:tcBorders>
              <w:top w:val="nil"/>
              <w:left w:val="nil"/>
              <w:bottom w:val="nil"/>
              <w:right w:val="nil"/>
            </w:tcBorders>
            <w:shd w:val="clear" w:color="000000" w:fill="FFFFFF"/>
            <w:noWrap/>
            <w:vAlign w:val="bottom"/>
            <w:hideMark/>
          </w:tcPr>
          <w:p w14:paraId="0C938C35"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 </w:t>
            </w:r>
          </w:p>
        </w:tc>
        <w:tc>
          <w:tcPr>
            <w:tcW w:w="1180" w:type="dxa"/>
            <w:tcBorders>
              <w:top w:val="nil"/>
              <w:left w:val="nil"/>
              <w:bottom w:val="nil"/>
              <w:right w:val="nil"/>
            </w:tcBorders>
            <w:shd w:val="clear" w:color="000000" w:fill="FFFFFF"/>
            <w:noWrap/>
            <w:vAlign w:val="bottom"/>
            <w:hideMark/>
          </w:tcPr>
          <w:p w14:paraId="13768980"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 </w:t>
            </w:r>
          </w:p>
        </w:tc>
        <w:tc>
          <w:tcPr>
            <w:tcW w:w="1178" w:type="dxa"/>
            <w:tcBorders>
              <w:top w:val="nil"/>
              <w:left w:val="nil"/>
              <w:bottom w:val="nil"/>
              <w:right w:val="nil"/>
            </w:tcBorders>
            <w:shd w:val="clear" w:color="000000" w:fill="FFFFFF"/>
            <w:noWrap/>
            <w:vAlign w:val="bottom"/>
            <w:hideMark/>
          </w:tcPr>
          <w:p w14:paraId="4585A879" w14:textId="77777777" w:rsidR="00D26B38" w:rsidRPr="00B97923" w:rsidRDefault="00D26B38" w:rsidP="00FD50D7">
            <w:pPr>
              <w:rPr>
                <w:rFonts w:ascii="Arial" w:hAnsi="Arial" w:cs="Arial"/>
                <w:sz w:val="20"/>
                <w:szCs w:val="20"/>
                <w:lang w:val="en-US"/>
              </w:rPr>
            </w:pPr>
            <w:r w:rsidRPr="00B97923">
              <w:rPr>
                <w:rFonts w:ascii="Arial" w:hAnsi="Arial" w:cs="Arial"/>
                <w:sz w:val="20"/>
                <w:szCs w:val="20"/>
                <w:lang w:val="en-US"/>
              </w:rPr>
              <w:t> </w:t>
            </w:r>
          </w:p>
        </w:tc>
      </w:tr>
    </w:tbl>
    <w:p w14:paraId="2C117EFA" w14:textId="77777777" w:rsidR="00D26B38" w:rsidRPr="00B97923" w:rsidRDefault="00D26B38" w:rsidP="00D26B38">
      <w:pPr>
        <w:pStyle w:val="LiteraturverweisLGEQuantPaper"/>
        <w:ind w:left="0"/>
        <w:rPr>
          <w:rFonts w:ascii="Arial" w:hAnsi="Arial" w:cs="Arial"/>
        </w:rPr>
      </w:pPr>
    </w:p>
    <w:p w14:paraId="267CDBA5" w14:textId="79BA0863" w:rsidR="552A5255" w:rsidRPr="00B97923" w:rsidRDefault="552A5255">
      <w:r w:rsidRPr="00B97923">
        <w:br w:type="page"/>
      </w:r>
    </w:p>
    <w:p w14:paraId="743A2A7C" w14:textId="0C9EDF89" w:rsidR="00797898" w:rsidRPr="00B97923" w:rsidRDefault="00797898" w:rsidP="27EEF6FD">
      <w:pPr>
        <w:rPr>
          <w:rFonts w:ascii="Arial" w:hAnsi="Arial" w:cs="Arial"/>
          <w:b/>
          <w:bCs/>
          <w:sz w:val="22"/>
          <w:szCs w:val="22"/>
          <w:lang w:val="en-CA"/>
        </w:rPr>
      </w:pPr>
      <w:r w:rsidRPr="00B97923">
        <w:rPr>
          <w:rFonts w:ascii="Arial" w:hAnsi="Arial" w:cs="Arial"/>
          <w:b/>
          <w:bCs/>
          <w:sz w:val="22"/>
          <w:szCs w:val="22"/>
          <w:lang w:val="en-CA"/>
        </w:rPr>
        <w:lastRenderedPageBreak/>
        <w:t>Diagnostic Inclusion</w:t>
      </w:r>
      <w:r w:rsidR="762F805F" w:rsidRPr="00B97923">
        <w:rPr>
          <w:rFonts w:ascii="Arial" w:hAnsi="Arial" w:cs="Arial"/>
          <w:b/>
          <w:bCs/>
          <w:sz w:val="22"/>
          <w:szCs w:val="22"/>
          <w:lang w:val="en-CA"/>
        </w:rPr>
        <w:t xml:space="preserve"> </w:t>
      </w:r>
      <w:r w:rsidRPr="00B97923">
        <w:rPr>
          <w:rFonts w:ascii="Arial" w:hAnsi="Arial" w:cs="Arial"/>
          <w:b/>
          <w:bCs/>
          <w:sz w:val="22"/>
          <w:szCs w:val="22"/>
          <w:lang w:val="en-CA"/>
        </w:rPr>
        <w:t>C</w:t>
      </w:r>
      <w:r w:rsidR="762F805F" w:rsidRPr="00B97923">
        <w:rPr>
          <w:rFonts w:ascii="Arial" w:hAnsi="Arial" w:cs="Arial"/>
          <w:b/>
          <w:bCs/>
          <w:sz w:val="22"/>
          <w:szCs w:val="22"/>
          <w:lang w:val="en-CA"/>
        </w:rPr>
        <w:t>riteria</w:t>
      </w:r>
    </w:p>
    <w:p w14:paraId="17A188FF" w14:textId="358FD5C6" w:rsidR="00F85497" w:rsidRPr="00B97923" w:rsidRDefault="00F85497" w:rsidP="27EEF6FD">
      <w:pPr>
        <w:rPr>
          <w:rFonts w:ascii="Arial" w:hAnsi="Arial" w:cs="Arial"/>
          <w:b/>
          <w:bCs/>
          <w:sz w:val="22"/>
          <w:szCs w:val="22"/>
          <w:lang w:val="en-CA"/>
        </w:rPr>
      </w:pPr>
    </w:p>
    <w:p w14:paraId="01DBD222" w14:textId="1FD0819F" w:rsidR="00F85497" w:rsidRPr="00B97923" w:rsidRDefault="00F85497" w:rsidP="27EEF6FD">
      <w:pPr>
        <w:spacing w:line="259" w:lineRule="auto"/>
        <w:rPr>
          <w:rFonts w:ascii="Arial" w:hAnsi="Arial" w:cs="Arial"/>
          <w:sz w:val="22"/>
          <w:szCs w:val="22"/>
          <w:lang w:val="en-CA"/>
        </w:rPr>
      </w:pPr>
      <w:r w:rsidRPr="00B97923">
        <w:rPr>
          <w:rFonts w:ascii="Arial" w:hAnsi="Arial" w:cs="Arial"/>
          <w:sz w:val="22"/>
          <w:szCs w:val="22"/>
          <w:lang w:val="en-CA"/>
        </w:rPr>
        <w:t xml:space="preserve">For inflammatory heart disease (IHD), diagnosis was based on the original or updated Lake Louise Criteria </w:t>
      </w:r>
      <w:r w:rsidRPr="00B97923">
        <w:rPr>
          <w:rFonts w:ascii="Arial" w:hAnsi="Arial" w:cs="Arial"/>
          <w:sz w:val="22"/>
          <w:szCs w:val="22"/>
          <w:lang w:val="en-CA"/>
        </w:rPr>
        <w:fldChar w:fldCharType="begin"/>
      </w:r>
      <w:r w:rsidRPr="00B97923">
        <w:rPr>
          <w:rFonts w:ascii="Arial" w:hAnsi="Arial" w:cs="Arial"/>
          <w:sz w:val="22"/>
          <w:szCs w:val="22"/>
          <w:lang w:val="en-CA"/>
        </w:rPr>
        <w:instrText xml:space="preserve"> ADDIN ZOTERO_ITEM CSL_CITATION {"citationID":"M401NU1U","properties":{"formattedCitation":"(1,2)","plainCitation":"(1,2)","noteIndex":0},"citationItems":[{"id":1002,"uris":["http://zotero.org/users/9127123/items/WC3PDS9Z"],"itemData":{"id":1002,"type":"article-journal","container-title":"Journal of the American College of Cardiology","DOI":"10.1016/j.jacc.2018.09.072","ISSN":"07351097","issue":"24","journalAbbreviation":"Journal of the American College of Cardiology","language":"en","page":"3158-3176","source":"DOI.org (Crossref)","title":"Cardiovascular Magnetic Resonance in Nonischemic Myocardial Inflammation","volume":"72","author":[{"family":"Ferreira","given":"Vanessa M."},{"family":"Schulz-Menger","given":"Jeanette"},{"family":"Holmvang","given":"Godtfred"},{"family":"Kramer","given":"Christopher M."},{"family":"Carbone","given":"Iacopo"},{"family":"Sechtem","given":"Udo"},{"family":"Kindermann","given":"Ingrid"},{"family":"Gutberlet","given":"Matthias"},{"family":"Cooper","given":"Leslie T."},{"family":"Liu","given":"Peter"},{"family":"Friedrich","given":"Matthias G."}],"issued":{"date-parts":[["2018",12]]}}},{"id":1003,"uris":["http://zotero.org/users/9127123/items/J5WS37D8"],"itemData":{"id":1003,"type":"article-journal","container-title":"Journal of the American College of Cardiology","DOI":"10.1016/j.jacc.2009.02.007","ISSN":"07351097","issue":"17","journalAbbreviation":"Journal of the American College of Cardiology","language":"en","license":"https://www.elsevier.com/tdm/userlicense/1.0/","page":"1475-1487","source":"DOI.org (Crossref)","title":"Cardiovascular Magnetic Resonance in Myocarditis: A JACC White Paper","title-short":"Cardiovascular Magnetic Resonance in Myocarditis","volume":"53","author":[{"family":"Friedrich","given":"Matthias G."},{"family":"Sechtem","given":"Udo"},{"family":"Schulz-Menger","given":"Jeanette"},{"family":"Holmvang","given":"Godtfred"},{"family":"Alakija","given":"Pauline"},{"family":"Cooper","given":"Leslie T."},{"family":"White","given":"James A."},{"family":"Abdel-Aty","given":"Hassan"},{"family":"Gutberlet","given":"Matthias"},{"family":"Prasad","given":"Sanjay"},{"family":"Aletras","given":"Anthony"},{"family":"Laissy","given":"Jean-Pierre"},{"family":"Paterson","given":"Ian"},{"family":"Filipchuk","given":"Neil G."},{"family":"Kumar","given":"Andreas"},{"family":"Pauschinger","given":"Matthias"},{"family":"Liu","given":"Peter"}],"issued":{"date-parts":[["2009",4]]}}}],"schema":"https://github.com/citation-style-language/schema/raw/master/csl-citation.json"} </w:instrText>
      </w:r>
      <w:r w:rsidRPr="00B97923">
        <w:rPr>
          <w:rFonts w:ascii="Arial" w:hAnsi="Arial" w:cs="Arial"/>
          <w:sz w:val="22"/>
          <w:szCs w:val="22"/>
          <w:lang w:val="en-CA"/>
        </w:rPr>
        <w:fldChar w:fldCharType="separate"/>
      </w:r>
      <w:r w:rsidR="00180695" w:rsidRPr="00B97923">
        <w:rPr>
          <w:rFonts w:ascii="Arial" w:hAnsi="Arial" w:cs="Arial"/>
          <w:noProof/>
          <w:sz w:val="22"/>
          <w:szCs w:val="22"/>
          <w:lang w:val="en-CA"/>
        </w:rPr>
        <w:t>(1,2)</w:t>
      </w:r>
      <w:r w:rsidRPr="00B97923">
        <w:rPr>
          <w:rFonts w:ascii="Arial" w:hAnsi="Arial" w:cs="Arial"/>
          <w:sz w:val="22"/>
          <w:szCs w:val="22"/>
          <w:lang w:val="en-CA"/>
        </w:rPr>
        <w:fldChar w:fldCharType="end"/>
      </w:r>
      <w:r w:rsidRPr="00B97923">
        <w:rPr>
          <w:rFonts w:ascii="Arial" w:hAnsi="Arial" w:cs="Arial"/>
          <w:sz w:val="22"/>
          <w:szCs w:val="22"/>
          <w:lang w:val="en-CA"/>
        </w:rPr>
        <w:t>, depending on the date of the initial scan. A diagnosis of acute IHD required the appropriate clinical context plus:</w:t>
      </w:r>
    </w:p>
    <w:p w14:paraId="691908CA" w14:textId="52E2CF03" w:rsidR="00F85497" w:rsidRPr="00B97923" w:rsidRDefault="00F85497" w:rsidP="27EEF6FD">
      <w:pPr>
        <w:pStyle w:val="Listenabsatz"/>
        <w:numPr>
          <w:ilvl w:val="0"/>
          <w:numId w:val="1"/>
        </w:numPr>
        <w:spacing w:line="259" w:lineRule="auto"/>
        <w:rPr>
          <w:rFonts w:ascii="Arial" w:hAnsi="Arial" w:cs="Arial"/>
          <w:sz w:val="22"/>
          <w:szCs w:val="22"/>
          <w:lang w:val="en-CA"/>
        </w:rPr>
      </w:pPr>
      <w:r w:rsidRPr="00B97923">
        <w:rPr>
          <w:rFonts w:ascii="Arial" w:hAnsi="Arial" w:cs="Arial"/>
          <w:sz w:val="22"/>
          <w:szCs w:val="22"/>
          <w:lang w:val="en-CA"/>
        </w:rPr>
        <w:t>LGE consistent with myocardial inflammation and regional injury and</w:t>
      </w:r>
    </w:p>
    <w:p w14:paraId="00730E32" w14:textId="0090EC83" w:rsidR="00F85497" w:rsidRPr="00B97923" w:rsidRDefault="00F85497" w:rsidP="27EEF6FD">
      <w:pPr>
        <w:pStyle w:val="Listenabsatz"/>
        <w:numPr>
          <w:ilvl w:val="0"/>
          <w:numId w:val="1"/>
        </w:numPr>
        <w:spacing w:line="259" w:lineRule="auto"/>
        <w:rPr>
          <w:rFonts w:ascii="Arial" w:hAnsi="Arial" w:cs="Arial"/>
          <w:sz w:val="22"/>
          <w:szCs w:val="22"/>
          <w:lang w:val="en-CA"/>
        </w:rPr>
      </w:pPr>
      <w:r w:rsidRPr="00B97923">
        <w:rPr>
          <w:rFonts w:ascii="Arial" w:hAnsi="Arial" w:cs="Arial"/>
          <w:sz w:val="22"/>
          <w:szCs w:val="22"/>
          <w:lang w:val="en-CA"/>
        </w:rPr>
        <w:t>either T2-weighted imaging showing a myocardium-to-skeletal muscle ratio &gt;1.9 or elevated segmental T2 values on T2 mapping or</w:t>
      </w:r>
    </w:p>
    <w:p w14:paraId="30AA7580" w14:textId="7CCFB5B4" w:rsidR="00E9208D" w:rsidRPr="00B97923" w:rsidRDefault="00F85497" w:rsidP="27EEF6FD">
      <w:pPr>
        <w:pStyle w:val="Listenabsatz"/>
        <w:numPr>
          <w:ilvl w:val="0"/>
          <w:numId w:val="1"/>
        </w:numPr>
        <w:spacing w:line="259" w:lineRule="auto"/>
        <w:rPr>
          <w:rFonts w:ascii="Arial" w:hAnsi="Arial" w:cs="Arial"/>
          <w:sz w:val="22"/>
          <w:szCs w:val="22"/>
          <w:lang w:val="en-CA"/>
        </w:rPr>
      </w:pPr>
      <w:r w:rsidRPr="00B97923">
        <w:rPr>
          <w:rFonts w:ascii="Arial" w:hAnsi="Arial" w:cs="Arial"/>
          <w:sz w:val="22"/>
          <w:szCs w:val="22"/>
          <w:lang w:val="en-CA"/>
        </w:rPr>
        <w:t>myocardial hyperemia or capillary leakage, defined as a &gt;70% increase in myocardial signal intensity between pre- and early post-gadolinium images reflecting a higher specificity than the published cut</w:t>
      </w:r>
      <w:r w:rsidR="007944EF" w:rsidRPr="00B97923">
        <w:rPr>
          <w:rFonts w:ascii="Arial" w:hAnsi="Arial" w:cs="Arial"/>
          <w:sz w:val="22"/>
          <w:szCs w:val="22"/>
          <w:lang w:val="en-CA"/>
        </w:rPr>
        <w:t>-</w:t>
      </w:r>
      <w:r w:rsidRPr="00B97923">
        <w:rPr>
          <w:rFonts w:ascii="Arial" w:hAnsi="Arial" w:cs="Arial"/>
          <w:sz w:val="22"/>
          <w:szCs w:val="22"/>
          <w:lang w:val="en-CA"/>
        </w:rPr>
        <w:t>of</w:t>
      </w:r>
      <w:r w:rsidR="007944EF" w:rsidRPr="00B97923">
        <w:rPr>
          <w:rFonts w:ascii="Arial" w:hAnsi="Arial" w:cs="Arial"/>
          <w:sz w:val="22"/>
          <w:szCs w:val="22"/>
          <w:lang w:val="en-CA"/>
        </w:rPr>
        <w:t>f</w:t>
      </w:r>
      <w:r w:rsidRPr="00B97923">
        <w:rPr>
          <w:rFonts w:ascii="Arial" w:hAnsi="Arial" w:cs="Arial"/>
          <w:sz w:val="22"/>
          <w:szCs w:val="22"/>
          <w:lang w:val="en-CA"/>
        </w:rPr>
        <w:t xml:space="preserve"> of 45% (original Lake Louise Criteria)</w:t>
      </w:r>
    </w:p>
    <w:p w14:paraId="242C0361" w14:textId="77777777" w:rsidR="00E9208D" w:rsidRPr="00B97923" w:rsidRDefault="00E9208D" w:rsidP="27EEF6FD">
      <w:pPr>
        <w:spacing w:line="259" w:lineRule="auto"/>
        <w:rPr>
          <w:rFonts w:ascii="Arial" w:hAnsi="Arial" w:cs="Arial"/>
          <w:sz w:val="22"/>
          <w:szCs w:val="22"/>
          <w:lang w:val="en-CA"/>
        </w:rPr>
      </w:pPr>
    </w:p>
    <w:p w14:paraId="0475606B" w14:textId="1D74C811" w:rsidR="00F85497" w:rsidRPr="00B97923" w:rsidRDefault="00F85497" w:rsidP="27EEF6FD">
      <w:pPr>
        <w:spacing w:line="259" w:lineRule="auto"/>
        <w:rPr>
          <w:rFonts w:ascii="Arial" w:hAnsi="Arial" w:cs="Arial"/>
          <w:sz w:val="22"/>
          <w:szCs w:val="22"/>
          <w:lang w:val="en-CA"/>
        </w:rPr>
      </w:pPr>
      <w:r w:rsidRPr="00B97923">
        <w:rPr>
          <w:rFonts w:ascii="Arial" w:hAnsi="Arial" w:cs="Arial"/>
          <w:sz w:val="22"/>
          <w:szCs w:val="22"/>
          <w:lang w:val="en-CA"/>
        </w:rPr>
        <w:t>A diagnosis of chronic IHD was made if LGE showed an intramural or subepicardial pattern consistent with scar and fibrosis, in the absence of oedema on T2-weighted imaging or mapping.</w:t>
      </w:r>
    </w:p>
    <w:p w14:paraId="1D948B51" w14:textId="77777777" w:rsidR="000E68B4" w:rsidRPr="00B97923" w:rsidRDefault="000E68B4" w:rsidP="27EEF6FD">
      <w:pPr>
        <w:spacing w:line="259" w:lineRule="auto"/>
        <w:rPr>
          <w:rFonts w:ascii="Arial" w:hAnsi="Arial" w:cs="Arial"/>
          <w:sz w:val="22"/>
          <w:szCs w:val="22"/>
          <w:lang w:val="en-CA"/>
        </w:rPr>
      </w:pPr>
    </w:p>
    <w:p w14:paraId="79B9263B" w14:textId="493A4722" w:rsidR="00334DB4" w:rsidRPr="00B97923" w:rsidRDefault="00334DB4" w:rsidP="27EEF6FD">
      <w:pPr>
        <w:spacing w:line="259" w:lineRule="auto"/>
        <w:rPr>
          <w:rFonts w:ascii="Arial" w:hAnsi="Arial" w:cs="Arial"/>
          <w:sz w:val="22"/>
          <w:szCs w:val="22"/>
          <w:lang w:val="en-CA"/>
        </w:rPr>
      </w:pPr>
      <w:r w:rsidRPr="00B97923">
        <w:rPr>
          <w:rFonts w:ascii="Arial" w:hAnsi="Arial" w:cs="Arial"/>
          <w:sz w:val="22"/>
          <w:szCs w:val="22"/>
          <w:lang w:val="en-CA"/>
        </w:rPr>
        <w:t xml:space="preserve">Chronic myocardial infarction (CMI) was diagnosed in the appropriate clinical context and if LGE imaging demonstrated a typical subendocardial or transmural enhancement pattern consistent with ischaemic scar, and no evidence of oedema on T2-weighted imaging or mapping </w:t>
      </w:r>
      <w:r w:rsidRPr="00B97923">
        <w:rPr>
          <w:rFonts w:ascii="Arial" w:hAnsi="Arial" w:cs="Arial"/>
          <w:sz w:val="22"/>
          <w:szCs w:val="22"/>
          <w:lang w:val="en-CA"/>
        </w:rPr>
        <w:fldChar w:fldCharType="begin"/>
      </w:r>
      <w:r w:rsidRPr="00B97923">
        <w:rPr>
          <w:rFonts w:ascii="Arial" w:hAnsi="Arial" w:cs="Arial"/>
          <w:sz w:val="22"/>
          <w:szCs w:val="22"/>
          <w:lang w:val="en-CA"/>
        </w:rPr>
        <w:instrText xml:space="preserve"> ADDIN ZOTERO_ITEM CSL_CITATION {"citationID":"7g9oW0OS","properties":{"formattedCitation":"(3)","plainCitation":"(3)","noteIndex":0},"citationItems":[{"id":1005,"uris":["http://zotero.org/users/9127123/items/P7XSIDSX"],"itemData":{"id":1005,"type":"article-journal","abstract":"Background—\n              \n              Delayed enhancement (DE) cardiovascular magnetic resonance (CMR) detects acute and chronic myocardial infarction (MI) by visualizing contrast media accumulation in infarcted segments. T2-weighted CMR depicts infarct-related myocardial edema as a marker of acute but not chronic myocardial injury. We investigated the clinical utility of an approach combining both techniques to differentiate acute from chronic MI.\n            \n            \n              \n                Methods and Results—\n              \n              Seventy-three MI patients were studied in 2 groups. Group A consisted of 15 acute MI patients who were studied twice, on day 1 and 3 months after MI. In group B, 58 patients with acute or chronic MI underwent 1 CMR scan. T2-weighted and DE images of matched slices were acquired on a 1.5-T system. In group A, quantitative segmental and region of interest-based analyses were performed to observe signal changes between the acute and chronic phases. In group B, T2-weighted and DE images were examined visually by 2 blinded observers for the presence or absence of hyperintense areas in corresponding segments. For infarct localization, coronary angiography and/or ECG changes served as the reference standard. In group A, the contrast-to-noise ratio on T2-weighted images dropped in the infarcted segments from 2.7±1.1 on day 1 to 0.1±1.2 after 3 months (\n              P\n              &lt;0.0001). There was no significant change in contrast-to-noise ratio in DE images (1.9±1.5 versus 1.3±1.0;\n              P\n              =NS). The qualitative assessment of T2-weighted and DE images in group B yielded a specificity of 96% to differentiate acute from chronic lesions.\n            \n            \n              \n                Conclusions—\n              \n              An imaging approach combining DE and T2-weighted CMR accurately differentiates acute from chronic MI.","container-title":"Circulation","DOI":"10.1161/01.CIR.0000127428.10985.C6","ISSN":"0009-7322, 1524-4539","issue":"20","journalAbbreviation":"Circulation","language":"en","page":"2411-2416","source":"DOI.org (Crossref)","title":"Delayed Enhancement and T2-Weighted Cardiovascular Magnetic Resonance Imaging Differentiate Acute From Chronic Myocardial Infarction","volume":"109","author":[{"family":"Abdel-Aty","given":"Hassan"},{"family":"Zagrosek","given":"Anja"},{"family":"Schulz-Menger","given":"Jeanette"},{"family":"Taylor","given":"Andrew J."},{"family":"Messroghli","given":"Daniel"},{"family":"Kumar","given":"Andreas"},{"family":"Gross","given":"Michael"},{"family":"Dietz","given":"Rainer"},{"family":"Friedrich","given":"Matthias G."}],"issued":{"date-parts":[["2004",5,25]]}}}],"schema":"https://github.com/citation-style-language/schema/raw/master/csl-citation.json"} </w:instrText>
      </w:r>
      <w:r w:rsidRPr="00B97923">
        <w:rPr>
          <w:rFonts w:ascii="Arial" w:hAnsi="Arial" w:cs="Arial"/>
          <w:sz w:val="22"/>
          <w:szCs w:val="22"/>
          <w:lang w:val="en-CA"/>
        </w:rPr>
        <w:fldChar w:fldCharType="separate"/>
      </w:r>
      <w:r w:rsidR="00EA5045" w:rsidRPr="00B97923">
        <w:rPr>
          <w:rFonts w:ascii="Arial" w:hAnsi="Arial" w:cs="Arial"/>
          <w:noProof/>
          <w:sz w:val="22"/>
          <w:szCs w:val="22"/>
          <w:lang w:val="en-CA"/>
        </w:rPr>
        <w:t>(3)</w:t>
      </w:r>
      <w:r w:rsidRPr="00B97923">
        <w:rPr>
          <w:rFonts w:ascii="Arial" w:hAnsi="Arial" w:cs="Arial"/>
          <w:sz w:val="22"/>
          <w:szCs w:val="22"/>
          <w:lang w:val="en-CA"/>
        </w:rPr>
        <w:fldChar w:fldCharType="end"/>
      </w:r>
      <w:r w:rsidRPr="00B97923">
        <w:rPr>
          <w:rFonts w:ascii="Arial" w:hAnsi="Arial" w:cs="Arial"/>
          <w:sz w:val="22"/>
          <w:szCs w:val="22"/>
          <w:lang w:val="en-CA"/>
        </w:rPr>
        <w:t>. Cases with microvascular obstruction (MVO) were excluded.</w:t>
      </w:r>
    </w:p>
    <w:p w14:paraId="44F730E1" w14:textId="77777777" w:rsidR="00EA5045" w:rsidRPr="00B97923" w:rsidRDefault="00EA5045" w:rsidP="27EEF6FD">
      <w:pPr>
        <w:spacing w:line="259" w:lineRule="auto"/>
        <w:rPr>
          <w:rFonts w:ascii="Arial" w:hAnsi="Arial" w:cs="Arial"/>
          <w:sz w:val="22"/>
          <w:szCs w:val="22"/>
          <w:lang w:val="en-CA"/>
        </w:rPr>
      </w:pPr>
    </w:p>
    <w:p w14:paraId="58D54697" w14:textId="4A3D51DE" w:rsidR="000E68B4" w:rsidRPr="00B97923" w:rsidRDefault="00334DB4" w:rsidP="27EEF6FD">
      <w:pPr>
        <w:spacing w:line="259" w:lineRule="auto"/>
        <w:rPr>
          <w:rFonts w:ascii="Arial" w:hAnsi="Arial" w:cs="Arial"/>
          <w:sz w:val="22"/>
          <w:szCs w:val="22"/>
          <w:lang w:val="en-CA"/>
        </w:rPr>
      </w:pPr>
      <w:r w:rsidRPr="00B97923">
        <w:rPr>
          <w:rFonts w:ascii="Arial" w:hAnsi="Arial" w:cs="Arial"/>
          <w:sz w:val="22"/>
          <w:szCs w:val="22"/>
          <w:lang w:val="en-CA"/>
        </w:rPr>
        <w:t xml:space="preserve">Hypertrophic cardiomyopathy (HCM) was diagnosed based on imaging evidence of left ventricular hypertrophy (maximum wall thickness ≥15 mm at any site) in the absence of other cardiac, metabolic, or systemic conditions capable of producing similar hypertrophy </w:t>
      </w:r>
      <w:r w:rsidRPr="00B97923">
        <w:rPr>
          <w:rFonts w:ascii="Arial" w:hAnsi="Arial" w:cs="Arial"/>
          <w:sz w:val="22"/>
          <w:szCs w:val="22"/>
          <w:lang w:val="en-CA"/>
        </w:rPr>
        <w:fldChar w:fldCharType="begin"/>
      </w:r>
      <w:r w:rsidRPr="00B97923">
        <w:rPr>
          <w:rFonts w:ascii="Arial" w:hAnsi="Arial" w:cs="Arial"/>
          <w:sz w:val="22"/>
          <w:szCs w:val="22"/>
          <w:lang w:val="en-CA"/>
        </w:rPr>
        <w:instrText xml:space="preserve"> ADDIN ZOTERO_ITEM CSL_CITATION {"citationID":"Ny3ourcS","properties":{"formattedCitation":"(4)","plainCitation":"(4)","noteIndex":0},"citationItems":[{"id":1004,"uris":["http://zotero.org/users/9127123/items/Z8PZD7T8"],"itemData":{"id":1004,"type":"article-journal","container-title":"Journal of the American College of Cardiology","DOI":"10.1016/j.jacc.2021.12.002","ISSN":"07351097","issue":"4","journalAbbreviation":"Journal of the American College of Cardiology","language":"en","page":"372-389","source":"DOI.org (Crossref)","title":"Diagnosis and Evaluation of Hypertrophic Cardiomyopathy","volume":"79","author":[{"family":"Maron","given":"Barry J."},{"family":"Desai","given":"Milind Y."},{"family":"Nishimura","given":"Rick A."},{"family":"Spirito","given":"Paolo"},{"family":"Rakowski","given":"Harry"},{"family":"Towbin","given":"Jeffrey A."},{"family":"Rowin","given":"Ethan J."},{"family":"Maron","given":"Martin S."},{"family":"Sherrid","given":"Mark V."}],"issued":{"date-parts":[["2022",2]]}}}],"schema":"https://github.com/citation-style-language/schema/raw/master/csl-citation.json"} </w:instrText>
      </w:r>
      <w:r w:rsidRPr="00B97923">
        <w:rPr>
          <w:rFonts w:ascii="Arial" w:hAnsi="Arial" w:cs="Arial"/>
          <w:sz w:val="22"/>
          <w:szCs w:val="22"/>
          <w:lang w:val="en-CA"/>
        </w:rPr>
        <w:fldChar w:fldCharType="separate"/>
      </w:r>
      <w:r w:rsidR="00A25C63" w:rsidRPr="00B97923">
        <w:rPr>
          <w:rFonts w:ascii="Arial" w:hAnsi="Arial" w:cs="Arial"/>
          <w:noProof/>
          <w:sz w:val="22"/>
          <w:szCs w:val="22"/>
          <w:lang w:val="en-CA"/>
        </w:rPr>
        <w:t>(4)</w:t>
      </w:r>
      <w:r w:rsidRPr="00B97923">
        <w:rPr>
          <w:rFonts w:ascii="Arial" w:hAnsi="Arial" w:cs="Arial"/>
          <w:sz w:val="22"/>
          <w:szCs w:val="22"/>
          <w:lang w:val="en-CA"/>
        </w:rPr>
        <w:fldChar w:fldCharType="end"/>
      </w:r>
      <w:r w:rsidRPr="00B97923">
        <w:rPr>
          <w:rFonts w:ascii="Arial" w:hAnsi="Arial" w:cs="Arial"/>
          <w:sz w:val="22"/>
          <w:szCs w:val="22"/>
          <w:lang w:val="en-CA"/>
        </w:rPr>
        <w:t>.</w:t>
      </w:r>
    </w:p>
    <w:p w14:paraId="471DFFF2" w14:textId="77777777" w:rsidR="00EB7ABE" w:rsidRPr="00B97923" w:rsidRDefault="00EB7ABE" w:rsidP="27EEF6FD">
      <w:pPr>
        <w:spacing w:line="259" w:lineRule="auto"/>
        <w:rPr>
          <w:rFonts w:ascii="Arial" w:hAnsi="Arial" w:cs="Arial"/>
          <w:sz w:val="22"/>
          <w:szCs w:val="22"/>
          <w:lang w:val="en-CA"/>
        </w:rPr>
      </w:pPr>
    </w:p>
    <w:p w14:paraId="7FB57C3B" w14:textId="51E03571" w:rsidR="00EB7ABE" w:rsidRPr="00B97923" w:rsidRDefault="00EB7ABE" w:rsidP="27EEF6FD">
      <w:pPr>
        <w:spacing w:line="259" w:lineRule="auto"/>
        <w:rPr>
          <w:rFonts w:ascii="Arial" w:hAnsi="Arial" w:cs="Arial"/>
          <w:b/>
          <w:bCs/>
          <w:sz w:val="22"/>
          <w:szCs w:val="22"/>
          <w:lang w:val="en-CA"/>
        </w:rPr>
      </w:pPr>
      <w:r w:rsidRPr="00B97923">
        <w:rPr>
          <w:rFonts w:ascii="Arial" w:hAnsi="Arial" w:cs="Arial"/>
          <w:b/>
          <w:bCs/>
          <w:sz w:val="22"/>
          <w:szCs w:val="22"/>
          <w:lang w:val="en-CA"/>
        </w:rPr>
        <w:t>Image Quality Criteria</w:t>
      </w:r>
    </w:p>
    <w:p w14:paraId="366E7F47" w14:textId="77777777" w:rsidR="00EB7ABE" w:rsidRPr="00B97923" w:rsidRDefault="00EB7ABE" w:rsidP="27EEF6FD">
      <w:pPr>
        <w:spacing w:line="259" w:lineRule="auto"/>
        <w:rPr>
          <w:rFonts w:ascii="Arial" w:hAnsi="Arial" w:cs="Arial"/>
          <w:sz w:val="22"/>
          <w:szCs w:val="22"/>
          <w:lang w:val="en-CA"/>
        </w:rPr>
      </w:pPr>
    </w:p>
    <w:p w14:paraId="10A802A3" w14:textId="1BC679F6" w:rsidR="00EB7ABE" w:rsidRPr="00B97923" w:rsidRDefault="00786781" w:rsidP="27EEF6FD">
      <w:pPr>
        <w:spacing w:line="259" w:lineRule="auto"/>
        <w:rPr>
          <w:rFonts w:ascii="Arial" w:hAnsi="Arial" w:cs="Arial"/>
          <w:sz w:val="22"/>
          <w:szCs w:val="22"/>
          <w:lang w:val="en-CA"/>
        </w:rPr>
      </w:pPr>
      <w:r w:rsidRPr="00B97923">
        <w:rPr>
          <w:rFonts w:ascii="Arial" w:hAnsi="Arial" w:cs="Arial"/>
          <w:sz w:val="22"/>
          <w:szCs w:val="22"/>
          <w:lang w:val="en-CA"/>
        </w:rPr>
        <w:t>I</w:t>
      </w:r>
      <w:r w:rsidR="00EB7ABE" w:rsidRPr="00B97923">
        <w:rPr>
          <w:rFonts w:ascii="Arial" w:hAnsi="Arial" w:cs="Arial"/>
          <w:sz w:val="22"/>
          <w:szCs w:val="22"/>
          <w:lang w:val="en-CA"/>
        </w:rPr>
        <w:t>mage</w:t>
      </w:r>
      <w:r w:rsidRPr="00B97923">
        <w:rPr>
          <w:rFonts w:ascii="Arial" w:hAnsi="Arial" w:cs="Arial"/>
          <w:sz w:val="22"/>
          <w:szCs w:val="22"/>
          <w:lang w:val="en-CA"/>
        </w:rPr>
        <w:t xml:space="preserve"> quality was considered</w:t>
      </w:r>
      <w:r w:rsidR="00EB7ABE" w:rsidRPr="00B97923">
        <w:rPr>
          <w:rFonts w:ascii="Arial" w:hAnsi="Arial" w:cs="Arial"/>
          <w:sz w:val="22"/>
          <w:szCs w:val="22"/>
          <w:lang w:val="en-CA"/>
        </w:rPr>
        <w:t xml:space="preserve"> suitable for LGE quantification if the following criteria were met:</w:t>
      </w:r>
    </w:p>
    <w:p w14:paraId="1879D4B3" w14:textId="5093A6F8" w:rsidR="00EB7ABE" w:rsidRPr="00B97923" w:rsidRDefault="00B20006" w:rsidP="27EEF6FD">
      <w:pPr>
        <w:pStyle w:val="Listenabsatz"/>
        <w:numPr>
          <w:ilvl w:val="0"/>
          <w:numId w:val="3"/>
        </w:numPr>
        <w:spacing w:line="259" w:lineRule="auto"/>
        <w:rPr>
          <w:rFonts w:ascii="Arial" w:hAnsi="Arial" w:cs="Arial"/>
          <w:sz w:val="22"/>
          <w:szCs w:val="22"/>
          <w:lang w:val="en-CA"/>
        </w:rPr>
      </w:pPr>
      <w:r w:rsidRPr="00B97923">
        <w:rPr>
          <w:rFonts w:ascii="Arial" w:hAnsi="Arial" w:cs="Arial"/>
          <w:sz w:val="22"/>
          <w:szCs w:val="22"/>
          <w:lang w:val="en-CA"/>
        </w:rPr>
        <w:t>c</w:t>
      </w:r>
      <w:r w:rsidR="00EB7ABE" w:rsidRPr="00B97923">
        <w:rPr>
          <w:rFonts w:ascii="Arial" w:hAnsi="Arial" w:cs="Arial"/>
          <w:sz w:val="22"/>
          <w:szCs w:val="22"/>
          <w:lang w:val="en-CA"/>
        </w:rPr>
        <w:t>lear delineation of endocardial and epicardial borders,</w:t>
      </w:r>
    </w:p>
    <w:p w14:paraId="14E19452" w14:textId="39FE2F00" w:rsidR="00EB7ABE" w:rsidRPr="00B97923" w:rsidRDefault="00B20006" w:rsidP="27EEF6FD">
      <w:pPr>
        <w:pStyle w:val="Listenabsatz"/>
        <w:numPr>
          <w:ilvl w:val="0"/>
          <w:numId w:val="3"/>
        </w:numPr>
        <w:spacing w:line="259" w:lineRule="auto"/>
        <w:rPr>
          <w:rFonts w:ascii="Arial" w:hAnsi="Arial" w:cs="Arial"/>
          <w:sz w:val="22"/>
          <w:szCs w:val="22"/>
          <w:lang w:val="en-CA"/>
        </w:rPr>
      </w:pPr>
      <w:r w:rsidRPr="00B97923">
        <w:rPr>
          <w:rFonts w:ascii="Arial" w:hAnsi="Arial" w:cs="Arial"/>
          <w:sz w:val="22"/>
          <w:szCs w:val="22"/>
          <w:lang w:val="en-CA"/>
        </w:rPr>
        <w:t>f</w:t>
      </w:r>
      <w:r w:rsidR="00EB7ABE" w:rsidRPr="00B97923">
        <w:rPr>
          <w:rFonts w:ascii="Arial" w:hAnsi="Arial" w:cs="Arial"/>
          <w:sz w:val="22"/>
          <w:szCs w:val="22"/>
          <w:lang w:val="en-CA"/>
        </w:rPr>
        <w:t>ibrosis or scar visibly distinguishable from surrounding tissue,</w:t>
      </w:r>
    </w:p>
    <w:p w14:paraId="2D03D798" w14:textId="4833E911" w:rsidR="00EB7ABE" w:rsidRPr="00B97923" w:rsidRDefault="00B20006" w:rsidP="27EEF6FD">
      <w:pPr>
        <w:pStyle w:val="Listenabsatz"/>
        <w:numPr>
          <w:ilvl w:val="0"/>
          <w:numId w:val="3"/>
        </w:numPr>
        <w:spacing w:line="259" w:lineRule="auto"/>
        <w:rPr>
          <w:rFonts w:ascii="Arial" w:hAnsi="Arial" w:cs="Arial"/>
          <w:sz w:val="22"/>
          <w:szCs w:val="22"/>
          <w:lang w:val="en-CA"/>
        </w:rPr>
      </w:pPr>
      <w:r w:rsidRPr="00B97923">
        <w:rPr>
          <w:rFonts w:ascii="Arial" w:hAnsi="Arial" w:cs="Arial"/>
          <w:sz w:val="22"/>
          <w:szCs w:val="22"/>
          <w:lang w:val="en-CA"/>
        </w:rPr>
        <w:t>b</w:t>
      </w:r>
      <w:r w:rsidR="00EB7ABE" w:rsidRPr="00B97923">
        <w:rPr>
          <w:rFonts w:ascii="Arial" w:hAnsi="Arial" w:cs="Arial"/>
          <w:sz w:val="22"/>
          <w:szCs w:val="22"/>
          <w:lang w:val="en-CA"/>
        </w:rPr>
        <w:t>oth the scar region and reference (remote) myocardium free of relevant artifacts, and</w:t>
      </w:r>
    </w:p>
    <w:p w14:paraId="3DFBA39A" w14:textId="5C512BF2" w:rsidR="000551EA" w:rsidRPr="00B97923" w:rsidRDefault="00B20006" w:rsidP="27EEF6FD">
      <w:pPr>
        <w:pStyle w:val="Listenabsatz"/>
        <w:numPr>
          <w:ilvl w:val="0"/>
          <w:numId w:val="3"/>
        </w:numPr>
        <w:spacing w:line="259" w:lineRule="auto"/>
        <w:rPr>
          <w:rFonts w:ascii="Arial" w:hAnsi="Arial" w:cs="Arial"/>
          <w:sz w:val="22"/>
          <w:szCs w:val="22"/>
          <w:lang w:val="en-CA"/>
        </w:rPr>
      </w:pPr>
      <w:r w:rsidRPr="00B97923">
        <w:rPr>
          <w:rFonts w:ascii="Arial" w:hAnsi="Arial" w:cs="Arial"/>
          <w:sz w:val="22"/>
          <w:szCs w:val="22"/>
          <w:lang w:val="en-CA"/>
        </w:rPr>
        <w:t>m</w:t>
      </w:r>
      <w:r w:rsidR="00EB7ABE" w:rsidRPr="00B97923">
        <w:rPr>
          <w:rFonts w:ascii="Arial" w:hAnsi="Arial" w:cs="Arial"/>
          <w:sz w:val="22"/>
          <w:szCs w:val="22"/>
          <w:lang w:val="en-CA"/>
        </w:rPr>
        <w:t>inor artefacts affecting less than 25% of a myocardial segment</w:t>
      </w:r>
      <w:r w:rsidRPr="00B97923">
        <w:rPr>
          <w:rFonts w:ascii="Arial" w:hAnsi="Arial" w:cs="Arial"/>
          <w:sz w:val="22"/>
          <w:szCs w:val="22"/>
          <w:lang w:val="en-CA"/>
        </w:rPr>
        <w:t xml:space="preserve">, </w:t>
      </w:r>
      <w:r w:rsidR="00EB7ABE" w:rsidRPr="00B97923">
        <w:rPr>
          <w:rFonts w:ascii="Arial" w:hAnsi="Arial" w:cs="Arial"/>
          <w:sz w:val="22"/>
          <w:szCs w:val="22"/>
          <w:lang w:val="en-CA"/>
        </w:rPr>
        <w:t>and not overlapping with areas of fibrosis</w:t>
      </w:r>
      <w:r w:rsidRPr="00B97923">
        <w:rPr>
          <w:rFonts w:ascii="Arial" w:hAnsi="Arial" w:cs="Arial"/>
          <w:sz w:val="22"/>
          <w:szCs w:val="22"/>
          <w:lang w:val="en-CA"/>
        </w:rPr>
        <w:t xml:space="preserve">, </w:t>
      </w:r>
      <w:r w:rsidR="00EB7ABE" w:rsidRPr="00B97923">
        <w:rPr>
          <w:rFonts w:ascii="Arial" w:hAnsi="Arial" w:cs="Arial"/>
          <w:sz w:val="22"/>
          <w:szCs w:val="22"/>
          <w:lang w:val="en-CA"/>
        </w:rPr>
        <w:t>were accepted.</w:t>
      </w:r>
    </w:p>
    <w:p w14:paraId="1A4F6152" w14:textId="77777777" w:rsidR="000551EA" w:rsidRPr="00B97923" w:rsidRDefault="000551EA" w:rsidP="27EEF6FD">
      <w:pPr>
        <w:spacing w:line="259" w:lineRule="auto"/>
        <w:rPr>
          <w:rFonts w:ascii="Arial" w:hAnsi="Arial" w:cs="Arial"/>
          <w:sz w:val="22"/>
          <w:szCs w:val="22"/>
          <w:lang w:val="en-CA"/>
        </w:rPr>
      </w:pPr>
    </w:p>
    <w:p w14:paraId="3ACFED87" w14:textId="25B1351D" w:rsidR="00EB7ABE" w:rsidRPr="00B97923" w:rsidRDefault="00EB7ABE" w:rsidP="27EEF6FD">
      <w:pPr>
        <w:spacing w:line="259" w:lineRule="auto"/>
        <w:rPr>
          <w:rFonts w:ascii="Arial" w:hAnsi="Arial" w:cs="Arial"/>
          <w:sz w:val="22"/>
          <w:szCs w:val="22"/>
          <w:lang w:val="en-CA"/>
        </w:rPr>
      </w:pPr>
      <w:r w:rsidRPr="00B97923">
        <w:rPr>
          <w:rFonts w:ascii="Arial" w:hAnsi="Arial" w:cs="Arial"/>
          <w:sz w:val="22"/>
          <w:szCs w:val="22"/>
          <w:lang w:val="en-CA"/>
        </w:rPr>
        <w:t>Regions affected by artifacts were manually excluded from analysis.</w:t>
      </w:r>
    </w:p>
    <w:p w14:paraId="11089CA3" w14:textId="77777777" w:rsidR="002456E5" w:rsidRPr="00B97923" w:rsidRDefault="002456E5" w:rsidP="002456E5">
      <w:pPr>
        <w:spacing w:line="259" w:lineRule="auto"/>
        <w:rPr>
          <w:rFonts w:ascii="Arial" w:hAnsi="Arial" w:cs="Arial"/>
          <w:sz w:val="22"/>
          <w:szCs w:val="22"/>
          <w:lang w:val="en-CA"/>
        </w:rPr>
      </w:pPr>
    </w:p>
    <w:p w14:paraId="3A9CA91B" w14:textId="09F2CBC1" w:rsidR="00911F99" w:rsidRPr="00B97923" w:rsidRDefault="00911F99" w:rsidP="002456E5">
      <w:pPr>
        <w:spacing w:line="259" w:lineRule="auto"/>
        <w:rPr>
          <w:rFonts w:ascii="Arial" w:hAnsi="Arial" w:cs="Arial"/>
          <w:sz w:val="22"/>
          <w:szCs w:val="22"/>
          <w:lang w:val="en-CA"/>
        </w:rPr>
      </w:pPr>
    </w:p>
    <w:p w14:paraId="307BBF52" w14:textId="3D2394F6" w:rsidR="002456E5" w:rsidRPr="00B97923" w:rsidRDefault="002456E5" w:rsidP="27EEF6FD">
      <w:pPr>
        <w:spacing w:line="259" w:lineRule="auto"/>
        <w:rPr>
          <w:rFonts w:ascii="Arial" w:hAnsi="Arial" w:cs="Arial"/>
          <w:b/>
          <w:bCs/>
          <w:sz w:val="22"/>
          <w:szCs w:val="22"/>
          <w:lang w:val="en-CA"/>
        </w:rPr>
      </w:pPr>
      <w:r w:rsidRPr="00B97923">
        <w:rPr>
          <w:rFonts w:ascii="Arial" w:hAnsi="Arial" w:cs="Arial"/>
          <w:b/>
          <w:bCs/>
          <w:sz w:val="22"/>
          <w:szCs w:val="22"/>
          <w:lang w:val="en-CA"/>
        </w:rPr>
        <w:t>References</w:t>
      </w:r>
    </w:p>
    <w:p w14:paraId="54665A0E" w14:textId="77777777" w:rsidR="002456E5" w:rsidRPr="00B97923" w:rsidRDefault="002456E5" w:rsidP="27EEF6FD">
      <w:pPr>
        <w:spacing w:line="259" w:lineRule="auto"/>
        <w:rPr>
          <w:rFonts w:ascii="Arial" w:hAnsi="Arial" w:cs="Arial"/>
          <w:sz w:val="22"/>
          <w:szCs w:val="22"/>
          <w:lang w:val="en-CA"/>
        </w:rPr>
      </w:pPr>
    </w:p>
    <w:p w14:paraId="0760F502" w14:textId="77777777" w:rsidR="002456E5" w:rsidRPr="00B97923" w:rsidRDefault="002456E5" w:rsidP="27EEF6FD">
      <w:pPr>
        <w:pStyle w:val="Literaturverzeichnis"/>
        <w:rPr>
          <w:rFonts w:ascii="Arial" w:eastAsiaTheme="minorEastAsia" w:hAnsi="Arial" w:cs="Arial"/>
          <w:sz w:val="22"/>
          <w:szCs w:val="22"/>
          <w:lang w:eastAsia="en-US"/>
        </w:rPr>
      </w:pPr>
      <w:r w:rsidRPr="00B97923">
        <w:rPr>
          <w:rFonts w:ascii="Arial" w:hAnsi="Arial" w:cs="Arial"/>
          <w:sz w:val="22"/>
          <w:szCs w:val="22"/>
          <w:lang w:val="en-CA"/>
        </w:rPr>
        <w:fldChar w:fldCharType="begin"/>
      </w:r>
      <w:r w:rsidRPr="00B97923">
        <w:rPr>
          <w:rFonts w:ascii="Arial" w:hAnsi="Arial" w:cs="Arial"/>
          <w:sz w:val="22"/>
          <w:szCs w:val="22"/>
          <w:lang w:val="en-CA"/>
        </w:rPr>
        <w:instrText xml:space="preserve"> ADDIN ZOTERO_BIBL {"uncited":[],"omitted":[],"custom":[]} CSL_BIBLIOGRAPHY </w:instrText>
      </w:r>
      <w:r w:rsidRPr="00B97923">
        <w:rPr>
          <w:rFonts w:ascii="Arial" w:hAnsi="Arial" w:cs="Arial"/>
          <w:sz w:val="22"/>
          <w:szCs w:val="22"/>
          <w:lang w:val="en-CA"/>
        </w:rPr>
        <w:fldChar w:fldCharType="separate"/>
      </w:r>
      <w:r w:rsidRPr="00B97923">
        <w:rPr>
          <w:rFonts w:ascii="Arial" w:eastAsiaTheme="minorEastAsia" w:hAnsi="Arial" w:cs="Arial"/>
          <w:sz w:val="22"/>
          <w:szCs w:val="22"/>
          <w:lang w:eastAsia="en-US"/>
        </w:rPr>
        <w:t xml:space="preserve">1. </w:t>
      </w:r>
      <w:r w:rsidRPr="00B97923">
        <w:tab/>
      </w:r>
      <w:r w:rsidRPr="00B97923">
        <w:rPr>
          <w:rFonts w:ascii="Arial" w:eastAsiaTheme="minorEastAsia" w:hAnsi="Arial" w:cs="Arial"/>
          <w:sz w:val="22"/>
          <w:szCs w:val="22"/>
          <w:lang w:eastAsia="en-US"/>
        </w:rPr>
        <w:t xml:space="preserve">Ferreira VM, Schulz-Menger J, Holmvang G, Kramer CM, Carbone I, Sechtem U, Kindermann I, Gutberlet M, Cooper LT, Liu P, et al. Cardiovascular Magnetic Resonance in Nonischemic Myocardial Inflammation. </w:t>
      </w:r>
      <w:r w:rsidRPr="00B97923">
        <w:rPr>
          <w:rFonts w:ascii="Arial" w:eastAsiaTheme="minorEastAsia" w:hAnsi="Arial" w:cs="Arial"/>
          <w:i/>
          <w:iCs/>
          <w:sz w:val="22"/>
          <w:szCs w:val="22"/>
          <w:lang w:eastAsia="en-US"/>
        </w:rPr>
        <w:t>J Am Coll Cardiol</w:t>
      </w:r>
      <w:r w:rsidRPr="00B97923">
        <w:rPr>
          <w:rFonts w:ascii="Arial" w:eastAsiaTheme="minorEastAsia" w:hAnsi="Arial" w:cs="Arial"/>
          <w:sz w:val="22"/>
          <w:szCs w:val="22"/>
          <w:lang w:eastAsia="en-US"/>
        </w:rPr>
        <w:t xml:space="preserve"> (2018) 72:3158–3176. doi: 10.1016/j.jacc.2018.09.072</w:t>
      </w:r>
    </w:p>
    <w:p w14:paraId="2DA40F4A" w14:textId="77777777" w:rsidR="002456E5" w:rsidRPr="00B97923" w:rsidRDefault="002456E5" w:rsidP="27EEF6FD">
      <w:pPr>
        <w:pStyle w:val="Literaturverzeichnis"/>
        <w:rPr>
          <w:rFonts w:ascii="Arial" w:eastAsiaTheme="minorEastAsia" w:hAnsi="Arial" w:cs="Arial"/>
          <w:sz w:val="22"/>
          <w:szCs w:val="22"/>
          <w:lang w:eastAsia="en-US"/>
        </w:rPr>
      </w:pPr>
      <w:r w:rsidRPr="00B97923">
        <w:rPr>
          <w:rFonts w:ascii="Arial" w:eastAsiaTheme="minorEastAsia" w:hAnsi="Arial" w:cs="Arial"/>
          <w:sz w:val="22"/>
          <w:szCs w:val="22"/>
          <w:lang w:eastAsia="en-US"/>
        </w:rPr>
        <w:t xml:space="preserve">2. </w:t>
      </w:r>
      <w:r w:rsidRPr="00B97923">
        <w:tab/>
      </w:r>
      <w:r w:rsidRPr="00B97923">
        <w:rPr>
          <w:rFonts w:ascii="Arial" w:eastAsiaTheme="minorEastAsia" w:hAnsi="Arial" w:cs="Arial"/>
          <w:sz w:val="22"/>
          <w:szCs w:val="22"/>
          <w:lang w:eastAsia="en-US"/>
        </w:rPr>
        <w:t xml:space="preserve">Friedrich MG, Sechtem U, Schulz-Menger J, Holmvang G, Alakija P, Cooper LT, White JA, Abdel-Aty H, Gutberlet M, Prasad S, et al. Cardiovascular Magnetic Resonance in Myocarditis: A JACC White Paper. </w:t>
      </w:r>
      <w:r w:rsidRPr="00B97923">
        <w:rPr>
          <w:rFonts w:ascii="Arial" w:eastAsiaTheme="minorEastAsia" w:hAnsi="Arial" w:cs="Arial"/>
          <w:i/>
          <w:iCs/>
          <w:sz w:val="22"/>
          <w:szCs w:val="22"/>
          <w:lang w:eastAsia="en-US"/>
        </w:rPr>
        <w:t>J Am Coll Cardiol</w:t>
      </w:r>
      <w:r w:rsidRPr="00B97923">
        <w:rPr>
          <w:rFonts w:ascii="Arial" w:eastAsiaTheme="minorEastAsia" w:hAnsi="Arial" w:cs="Arial"/>
          <w:sz w:val="22"/>
          <w:szCs w:val="22"/>
          <w:lang w:eastAsia="en-US"/>
        </w:rPr>
        <w:t xml:space="preserve"> (2009) 53:1475–1487. doi: 10.1016/j.jacc.2009.02.007</w:t>
      </w:r>
    </w:p>
    <w:p w14:paraId="09EB6141" w14:textId="77777777" w:rsidR="002456E5" w:rsidRPr="00B97923" w:rsidRDefault="002456E5" w:rsidP="27EEF6FD">
      <w:pPr>
        <w:pStyle w:val="Literaturverzeichnis"/>
        <w:rPr>
          <w:rFonts w:ascii="Arial" w:eastAsiaTheme="minorEastAsia" w:hAnsi="Arial" w:cs="Arial"/>
          <w:sz w:val="22"/>
          <w:szCs w:val="22"/>
          <w:lang w:eastAsia="en-US"/>
        </w:rPr>
      </w:pPr>
      <w:r w:rsidRPr="00B97923">
        <w:rPr>
          <w:rFonts w:ascii="Arial" w:eastAsiaTheme="minorEastAsia" w:hAnsi="Arial" w:cs="Arial"/>
          <w:sz w:val="22"/>
          <w:szCs w:val="22"/>
          <w:lang w:eastAsia="en-US"/>
        </w:rPr>
        <w:t xml:space="preserve">3. </w:t>
      </w:r>
      <w:r w:rsidRPr="00B97923">
        <w:tab/>
      </w:r>
      <w:r w:rsidRPr="00B97923">
        <w:rPr>
          <w:rFonts w:ascii="Arial" w:eastAsiaTheme="minorEastAsia" w:hAnsi="Arial" w:cs="Arial"/>
          <w:sz w:val="22"/>
          <w:szCs w:val="22"/>
          <w:lang w:eastAsia="en-US"/>
        </w:rPr>
        <w:t xml:space="preserve">Abdel-Aty H, Zagrosek A, Schulz-Menger J, Taylor AJ, Messroghli D, Kumar A, Gross M, Dietz R, Friedrich MG. Delayed Enhancement and T2-Weighted Cardiovascular </w:t>
      </w:r>
      <w:r w:rsidRPr="00B97923">
        <w:rPr>
          <w:rFonts w:ascii="Arial" w:eastAsiaTheme="minorEastAsia" w:hAnsi="Arial" w:cs="Arial"/>
          <w:sz w:val="22"/>
          <w:szCs w:val="22"/>
          <w:lang w:eastAsia="en-US"/>
        </w:rPr>
        <w:lastRenderedPageBreak/>
        <w:t xml:space="preserve">Magnetic Resonance Imaging Differentiate Acute From Chronic Myocardial Infarction. </w:t>
      </w:r>
      <w:r w:rsidRPr="00B97923">
        <w:rPr>
          <w:rFonts w:ascii="Arial" w:eastAsiaTheme="minorEastAsia" w:hAnsi="Arial" w:cs="Arial"/>
          <w:i/>
          <w:iCs/>
          <w:sz w:val="22"/>
          <w:szCs w:val="22"/>
          <w:lang w:eastAsia="en-US"/>
        </w:rPr>
        <w:t>Circulation</w:t>
      </w:r>
      <w:r w:rsidRPr="00B97923">
        <w:rPr>
          <w:rFonts w:ascii="Arial" w:eastAsiaTheme="minorEastAsia" w:hAnsi="Arial" w:cs="Arial"/>
          <w:sz w:val="22"/>
          <w:szCs w:val="22"/>
          <w:lang w:eastAsia="en-US"/>
        </w:rPr>
        <w:t xml:space="preserve"> (2004) 109:2411–2416. doi: 10.1161/01.CIR.0000127428.10985.C6</w:t>
      </w:r>
    </w:p>
    <w:p w14:paraId="3A81CA51" w14:textId="32326BED" w:rsidR="002456E5" w:rsidRPr="00B97923" w:rsidRDefault="002456E5" w:rsidP="27EEF6FD">
      <w:pPr>
        <w:pStyle w:val="Literaturverzeichnis"/>
        <w:spacing w:line="259" w:lineRule="auto"/>
        <w:rPr>
          <w:rFonts w:ascii="Arial" w:eastAsiaTheme="minorEastAsia" w:hAnsi="Arial" w:cs="Arial"/>
          <w:sz w:val="22"/>
          <w:szCs w:val="22"/>
          <w:lang w:val="en-US" w:eastAsia="en-US"/>
        </w:rPr>
      </w:pPr>
      <w:r w:rsidRPr="00B97923">
        <w:rPr>
          <w:rFonts w:ascii="Arial" w:eastAsiaTheme="minorEastAsia" w:hAnsi="Arial" w:cs="Arial"/>
          <w:sz w:val="22"/>
          <w:szCs w:val="22"/>
          <w:lang w:val="en-US" w:eastAsia="en-US"/>
        </w:rPr>
        <w:t xml:space="preserve">4. </w:t>
      </w:r>
      <w:r w:rsidRPr="00B97923">
        <w:tab/>
      </w:r>
      <w:r w:rsidRPr="00B97923">
        <w:rPr>
          <w:rFonts w:ascii="Arial" w:eastAsiaTheme="minorEastAsia" w:hAnsi="Arial" w:cs="Arial"/>
          <w:sz w:val="22"/>
          <w:szCs w:val="22"/>
          <w:lang w:val="en-US" w:eastAsia="en-US"/>
        </w:rPr>
        <w:t xml:space="preserve">Maron BJ, Desai MY, Nishimura RA, Spirito P, Rakowski H, Towbin JA, Rowin EJ, Maron MS, Sherrid MV. Diagnosis and Evaluation of Hypertrophic Cardiomyopathy. </w:t>
      </w:r>
      <w:r w:rsidRPr="00B97923">
        <w:rPr>
          <w:rFonts w:ascii="Arial" w:eastAsiaTheme="minorEastAsia" w:hAnsi="Arial" w:cs="Arial"/>
          <w:i/>
          <w:iCs/>
          <w:sz w:val="22"/>
          <w:szCs w:val="22"/>
          <w:lang w:val="en-US" w:eastAsia="en-US"/>
        </w:rPr>
        <w:t>J Am Coll Cardiol</w:t>
      </w:r>
      <w:r w:rsidRPr="00B97923">
        <w:rPr>
          <w:rFonts w:ascii="Arial" w:eastAsiaTheme="minorEastAsia" w:hAnsi="Arial" w:cs="Arial"/>
          <w:sz w:val="22"/>
          <w:szCs w:val="22"/>
          <w:lang w:val="en-US" w:eastAsia="en-US"/>
        </w:rPr>
        <w:t xml:space="preserve"> (2022) 79:372–389. doi: 10.1016/j.jacc.2021.12.002</w:t>
      </w:r>
      <w:r w:rsidRPr="00B97923">
        <w:rPr>
          <w:rFonts w:ascii="Arial" w:hAnsi="Arial" w:cs="Arial"/>
          <w:sz w:val="22"/>
          <w:szCs w:val="22"/>
          <w:lang w:val="en-CA"/>
        </w:rPr>
        <w:fldChar w:fldCharType="end"/>
      </w:r>
    </w:p>
    <w:p w14:paraId="0171DB9E" w14:textId="205359B2" w:rsidR="27EEF6FD" w:rsidRPr="00B97923" w:rsidRDefault="27EEF6FD" w:rsidP="27EEF6FD">
      <w:pPr>
        <w:rPr>
          <w:lang w:val="en-US"/>
        </w:rPr>
      </w:pPr>
    </w:p>
    <w:sectPr w:rsidR="27EEF6FD" w:rsidRPr="00B979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Q7T29XcICPQ0CK" int2:id="z6eF4LEq">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DEE"/>
    <w:multiLevelType w:val="hybridMultilevel"/>
    <w:tmpl w:val="5192C3D2"/>
    <w:lvl w:ilvl="0" w:tplc="FCF292C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B85A93"/>
    <w:multiLevelType w:val="hybridMultilevel"/>
    <w:tmpl w:val="5AE2272A"/>
    <w:lvl w:ilvl="0" w:tplc="9C640D6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41338F"/>
    <w:multiLevelType w:val="hybridMultilevel"/>
    <w:tmpl w:val="629A08C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60196486"/>
    <w:multiLevelType w:val="hybridMultilevel"/>
    <w:tmpl w:val="7F9852E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49063066">
    <w:abstractNumId w:val="2"/>
  </w:num>
  <w:num w:numId="2" w16cid:durableId="1419249480">
    <w:abstractNumId w:val="0"/>
  </w:num>
  <w:num w:numId="3" w16cid:durableId="251473438">
    <w:abstractNumId w:val="3"/>
  </w:num>
  <w:num w:numId="4" w16cid:durableId="1706905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38"/>
    <w:rsid w:val="0000103B"/>
    <w:rsid w:val="000551EA"/>
    <w:rsid w:val="000D0B4A"/>
    <w:rsid w:val="000E68B4"/>
    <w:rsid w:val="001356C1"/>
    <w:rsid w:val="00180695"/>
    <w:rsid w:val="002456E5"/>
    <w:rsid w:val="002E1019"/>
    <w:rsid w:val="002F0CB9"/>
    <w:rsid w:val="00334DB4"/>
    <w:rsid w:val="003A19EA"/>
    <w:rsid w:val="00410EB9"/>
    <w:rsid w:val="00412B0B"/>
    <w:rsid w:val="00436E30"/>
    <w:rsid w:val="004576CC"/>
    <w:rsid w:val="00461300"/>
    <w:rsid w:val="004D6E4B"/>
    <w:rsid w:val="004F2F29"/>
    <w:rsid w:val="005675C1"/>
    <w:rsid w:val="005F4CB7"/>
    <w:rsid w:val="0074067E"/>
    <w:rsid w:val="007801EB"/>
    <w:rsid w:val="00786781"/>
    <w:rsid w:val="007944EF"/>
    <w:rsid w:val="00797898"/>
    <w:rsid w:val="007F2380"/>
    <w:rsid w:val="008A0C6F"/>
    <w:rsid w:val="008D6617"/>
    <w:rsid w:val="008F5EFB"/>
    <w:rsid w:val="00911F99"/>
    <w:rsid w:val="00943FE1"/>
    <w:rsid w:val="009F56CE"/>
    <w:rsid w:val="00A25C63"/>
    <w:rsid w:val="00A464AF"/>
    <w:rsid w:val="00B20006"/>
    <w:rsid w:val="00B305AE"/>
    <w:rsid w:val="00B53B9E"/>
    <w:rsid w:val="00B84C86"/>
    <w:rsid w:val="00B97923"/>
    <w:rsid w:val="00C230AF"/>
    <w:rsid w:val="00D139F6"/>
    <w:rsid w:val="00D2169A"/>
    <w:rsid w:val="00D26B38"/>
    <w:rsid w:val="00E9208D"/>
    <w:rsid w:val="00EA5045"/>
    <w:rsid w:val="00EB7ABE"/>
    <w:rsid w:val="00F53082"/>
    <w:rsid w:val="00F85497"/>
    <w:rsid w:val="00F9698C"/>
    <w:rsid w:val="00FE394E"/>
    <w:rsid w:val="00FF5316"/>
    <w:rsid w:val="02B7E064"/>
    <w:rsid w:val="0F4E5A0D"/>
    <w:rsid w:val="12E0C5E9"/>
    <w:rsid w:val="151FB89D"/>
    <w:rsid w:val="18EC8669"/>
    <w:rsid w:val="1949FFEB"/>
    <w:rsid w:val="19DD1BC8"/>
    <w:rsid w:val="1DEB984A"/>
    <w:rsid w:val="210C7A0B"/>
    <w:rsid w:val="255AF44C"/>
    <w:rsid w:val="257B4E6F"/>
    <w:rsid w:val="27E7395C"/>
    <w:rsid w:val="27EEF6FD"/>
    <w:rsid w:val="280536D5"/>
    <w:rsid w:val="291C41C1"/>
    <w:rsid w:val="3512B074"/>
    <w:rsid w:val="3691565D"/>
    <w:rsid w:val="38219AD0"/>
    <w:rsid w:val="385A81D6"/>
    <w:rsid w:val="396B2AA6"/>
    <w:rsid w:val="3B1FD046"/>
    <w:rsid w:val="3C94BF9C"/>
    <w:rsid w:val="413E9615"/>
    <w:rsid w:val="425134EE"/>
    <w:rsid w:val="43613927"/>
    <w:rsid w:val="4372C749"/>
    <w:rsid w:val="47E46ED4"/>
    <w:rsid w:val="4D20CDE8"/>
    <w:rsid w:val="4DB9BC8E"/>
    <w:rsid w:val="501A7CC7"/>
    <w:rsid w:val="5372E944"/>
    <w:rsid w:val="54D82E5A"/>
    <w:rsid w:val="54E7651C"/>
    <w:rsid w:val="54EE014D"/>
    <w:rsid w:val="552A5255"/>
    <w:rsid w:val="582B0C80"/>
    <w:rsid w:val="58C0CE23"/>
    <w:rsid w:val="5CC2D189"/>
    <w:rsid w:val="5E7CAAE7"/>
    <w:rsid w:val="60EC844C"/>
    <w:rsid w:val="66F8E8D2"/>
    <w:rsid w:val="6B0E01B9"/>
    <w:rsid w:val="6B9DD84F"/>
    <w:rsid w:val="6C8494DB"/>
    <w:rsid w:val="6F568B0D"/>
    <w:rsid w:val="6FA7B37B"/>
    <w:rsid w:val="70CF7296"/>
    <w:rsid w:val="71042676"/>
    <w:rsid w:val="716BD4B0"/>
    <w:rsid w:val="71D34C1C"/>
    <w:rsid w:val="72664C44"/>
    <w:rsid w:val="73236A65"/>
    <w:rsid w:val="762F805F"/>
    <w:rsid w:val="79EDCDA0"/>
    <w:rsid w:val="7A0D0BCB"/>
    <w:rsid w:val="7EB20D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6DFD"/>
  <w15:chartTrackingRefBased/>
  <w15:docId w15:val="{B2BB62A3-855C-AE48-AFFE-11B2A14E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6B38"/>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D26B38"/>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D26B38"/>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D26B38"/>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D26B38"/>
    <w:pPr>
      <w:keepNext/>
      <w:keepLines/>
      <w:spacing w:before="80" w:after="40"/>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D26B38"/>
    <w:pPr>
      <w:keepNext/>
      <w:keepLines/>
      <w:spacing w:before="80" w:after="40"/>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D26B38"/>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D26B38"/>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D26B38"/>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D26B38"/>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6B3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D26B3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26B38"/>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26B38"/>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26B38"/>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D26B3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26B3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26B3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26B38"/>
    <w:rPr>
      <w:rFonts w:eastAsiaTheme="majorEastAsia" w:cstheme="majorBidi"/>
      <w:color w:val="272727" w:themeColor="text1" w:themeTint="D8"/>
    </w:rPr>
  </w:style>
  <w:style w:type="paragraph" w:styleId="Titel">
    <w:name w:val="Title"/>
    <w:basedOn w:val="Standard"/>
    <w:next w:val="Standard"/>
    <w:link w:val="TitelZchn"/>
    <w:uiPriority w:val="10"/>
    <w:qFormat/>
    <w:rsid w:val="00D26B3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D26B3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26B38"/>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D26B3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26B38"/>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D26B38"/>
    <w:rPr>
      <w:i/>
      <w:iCs/>
      <w:color w:val="404040" w:themeColor="text1" w:themeTint="BF"/>
    </w:rPr>
  </w:style>
  <w:style w:type="paragraph" w:styleId="Listenabsatz">
    <w:name w:val="List Paragraph"/>
    <w:basedOn w:val="Standard"/>
    <w:uiPriority w:val="34"/>
    <w:qFormat/>
    <w:rsid w:val="00D26B38"/>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D26B38"/>
    <w:rPr>
      <w:i/>
      <w:iCs/>
      <w:color w:val="2F5496" w:themeColor="accent1" w:themeShade="BF"/>
    </w:rPr>
  </w:style>
  <w:style w:type="paragraph" w:styleId="IntensivesZitat">
    <w:name w:val="Intense Quote"/>
    <w:basedOn w:val="Standard"/>
    <w:next w:val="Standard"/>
    <w:link w:val="IntensivesZitatZchn"/>
    <w:uiPriority w:val="30"/>
    <w:qFormat/>
    <w:rsid w:val="00D26B38"/>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D26B38"/>
    <w:rPr>
      <w:i/>
      <w:iCs/>
      <w:color w:val="2F5496" w:themeColor="accent1" w:themeShade="BF"/>
    </w:rPr>
  </w:style>
  <w:style w:type="character" w:styleId="IntensiverVerweis">
    <w:name w:val="Intense Reference"/>
    <w:basedOn w:val="Absatz-Standardschriftart"/>
    <w:uiPriority w:val="32"/>
    <w:qFormat/>
    <w:rsid w:val="00D26B38"/>
    <w:rPr>
      <w:b/>
      <w:bCs/>
      <w:smallCaps/>
      <w:color w:val="2F5496" w:themeColor="accent1" w:themeShade="BF"/>
      <w:spacing w:val="5"/>
    </w:rPr>
  </w:style>
  <w:style w:type="character" w:styleId="Kommentarzeichen">
    <w:name w:val="annotation reference"/>
    <w:basedOn w:val="Absatz-Standardschriftart"/>
    <w:uiPriority w:val="99"/>
    <w:semiHidden/>
    <w:unhideWhenUsed/>
    <w:rsid w:val="00D26B38"/>
    <w:rPr>
      <w:sz w:val="16"/>
      <w:szCs w:val="16"/>
    </w:rPr>
  </w:style>
  <w:style w:type="paragraph" w:customStyle="1" w:styleId="LiteraturverweisLGEQuantPaper">
    <w:name w:val="Literaturverweis LGE_Quant_Paper"/>
    <w:basedOn w:val="Standard"/>
    <w:qFormat/>
    <w:rsid w:val="00D26B38"/>
    <w:pPr>
      <w:spacing w:before="240" w:after="240"/>
      <w:ind w:left="454"/>
      <w:jc w:val="both"/>
    </w:pPr>
    <w:rPr>
      <w:rFonts w:ascii="Aptos" w:hAnsi="Aptos"/>
      <w:sz w:val="20"/>
      <w:szCs w:val="20"/>
      <w:lang w:val="en-US"/>
    </w:rPr>
  </w:style>
  <w:style w:type="character" w:customStyle="1" w:styleId="eop">
    <w:name w:val="eop"/>
    <w:basedOn w:val="Absatz-Standardschriftart"/>
    <w:rsid w:val="00D26B38"/>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kern w:val="0"/>
      <w:sz w:val="20"/>
      <w:szCs w:val="20"/>
      <w:lang w:eastAsia="de-DE"/>
      <w14:ligatures w14:val="none"/>
    </w:rPr>
  </w:style>
  <w:style w:type="paragraph" w:styleId="berarbeitung">
    <w:name w:val="Revision"/>
    <w:hidden/>
    <w:uiPriority w:val="99"/>
    <w:semiHidden/>
    <w:rsid w:val="00F85497"/>
    <w:rPr>
      <w:rFonts w:ascii="Times New Roman" w:eastAsia="Times New Roman" w:hAnsi="Times New Roman" w:cs="Times New Roman"/>
      <w:kern w:val="0"/>
      <w:lang w:eastAsia="de-DE"/>
      <w14:ligatures w14:val="none"/>
    </w:rPr>
  </w:style>
  <w:style w:type="paragraph" w:styleId="Literaturverzeichnis">
    <w:name w:val="Bibliography"/>
    <w:basedOn w:val="Standard"/>
    <w:next w:val="Standard"/>
    <w:uiPriority w:val="37"/>
    <w:unhideWhenUsed/>
    <w:rsid w:val="002456E5"/>
    <w:pPr>
      <w:tabs>
        <w:tab w:val="left" w:pos="380"/>
      </w:tabs>
      <w:spacing w:after="24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6481">
      <w:bodyDiv w:val="1"/>
      <w:marLeft w:val="0"/>
      <w:marRight w:val="0"/>
      <w:marTop w:val="0"/>
      <w:marBottom w:val="0"/>
      <w:divBdr>
        <w:top w:val="none" w:sz="0" w:space="0" w:color="auto"/>
        <w:left w:val="none" w:sz="0" w:space="0" w:color="auto"/>
        <w:bottom w:val="none" w:sz="0" w:space="0" w:color="auto"/>
        <w:right w:val="none" w:sz="0" w:space="0" w:color="auto"/>
      </w:divBdr>
    </w:div>
    <w:div w:id="185366838">
      <w:bodyDiv w:val="1"/>
      <w:marLeft w:val="0"/>
      <w:marRight w:val="0"/>
      <w:marTop w:val="0"/>
      <w:marBottom w:val="0"/>
      <w:divBdr>
        <w:top w:val="none" w:sz="0" w:space="0" w:color="auto"/>
        <w:left w:val="none" w:sz="0" w:space="0" w:color="auto"/>
        <w:bottom w:val="none" w:sz="0" w:space="0" w:color="auto"/>
        <w:right w:val="none" w:sz="0" w:space="0" w:color="auto"/>
      </w:divBdr>
    </w:div>
    <w:div w:id="256718037">
      <w:bodyDiv w:val="1"/>
      <w:marLeft w:val="0"/>
      <w:marRight w:val="0"/>
      <w:marTop w:val="0"/>
      <w:marBottom w:val="0"/>
      <w:divBdr>
        <w:top w:val="none" w:sz="0" w:space="0" w:color="auto"/>
        <w:left w:val="none" w:sz="0" w:space="0" w:color="auto"/>
        <w:bottom w:val="none" w:sz="0" w:space="0" w:color="auto"/>
        <w:right w:val="none" w:sz="0" w:space="0" w:color="auto"/>
      </w:divBdr>
    </w:div>
    <w:div w:id="1916817301">
      <w:bodyDiv w:val="1"/>
      <w:marLeft w:val="0"/>
      <w:marRight w:val="0"/>
      <w:marTop w:val="0"/>
      <w:marBottom w:val="0"/>
      <w:divBdr>
        <w:top w:val="none" w:sz="0" w:space="0" w:color="auto"/>
        <w:left w:val="none" w:sz="0" w:space="0" w:color="auto"/>
        <w:bottom w:val="none" w:sz="0" w:space="0" w:color="auto"/>
        <w:right w:val="none" w:sz="0" w:space="0" w:color="auto"/>
      </w:divBdr>
    </w:div>
    <w:div w:id="20262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3f42b16-0c46-4029-88e7-6c7f693ef20b" xsi:nil="true"/>
    <lcf76f155ced4ddcb4097134ff3c332f xmlns="2cff3ddc-5213-4ff2-b5d7-a9b62b28758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5A12AF7E60AA41ABE571DA19418135" ma:contentTypeVersion="10" ma:contentTypeDescription="Create a new document." ma:contentTypeScope="" ma:versionID="41a26482d848c1ece41eed77d9065d35">
  <xsd:schema xmlns:xsd="http://www.w3.org/2001/XMLSchema" xmlns:xs="http://www.w3.org/2001/XMLSchema" xmlns:p="http://schemas.microsoft.com/office/2006/metadata/properties" xmlns:ns2="2cff3ddc-5213-4ff2-b5d7-a9b62b287584" xmlns:ns3="23f42b16-0c46-4029-88e7-6c7f693ef20b" targetNamespace="http://schemas.microsoft.com/office/2006/metadata/properties" ma:root="true" ma:fieldsID="b33163d12bd6801d626a71395a87cb81" ns2:_="" ns3:_="">
    <xsd:import namespace="2cff3ddc-5213-4ff2-b5d7-a9b62b287584"/>
    <xsd:import namespace="23f42b16-0c46-4029-88e7-6c7f693ef2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f3ddc-5213-4ff2-b5d7-a9b62b287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75ea7b-1eef-4e91-915e-32e4cb5a9c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42b16-0c46-4029-88e7-6c7f693ef2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a51334-0bf1-40e2-902e-fd638b406f01}" ma:internalName="TaxCatchAll" ma:showField="CatchAllData" ma:web="23f42b16-0c46-4029-88e7-6c7f693ef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7BA58-E0F5-8A46-9565-DA5BE3F90962}">
  <ds:schemaRefs>
    <ds:schemaRef ds:uri="http://schemas.openxmlformats.org/officeDocument/2006/bibliography"/>
  </ds:schemaRefs>
</ds:datastoreItem>
</file>

<file path=customXml/itemProps2.xml><?xml version="1.0" encoding="utf-8"?>
<ds:datastoreItem xmlns:ds="http://schemas.openxmlformats.org/officeDocument/2006/customXml" ds:itemID="{07828DA4-B00E-4EC7-B6AF-ADFC5C0F2426}">
  <ds:schemaRefs>
    <ds:schemaRef ds:uri="http://schemas.microsoft.com/office/2006/metadata/properties"/>
    <ds:schemaRef ds:uri="http://schemas.microsoft.com/office/infopath/2007/PartnerControls"/>
    <ds:schemaRef ds:uri="23f42b16-0c46-4029-88e7-6c7f693ef20b"/>
    <ds:schemaRef ds:uri="2cff3ddc-5213-4ff2-b5d7-a9b62b287584"/>
  </ds:schemaRefs>
</ds:datastoreItem>
</file>

<file path=customXml/itemProps3.xml><?xml version="1.0" encoding="utf-8"?>
<ds:datastoreItem xmlns:ds="http://schemas.openxmlformats.org/officeDocument/2006/customXml" ds:itemID="{8F0E2575-8D8E-4B01-BBAF-0994C11AA89B}">
  <ds:schemaRefs>
    <ds:schemaRef ds:uri="http://schemas.microsoft.com/sharepoint/v3/contenttype/forms"/>
  </ds:schemaRefs>
</ds:datastoreItem>
</file>

<file path=customXml/itemProps4.xml><?xml version="1.0" encoding="utf-8"?>
<ds:datastoreItem xmlns:ds="http://schemas.openxmlformats.org/officeDocument/2006/customXml" ds:itemID="{D78EF422-6583-431B-94D0-859175B60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f3ddc-5213-4ff2-b5d7-a9b62b287584"/>
    <ds:schemaRef ds:uri="23f42b16-0c46-4029-88e7-6c7f693ef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2081</Words>
  <Characters>13116</Characters>
  <Application>Microsoft Office Word</Application>
  <DocSecurity>0</DocSecurity>
  <Lines>109</Lines>
  <Paragraphs>30</Paragraphs>
  <ScaleCrop>false</ScaleCrop>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Delta (iMac)</dc:creator>
  <cp:keywords/>
  <dc:description/>
  <cp:lastModifiedBy>Ammann, Clemens Fabian</cp:lastModifiedBy>
  <cp:revision>39</cp:revision>
  <cp:lastPrinted>2025-02-27T22:33:00Z</cp:lastPrinted>
  <dcterms:created xsi:type="dcterms:W3CDTF">2025-02-28T04:51:00Z</dcterms:created>
  <dcterms:modified xsi:type="dcterms:W3CDTF">2025-07-05T10:47:00Z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0x0101000B5A12AF7E60AA41ABE571DA19418135</vt:lpwstr>
  </property>
  <property fmtid="{D5CDD505-2E9C-101B-9397-08002B2CF9AE}" pid="3" name="MediaServiceImageTags">
    <vt:lpwstr/>
  </property>
  <property fmtid="{D5CDD505-2E9C-101B-9397-08002B2CF9AE}" pid="4" name="ZOTERO_PREF_1">
    <vt:lpwstr>&lt;data data-version="3" zotero-version="7.0.18"&gt;&lt;session id="y9mlYnR1"/&gt;&lt;style id="http://www.zotero.org/styles/frontiers-in-cardiovascular-medicine" hasBibliography="1" bibliographyStyleHasBeenSet="1"/&gt;&lt;prefs&gt;&lt;pref name="fieldType" value="Field"/&gt;&lt;pref na</vt:lpwstr>
  </property>
  <property fmtid="{D5CDD505-2E9C-101B-9397-08002B2CF9AE}" pid="5" name="ZOTERO_PREF_2">
    <vt:lpwstr>me="automaticJournalAbbreviations" value="true"/&gt;&lt;/prefs&gt;&lt;/data&gt;</vt:lpwstr>
  </property>
</Properties>
</file>