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683B" w14:textId="77777777" w:rsidR="00750AEE" w:rsidRDefault="00000000" w:rsidP="0032068E">
      <w:pPr>
        <w:pStyle w:val="Heading1"/>
        <w:jc w:val="both"/>
      </w:pPr>
      <w:r>
        <w:t>Supplementary Methods</w:t>
      </w:r>
    </w:p>
    <w:p w14:paraId="07318125" w14:textId="6FC1131A" w:rsidR="00750AEE" w:rsidRDefault="00000000" w:rsidP="0032068E">
      <w:pPr>
        <w:pStyle w:val="Heading2"/>
        <w:jc w:val="both"/>
      </w:pPr>
      <w:r>
        <w:t xml:space="preserve">pTau‑217 Direct ELISA: Full Protocol and </w:t>
      </w:r>
      <w:r w:rsidR="002D0A5A">
        <w:t>Optimization</w:t>
      </w:r>
      <w:r>
        <w:t xml:space="preserve"> Details</w:t>
      </w:r>
    </w:p>
    <w:p w14:paraId="11341687" w14:textId="41BB4A25" w:rsidR="00750AEE" w:rsidRDefault="00000000" w:rsidP="0032068E">
      <w:pPr>
        <w:jc w:val="both"/>
      </w:pPr>
      <w:r>
        <w:t xml:space="preserve">The following protocol provides the complete, </w:t>
      </w:r>
      <w:r w:rsidR="0032068E">
        <w:t>step-by-step methodology used to quantify phosphorylated tau at threonine-217 (pTau-217) in cerebrospinal fluid (CSF) samples from patients with severe traumatic brain injury (</w:t>
      </w:r>
      <w:proofErr w:type="spellStart"/>
      <w:r w:rsidR="0032068E">
        <w:t>sTBI</w:t>
      </w:r>
      <w:proofErr w:type="spellEnd"/>
      <w:r w:rsidR="0032068E">
        <w:t>), adapted from a colorimetric cell-based</w:t>
      </w:r>
      <w:r>
        <w:t xml:space="preserve"> ELISA kit (Assay Genie, CBCAB01637). The abbreviated version included in the main manuscript is </w:t>
      </w:r>
      <w:r w:rsidR="00A46117">
        <w:t>summarized</w:t>
      </w:r>
      <w:r>
        <w:t xml:space="preserve"> in Figure</w:t>
      </w:r>
      <w:r w:rsidR="00A46117">
        <w:t xml:space="preserve"> </w:t>
      </w:r>
      <w:r>
        <w:t xml:space="preserve">S1; this supplement preserves all technical </w:t>
      </w:r>
      <w:r w:rsidR="0032068E">
        <w:t>details</w:t>
      </w:r>
      <w:r>
        <w:t xml:space="preserve"> required for replication.</w:t>
      </w:r>
    </w:p>
    <w:p w14:paraId="1650E15B" w14:textId="77777777" w:rsidR="00750AEE" w:rsidRPr="0032068E" w:rsidRDefault="00000000" w:rsidP="0032068E">
      <w:pPr>
        <w:jc w:val="both"/>
        <w:rPr>
          <w:b/>
          <w:bCs/>
        </w:rPr>
      </w:pPr>
      <w:r w:rsidRPr="0032068E">
        <w:rPr>
          <w:b/>
          <w:bCs/>
        </w:rPr>
        <w:t>pTau‑217 Direct Enzyme‑Linked Immunosorbent Assay (ELISA)</w:t>
      </w:r>
    </w:p>
    <w:p w14:paraId="2BCDBFEB" w14:textId="77777777" w:rsidR="00EF3D59" w:rsidRPr="00EF3D59" w:rsidRDefault="00000000" w:rsidP="0032068E">
      <w:pPr>
        <w:jc w:val="both"/>
        <w:rPr>
          <w:b/>
          <w:bCs/>
        </w:rPr>
      </w:pPr>
      <w:r w:rsidRPr="00EF3D59">
        <w:rPr>
          <w:b/>
          <w:bCs/>
        </w:rPr>
        <w:t>Analytical overview</w:t>
      </w:r>
      <w:r w:rsidR="00EF3D59" w:rsidRPr="00EF3D59">
        <w:rPr>
          <w:b/>
          <w:bCs/>
        </w:rPr>
        <w:t xml:space="preserve"> </w:t>
      </w:r>
    </w:p>
    <w:p w14:paraId="37E22F42" w14:textId="4918487B" w:rsidR="00750AEE" w:rsidRDefault="00000000" w:rsidP="0032068E">
      <w:pPr>
        <w:jc w:val="both"/>
      </w:pPr>
      <w:r>
        <w:t xml:space="preserve">The performance of the pTau‑217 assay was evaluated following standard phospho‑tau assay validation procedures </w:t>
      </w:r>
      <w:r w:rsidR="00EF3D59">
        <w:t>(</w:t>
      </w:r>
      <w:r w:rsidRPr="00EF3D59">
        <w:rPr>
          <w:b/>
          <w:bCs/>
        </w:rPr>
        <w:t>Figure</w:t>
      </w:r>
      <w:r w:rsidR="0032068E" w:rsidRPr="00EF3D59">
        <w:rPr>
          <w:b/>
          <w:bCs/>
        </w:rPr>
        <w:t xml:space="preserve"> </w:t>
      </w:r>
      <w:r w:rsidRPr="00EF3D59">
        <w:rPr>
          <w:b/>
          <w:bCs/>
        </w:rPr>
        <w:t>S1</w:t>
      </w:r>
      <w:r>
        <w:t xml:space="preserve">). A colorimetric cell‑based ELISA kit (Assay Genie, CBCAB01637), </w:t>
      </w:r>
      <w:r w:rsidR="0032068E">
        <w:t>initially designed</w:t>
      </w:r>
      <w:r>
        <w:t xml:space="preserve"> for pTau‑534/217 detection in cultured cells, was adapted for direct measurement of pTau‑217 in human CSF.</w:t>
      </w:r>
    </w:p>
    <w:p w14:paraId="23FD309E" w14:textId="77777777" w:rsidR="00EF3D59" w:rsidRPr="00EF3D59" w:rsidRDefault="00000000" w:rsidP="0032068E">
      <w:pPr>
        <w:jc w:val="both"/>
        <w:rPr>
          <w:b/>
          <w:bCs/>
        </w:rPr>
      </w:pPr>
      <w:r w:rsidRPr="00EF3D59">
        <w:rPr>
          <w:b/>
          <w:bCs/>
        </w:rPr>
        <w:t>Key antibody</w:t>
      </w:r>
    </w:p>
    <w:p w14:paraId="7B3BD096" w14:textId="285A7C36" w:rsidR="00750AEE" w:rsidRDefault="00000000" w:rsidP="0032068E">
      <w:pPr>
        <w:jc w:val="both"/>
      </w:pPr>
      <w:r>
        <w:t>The primary antibody supplied in the kit (</w:t>
      </w:r>
      <w:r w:rsidR="00110510">
        <w:t xml:space="preserve">anti-Tau pThr217) was used for both ELISA and </w:t>
      </w:r>
      <w:r>
        <w:t>confirmatory Western blot (WB) to ensure epitope consistency across platforms.</w:t>
      </w:r>
    </w:p>
    <w:p w14:paraId="619495E8" w14:textId="27121866" w:rsidR="0032068E" w:rsidRPr="0032068E" w:rsidRDefault="0032068E" w:rsidP="0032068E">
      <w:pPr>
        <w:jc w:val="both"/>
        <w:rPr>
          <w:b/>
          <w:bCs/>
        </w:rPr>
      </w:pPr>
      <w:r w:rsidRPr="0032068E">
        <w:rPr>
          <w:b/>
          <w:bCs/>
        </w:rPr>
        <w:t>Significant modifications for CSF application</w:t>
      </w:r>
    </w:p>
    <w:p w14:paraId="4FDA3E96" w14:textId="40DE97B5" w:rsidR="0032068E" w:rsidRDefault="00000000" w:rsidP="0032068E">
      <w:pPr>
        <w:jc w:val="both"/>
      </w:pPr>
      <w:r>
        <w:t>•Sample format</w:t>
      </w:r>
      <w:r w:rsidR="0032068E">
        <w:t xml:space="preserve">: </w:t>
      </w:r>
      <w:r>
        <w:t>Cell‑seeding steps were omitted; 100</w:t>
      </w:r>
      <w:r w:rsidR="00A46117">
        <w:t xml:space="preserve"> </w:t>
      </w:r>
      <w:r>
        <w:t>µL aliquots of diluted CSF were added directly to high‑binding ELISA wells.</w:t>
      </w:r>
    </w:p>
    <w:p w14:paraId="1EEB8939" w14:textId="77777777" w:rsidR="00EF3D59" w:rsidRDefault="00000000" w:rsidP="0032068E">
      <w:pPr>
        <w:jc w:val="both"/>
      </w:pPr>
      <w:r>
        <w:t>•Incubation</w:t>
      </w:r>
      <w:r w:rsidR="0032068E">
        <w:t xml:space="preserve"> </w:t>
      </w:r>
      <w:r>
        <w:t>Antigen‑coating was extended to 16h at 4°C to maximise adsorption of soluble CSF tau species.</w:t>
      </w:r>
    </w:p>
    <w:p w14:paraId="1A7BD8A6" w14:textId="5449239D" w:rsidR="0032068E" w:rsidRDefault="00000000" w:rsidP="0032068E">
      <w:pPr>
        <w:jc w:val="both"/>
      </w:pPr>
      <w:r>
        <w:t>•Standards</w:t>
      </w:r>
      <w:r w:rsidR="0032068E">
        <w:t xml:space="preserve"> </w:t>
      </w:r>
      <w:r>
        <w:t>Purified recombinant human non‑phosphorylated Tau‑441 (SignalChem</w:t>
      </w:r>
      <w:r w:rsidR="0032068E">
        <w:t>-</w:t>
      </w:r>
      <w:r>
        <w:t>T08‑54N‑50) and dual‑kinase‑phosphorylated Tau‑441 (GSK‑3β+DYRK1A; SignalChem</w:t>
      </w:r>
      <w:r w:rsidR="00A46117">
        <w:t>-</w:t>
      </w:r>
      <w:r>
        <w:t>T08‑50FN‑50 and T08‑50RN‑50) replaced the kit’s cell‑lysate standards.</w:t>
      </w:r>
    </w:p>
    <w:p w14:paraId="40BE13FC" w14:textId="5CF85F99" w:rsidR="00750AEE" w:rsidRDefault="00000000" w:rsidP="0032068E">
      <w:pPr>
        <w:jc w:val="both"/>
      </w:pPr>
      <w:r>
        <w:t>•Specificity controls</w:t>
      </w:r>
      <w:r w:rsidR="0032068E">
        <w:t xml:space="preserve">: </w:t>
      </w:r>
      <w:r>
        <w:t>A rabbit IgG polyclonal isotype control (Cell</w:t>
      </w:r>
      <w:r w:rsidR="00A46117">
        <w:t>-</w:t>
      </w:r>
      <w:proofErr w:type="spellStart"/>
      <w:r>
        <w:t>Signalling</w:t>
      </w:r>
      <w:proofErr w:type="spellEnd"/>
      <w:r w:rsidR="00A46117">
        <w:t xml:space="preserve">: </w:t>
      </w:r>
      <w:r>
        <w:t>#3900) and a total‑Tau antibody (Dako</w:t>
      </w:r>
      <w:r w:rsidR="00A46117">
        <w:t>-</w:t>
      </w:r>
      <w:r>
        <w:t>A0024) were run in parallel to verify specificity and background.</w:t>
      </w:r>
    </w:p>
    <w:p w14:paraId="57119060" w14:textId="38B30BEF" w:rsidR="00750AEE" w:rsidRDefault="00000000" w:rsidP="0032068E">
      <w:pPr>
        <w:jc w:val="both"/>
      </w:pPr>
      <w:r>
        <w:t>Standard curve</w:t>
      </w:r>
      <w:r w:rsidR="00A46117">
        <w:t xml:space="preserve">: </w:t>
      </w:r>
      <w:r>
        <w:t>Protein standards were prepared at 0,</w:t>
      </w:r>
      <w:r w:rsidR="00A46117">
        <w:t xml:space="preserve"> </w:t>
      </w:r>
      <w:r>
        <w:t>10,</w:t>
      </w:r>
      <w:r w:rsidR="00A46117">
        <w:t xml:space="preserve"> </w:t>
      </w:r>
      <w:r>
        <w:t>30,</w:t>
      </w:r>
      <w:r w:rsidR="00A46117">
        <w:t xml:space="preserve"> </w:t>
      </w:r>
      <w:r>
        <w:t>100,</w:t>
      </w:r>
      <w:r w:rsidR="00A46117">
        <w:t xml:space="preserve"> </w:t>
      </w:r>
      <w:r>
        <w:t>300 </w:t>
      </w:r>
      <w:proofErr w:type="spellStart"/>
      <w:r>
        <w:t>pg</w:t>
      </w:r>
      <w:proofErr w:type="spellEnd"/>
      <w:r w:rsidR="00A46117">
        <w:t xml:space="preserve"> </w:t>
      </w:r>
      <w:r>
        <w:t>mL⁻¹, 1,</w:t>
      </w:r>
      <w:r w:rsidR="00A46117">
        <w:t xml:space="preserve"> </w:t>
      </w:r>
      <w:r>
        <w:t>30,</w:t>
      </w:r>
      <w:r w:rsidR="00A46117">
        <w:t xml:space="preserve"> </w:t>
      </w:r>
      <w:r>
        <w:t>100,</w:t>
      </w:r>
      <w:r w:rsidR="00A46117">
        <w:t xml:space="preserve"> </w:t>
      </w:r>
      <w:r>
        <w:t>300,</w:t>
      </w:r>
      <w:r w:rsidR="00A46117">
        <w:t xml:space="preserve"> </w:t>
      </w:r>
      <w:r>
        <w:t>500 ng mL⁻¹ and 1 µg</w:t>
      </w:r>
      <w:r w:rsidR="00A46117">
        <w:t xml:space="preserve"> </w:t>
      </w:r>
      <w:r>
        <w:t>mL⁻¹ in carbonate–bicarbonate coating buffer (0.05 M, pH</w:t>
      </w:r>
      <w:r w:rsidR="00A46117">
        <w:t xml:space="preserve"> </w:t>
      </w:r>
      <w:r>
        <w:t>9.6). Aliquots were stored at –80°C; working dilutions were made fresh.</w:t>
      </w:r>
    </w:p>
    <w:p w14:paraId="57DC86F2" w14:textId="2CE5F76E" w:rsidR="00750AEE" w:rsidRDefault="00000000" w:rsidP="0032068E">
      <w:pPr>
        <w:jc w:val="both"/>
      </w:pPr>
      <w:r>
        <w:lastRenderedPageBreak/>
        <w:t>Plate coating (Day</w:t>
      </w:r>
      <w:r w:rsidR="00EF3D59">
        <w:t>-</w:t>
      </w:r>
      <w:r>
        <w:t>1)</w:t>
      </w:r>
      <w:r w:rsidR="00EF3D59">
        <w:t xml:space="preserve">: </w:t>
      </w:r>
      <w:r>
        <w:t xml:space="preserve">Ten </w:t>
      </w:r>
      <w:r w:rsidR="00EF3D59">
        <w:t>microliters of neat CSF were diluted with 90</w:t>
      </w:r>
      <w:r w:rsidR="00A46117">
        <w:t xml:space="preserve"> </w:t>
      </w:r>
      <w:r w:rsidR="00EF3D59">
        <w:t xml:space="preserve">µL of coating buffer (final concentration: </w:t>
      </w:r>
      <w:r>
        <w:t>10</w:t>
      </w:r>
      <w:r w:rsidR="00A46117">
        <w:t xml:space="preserve"> </w:t>
      </w:r>
      <w:proofErr w:type="gramStart"/>
      <w:r>
        <w:t>µg</w:t>
      </w:r>
      <w:proofErr w:type="gramEnd"/>
      <w:r>
        <w:t xml:space="preserve"> total protein) and loaded into duplicate wells. Plates were sealed, shaken at 500 rpm for 30 min at room temperature, then incubated 16h at 4 °C.</w:t>
      </w:r>
    </w:p>
    <w:p w14:paraId="191DB323" w14:textId="77777777" w:rsidR="00EF3D59" w:rsidRPr="00EF3D59" w:rsidRDefault="00000000" w:rsidP="0032068E">
      <w:pPr>
        <w:jc w:val="both"/>
        <w:rPr>
          <w:b/>
          <w:bCs/>
        </w:rPr>
      </w:pPr>
      <w:r w:rsidRPr="00EF3D59">
        <w:rPr>
          <w:b/>
          <w:bCs/>
        </w:rPr>
        <w:t xml:space="preserve">Blocking &amp; primary antibody </w:t>
      </w:r>
    </w:p>
    <w:p w14:paraId="4231C41C" w14:textId="6187F28D" w:rsidR="00750AEE" w:rsidRDefault="00000000" w:rsidP="0032068E">
      <w:pPr>
        <w:jc w:val="both"/>
      </w:pPr>
      <w:r>
        <w:t>(Day</w:t>
      </w:r>
      <w:r w:rsidR="00A46117">
        <w:t>-</w:t>
      </w:r>
      <w:r>
        <w:t>2)</w:t>
      </w:r>
      <w:r w:rsidR="00A46117">
        <w:t xml:space="preserve">: </w:t>
      </w:r>
      <w:r>
        <w:t>After four 5‑min washes with 200</w:t>
      </w:r>
      <w:r w:rsidR="00A46117">
        <w:t xml:space="preserve"> </w:t>
      </w:r>
      <w:r>
        <w:t>µL 1%</w:t>
      </w:r>
      <w:r w:rsidR="00EF3D59">
        <w:t xml:space="preserve"> </w:t>
      </w:r>
      <w:r>
        <w:t>Tween‑20/TBS, wells were blocked with 200µL kit blocking buffer for 1h at RT. Plates were washed and incubated overnight at 4 C with 50µL anti‑pTau‑217 antibody (1 µg</w:t>
      </w:r>
      <w:r w:rsidR="00A46117">
        <w:t xml:space="preserve"> </w:t>
      </w:r>
      <w:r>
        <w:t>mL⁻¹) diluted in antibody diluent.</w:t>
      </w:r>
    </w:p>
    <w:p w14:paraId="0A3D49FB" w14:textId="048E6045" w:rsidR="00750AEE" w:rsidRDefault="00000000" w:rsidP="0032068E">
      <w:pPr>
        <w:jc w:val="both"/>
      </w:pPr>
      <w:r>
        <w:t>Secondary antibody (Day</w:t>
      </w:r>
      <w:r w:rsidR="00EF3D59">
        <w:t>-</w:t>
      </w:r>
      <w:r>
        <w:t>3)</w:t>
      </w:r>
      <w:r w:rsidR="00EF3D59">
        <w:t xml:space="preserve">: </w:t>
      </w:r>
      <w:r>
        <w:t>Plates were washed four times; 50</w:t>
      </w:r>
      <w:r w:rsidR="00A46117">
        <w:t xml:space="preserve"> </w:t>
      </w:r>
      <w:r>
        <w:t>µL HRP‑conjugated anti‑rabbit IgG (1×) were added and incubated 1.5h at RT with gentle agitation (550 rpm).</w:t>
      </w:r>
    </w:p>
    <w:p w14:paraId="6C4BD38F" w14:textId="6ADCB43E" w:rsidR="00750AEE" w:rsidRDefault="00000000" w:rsidP="0032068E">
      <w:pPr>
        <w:jc w:val="both"/>
      </w:pPr>
      <w:proofErr w:type="spellStart"/>
      <w:r>
        <w:t>Colour</w:t>
      </w:r>
      <w:proofErr w:type="spellEnd"/>
      <w:r>
        <w:t xml:space="preserve"> development</w:t>
      </w:r>
      <w:r w:rsidR="00A46117">
        <w:t xml:space="preserve">: </w:t>
      </w:r>
      <w:r>
        <w:t>After four washes, 100</w:t>
      </w:r>
      <w:r w:rsidR="00A46117">
        <w:t xml:space="preserve"> </w:t>
      </w:r>
      <w:r>
        <w:t xml:space="preserve">µL ready‑to‑use Tetramethylbenzidine (TMB) substrate were added. Plates were developed </w:t>
      </w:r>
      <w:r w:rsidR="00A46117">
        <w:t xml:space="preserve">for </w:t>
      </w:r>
      <w:r>
        <w:t>30</w:t>
      </w:r>
      <w:r w:rsidR="00A46117">
        <w:t xml:space="preserve"> </w:t>
      </w:r>
      <w:r>
        <w:t>min at 25</w:t>
      </w:r>
      <w:r w:rsidR="00A46117">
        <w:t>°C, protected from light for a final 5 min, and read at 600 nm (pre-stop</w:t>
      </w:r>
      <w:r>
        <w:t xml:space="preserve"> reference). The reaction was stopped with 100</w:t>
      </w:r>
      <w:r w:rsidR="00A46117">
        <w:t xml:space="preserve"> </w:t>
      </w:r>
      <w:r>
        <w:t>µL 2 M H₂SO₄; absorbance was measured at 450 nm.</w:t>
      </w:r>
    </w:p>
    <w:p w14:paraId="340009B0" w14:textId="1B578357" w:rsidR="00750AEE" w:rsidRDefault="00000000" w:rsidP="0032068E">
      <w:pPr>
        <w:jc w:val="both"/>
      </w:pPr>
      <w:r>
        <w:t>Assay performance</w:t>
      </w:r>
      <w:r w:rsidR="00A46117">
        <w:t xml:space="preserve">: </w:t>
      </w:r>
      <w:r>
        <w:t>The 10‑point standard curve produced a third‑order polynomial fit with R²=0.843 over 0–1 µg</w:t>
      </w:r>
      <w:r w:rsidR="00A46117">
        <w:t xml:space="preserve"> </w:t>
      </w:r>
      <w:r>
        <w:t>mL⁻¹. Background (isotype) OD was &lt;5% of the 10 </w:t>
      </w:r>
      <w:proofErr w:type="spellStart"/>
      <w:r>
        <w:t>pg</w:t>
      </w:r>
      <w:proofErr w:type="spellEnd"/>
      <w:r w:rsidR="00A46117">
        <w:t xml:space="preserve"> </w:t>
      </w:r>
      <w:r>
        <w:t>mL⁻¹ standard. All samples were analysed in duplicate; intra‑assay coefficient of variation (CV) was 7.6%, inter‑assay CV 9.4% across three independent runs.</w:t>
      </w:r>
    </w:p>
    <w:p w14:paraId="00807EC8" w14:textId="4F4947A6" w:rsidR="00750AEE" w:rsidRDefault="00000000" w:rsidP="0032068E">
      <w:pPr>
        <w:jc w:val="both"/>
      </w:pPr>
      <w:r>
        <w:t>Western blot validation</w:t>
      </w:r>
      <w:r w:rsidR="00EF3D59">
        <w:t xml:space="preserve">: </w:t>
      </w:r>
      <w:r>
        <w:t>To confirm ELISA specificity, CSF pools (control vs sTBI) and standard proteins were resolved by SDS‑PAGE, transferred to PVDF, and probed with the same anti‑pTau‑217 antibody. Bands corresponding to monomeric (~50</w:t>
      </w:r>
      <w:r w:rsidR="0032068E">
        <w:t xml:space="preserve"> </w:t>
      </w:r>
      <w:proofErr w:type="spellStart"/>
      <w:r w:rsidR="0032068E">
        <w:t>kDa</w:t>
      </w:r>
      <w:proofErr w:type="spellEnd"/>
      <w:r w:rsidR="0032068E">
        <w:t xml:space="preserve">) and oligomeric (~100 </w:t>
      </w:r>
      <w:proofErr w:type="spellStart"/>
      <w:r w:rsidR="0032068E">
        <w:t>kDa</w:t>
      </w:r>
      <w:proofErr w:type="spellEnd"/>
      <w:r w:rsidR="0032068E">
        <w:t>) tau were quantified by densitometry, which paralleled the</w:t>
      </w:r>
      <w:r>
        <w:t xml:space="preserve"> ELISA findings.</w:t>
      </w:r>
    </w:p>
    <w:p w14:paraId="64370F89" w14:textId="71F24B17" w:rsidR="00EF3D59" w:rsidRPr="00EF3D59" w:rsidRDefault="00000000" w:rsidP="0032068E">
      <w:pPr>
        <w:jc w:val="both"/>
        <w:rPr>
          <w:b/>
          <w:bCs/>
        </w:rPr>
      </w:pPr>
      <w:r w:rsidRPr="00EF3D59">
        <w:rPr>
          <w:b/>
          <w:bCs/>
        </w:rPr>
        <w:t>Reagents and catalogue numbers</w:t>
      </w:r>
    </w:p>
    <w:p w14:paraId="2843CD10" w14:textId="77777777" w:rsidR="00A46117" w:rsidRDefault="00000000" w:rsidP="0032068E">
      <w:pPr>
        <w:jc w:val="both"/>
      </w:pPr>
      <w:r>
        <w:t>•Anti‑Tau (pThr217) capture antibody: kit component (Assay</w:t>
      </w:r>
      <w:r w:rsidR="00A46117">
        <w:t xml:space="preserve"> </w:t>
      </w:r>
      <w:r>
        <w:t>Genie CBCAB01637)</w:t>
      </w:r>
    </w:p>
    <w:p w14:paraId="2A516C50" w14:textId="1917271A" w:rsidR="00A46117" w:rsidRDefault="00000000" w:rsidP="0032068E">
      <w:pPr>
        <w:jc w:val="both"/>
      </w:pPr>
      <w:r>
        <w:t xml:space="preserve">•Recombinant Tau‑441: </w:t>
      </w:r>
      <w:proofErr w:type="spellStart"/>
      <w:r>
        <w:t>SignalChem</w:t>
      </w:r>
      <w:proofErr w:type="spellEnd"/>
      <w:r>
        <w:t xml:space="preserve"> T08‑54N‑50</w:t>
      </w:r>
    </w:p>
    <w:p w14:paraId="2E72A7F3" w14:textId="77777777" w:rsidR="00A46117" w:rsidRDefault="00000000" w:rsidP="0032068E">
      <w:pPr>
        <w:jc w:val="both"/>
      </w:pPr>
      <w:r>
        <w:t xml:space="preserve">•Dual‑kinase‑phosphorylated Tau‑441: </w:t>
      </w:r>
      <w:proofErr w:type="spellStart"/>
      <w:r>
        <w:t>SignalChem</w:t>
      </w:r>
      <w:proofErr w:type="spellEnd"/>
      <w:r>
        <w:t xml:space="preserve"> T08‑50FN‑50 / T08‑50RN‑50</w:t>
      </w:r>
    </w:p>
    <w:p w14:paraId="7C5E8494" w14:textId="515113D5" w:rsidR="00A46117" w:rsidRDefault="00000000" w:rsidP="0032068E">
      <w:pPr>
        <w:jc w:val="both"/>
      </w:pPr>
      <w:r>
        <w:t>•Isotype IgG control: Cell</w:t>
      </w:r>
      <w:r w:rsidR="00A46117">
        <w:t xml:space="preserve"> </w:t>
      </w:r>
      <w:proofErr w:type="spellStart"/>
      <w:r>
        <w:t>Signalling</w:t>
      </w:r>
      <w:proofErr w:type="spellEnd"/>
      <w:r>
        <w:t xml:space="preserve"> 3900</w:t>
      </w:r>
    </w:p>
    <w:p w14:paraId="3B4C7F0D" w14:textId="77777777" w:rsidR="00A46117" w:rsidRDefault="00000000" w:rsidP="0032068E">
      <w:pPr>
        <w:jc w:val="both"/>
      </w:pPr>
      <w:r>
        <w:t>•Total‑Tau antibody: Dako A0024</w:t>
      </w:r>
    </w:p>
    <w:p w14:paraId="5C8C69F7" w14:textId="186D7C76" w:rsidR="00750AEE" w:rsidRDefault="00000000" w:rsidP="0032068E">
      <w:pPr>
        <w:jc w:val="both"/>
      </w:pPr>
      <w:r>
        <w:t xml:space="preserve">•Protease/phosphatase inhibitors: Roche; </w:t>
      </w:r>
      <w:proofErr w:type="spellStart"/>
      <w:r>
        <w:t>Thermo</w:t>
      </w:r>
      <w:proofErr w:type="spellEnd"/>
      <w:r w:rsidR="00A46117">
        <w:t xml:space="preserve"> </w:t>
      </w:r>
      <w:r>
        <w:t>Scientific.</w:t>
      </w:r>
    </w:p>
    <w:p w14:paraId="11CA0220" w14:textId="74F58726" w:rsidR="00750AEE" w:rsidRDefault="00000000" w:rsidP="0032068E">
      <w:pPr>
        <w:jc w:val="both"/>
      </w:pPr>
      <w:r>
        <w:t>Safety note</w:t>
      </w:r>
      <w:r w:rsidR="00DA6E97">
        <w:t>:</w:t>
      </w:r>
      <w:r w:rsidR="00A46117">
        <w:t xml:space="preserve">” </w:t>
      </w:r>
      <w:r>
        <w:t>All human CSF samples were handled under BSL‑2 conditions; institutional biosafety protocols were followed.</w:t>
      </w:r>
    </w:p>
    <w:p w14:paraId="0DC038F4" w14:textId="4D2CD43F" w:rsidR="00750AEE" w:rsidRDefault="00000000" w:rsidP="0032068E">
      <w:pPr>
        <w:jc w:val="both"/>
      </w:pPr>
      <w:r>
        <w:t>Troubleshooting tip</w:t>
      </w:r>
      <w:r w:rsidR="00A46117">
        <w:t xml:space="preserve">s: </w:t>
      </w:r>
      <w:r>
        <w:t xml:space="preserve">(1) Prolong coating step or increase CSF volume if OD values &lt; background+0.05. (2) Use fresh TMB and ensure plate reader linearity at high OD values. (3) </w:t>
      </w:r>
      <w:r>
        <w:lastRenderedPageBreak/>
        <w:t xml:space="preserve">If </w:t>
      </w:r>
      <w:r w:rsidR="0032068E">
        <w:t xml:space="preserve">a high background occurs, verify the Tween-20 concentration in the wash buffer and extend the </w:t>
      </w:r>
      <w:r>
        <w:t>wash time.</w:t>
      </w:r>
    </w:p>
    <w:p w14:paraId="2255AC61" w14:textId="7737A3D8" w:rsidR="00750AEE" w:rsidRDefault="00750AEE" w:rsidP="0032068E">
      <w:pPr>
        <w:jc w:val="both"/>
      </w:pPr>
    </w:p>
    <w:sectPr w:rsidR="00750A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3511158">
    <w:abstractNumId w:val="8"/>
  </w:num>
  <w:num w:numId="2" w16cid:durableId="1178815425">
    <w:abstractNumId w:val="6"/>
  </w:num>
  <w:num w:numId="3" w16cid:durableId="325986327">
    <w:abstractNumId w:val="5"/>
  </w:num>
  <w:num w:numId="4" w16cid:durableId="1304432724">
    <w:abstractNumId w:val="4"/>
  </w:num>
  <w:num w:numId="5" w16cid:durableId="1270427132">
    <w:abstractNumId w:val="7"/>
  </w:num>
  <w:num w:numId="6" w16cid:durableId="22707554">
    <w:abstractNumId w:val="3"/>
  </w:num>
  <w:num w:numId="7" w16cid:durableId="466902295">
    <w:abstractNumId w:val="2"/>
  </w:num>
  <w:num w:numId="8" w16cid:durableId="197621794">
    <w:abstractNumId w:val="1"/>
  </w:num>
  <w:num w:numId="9" w16cid:durableId="35824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O0NDMzMjU3NzE2NLBQ0lEKTi0uzszPAykwqgUApToz6iwAAAA="/>
  </w:docVars>
  <w:rsids>
    <w:rsidRoot w:val="00B47730"/>
    <w:rsid w:val="00034616"/>
    <w:rsid w:val="0006063C"/>
    <w:rsid w:val="00110510"/>
    <w:rsid w:val="0015074B"/>
    <w:rsid w:val="0029639D"/>
    <w:rsid w:val="002D0A5A"/>
    <w:rsid w:val="0032068E"/>
    <w:rsid w:val="00326F90"/>
    <w:rsid w:val="003349AF"/>
    <w:rsid w:val="00364491"/>
    <w:rsid w:val="007201A9"/>
    <w:rsid w:val="00750AEE"/>
    <w:rsid w:val="008F4483"/>
    <w:rsid w:val="00940F8F"/>
    <w:rsid w:val="00A46117"/>
    <w:rsid w:val="00AA1D8D"/>
    <w:rsid w:val="00B47730"/>
    <w:rsid w:val="00CB0664"/>
    <w:rsid w:val="00DA6E97"/>
    <w:rsid w:val="00E77EF0"/>
    <w:rsid w:val="00EF3D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CD22F"/>
  <w14:defaultImageDpi w14:val="300"/>
  <w15:docId w15:val="{8E85CF12-A7D6-4AAE-86E1-07D87B15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3882</Characters>
  <Application>Microsoft Office Word</Application>
  <DocSecurity>0</DocSecurity>
  <Lines>48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Hamad Yadikar</cp:lastModifiedBy>
  <cp:revision>3</cp:revision>
  <dcterms:created xsi:type="dcterms:W3CDTF">2025-07-05T14:24:00Z</dcterms:created>
  <dcterms:modified xsi:type="dcterms:W3CDTF">2025-07-05T16:35:00Z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c5ed44ec-a0d5-4478-b0c1-e7ef96578ba4</vt:lpwstr>
  </property>
</Properties>
</file>