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00E5779" w:rsidR="00654E8F" w:rsidRPr="00163C36" w:rsidRDefault="00654E8F" w:rsidP="0001436A">
      <w:pPr>
        <w:pStyle w:val="SupplementaryMaterial"/>
        <w:rPr>
          <w:b w:val="0"/>
          <w:lang w:eastAsia="ja-JP"/>
        </w:rPr>
      </w:pPr>
      <w:r w:rsidRPr="00163C36">
        <w:t xml:space="preserve">Supplementary </w:t>
      </w:r>
      <w:r w:rsidR="007026BE" w:rsidRPr="00163C36">
        <w:rPr>
          <w:lang w:eastAsia="ja-JP"/>
        </w:rPr>
        <w:t>Data</w:t>
      </w:r>
    </w:p>
    <w:p w14:paraId="5E584EE8" w14:textId="74C449EA" w:rsidR="00994A3D" w:rsidRPr="00163C36" w:rsidRDefault="00654E8F" w:rsidP="0001436A">
      <w:pPr>
        <w:pStyle w:val="1"/>
      </w:pPr>
      <w:r w:rsidRPr="00163C36">
        <w:t>Supplementary Tabl</w:t>
      </w:r>
      <w:r w:rsidR="007026BE" w:rsidRPr="00163C36">
        <w:rPr>
          <w:rFonts w:eastAsiaTheme="minorEastAsia"/>
          <w:lang w:eastAsia="ja-JP"/>
        </w:rPr>
        <w:t>e S1</w:t>
      </w:r>
    </w:p>
    <w:tbl>
      <w:tblPr>
        <w:tblW w:w="100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3402"/>
        <w:gridCol w:w="3537"/>
      </w:tblGrid>
      <w:tr w:rsidR="00400FF8" w:rsidRPr="00163C36" w14:paraId="2C23A165" w14:textId="77777777" w:rsidTr="00400FF8">
        <w:trPr>
          <w:trHeight w:val="43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8E87B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Variable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BA6ED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EASI75 (OR [95% CI], p)</w:t>
            </w: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FAFAE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Adverse Event (OR [95% CI], p)</w:t>
            </w:r>
          </w:p>
        </w:tc>
      </w:tr>
      <w:tr w:rsidR="00400FF8" w:rsidRPr="00163C36" w14:paraId="37913342" w14:textId="77777777" w:rsidTr="00400FF8">
        <w:trPr>
          <w:trHeight w:val="43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36AD8" w14:textId="77777777" w:rsidR="00400FF8" w:rsidRPr="00163C36" w:rsidRDefault="00400FF8" w:rsidP="00400FF8">
            <w:pPr>
              <w:spacing w:before="0" w:after="0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 xml:space="preserve"> Treatment (</w:t>
            </w:r>
            <w:proofErr w:type="spellStart"/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JAKi</w:t>
            </w:r>
            <w:proofErr w:type="spellEnd"/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 xml:space="preserve"> vs IL-13Ab)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6C16D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color w:val="000000"/>
                <w:kern w:val="24"/>
                <w:sz w:val="20"/>
                <w:szCs w:val="20"/>
                <w:lang w:eastAsia="ja-JP"/>
              </w:rPr>
              <w:t>0.53 [0.12–2.14], 0.38</w:t>
            </w: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74E3C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color w:val="000000"/>
                <w:kern w:val="24"/>
                <w:sz w:val="20"/>
                <w:szCs w:val="20"/>
                <w:lang w:eastAsia="ja-JP"/>
              </w:rPr>
              <w:t>0.70 [0.19–2.40], 0.57</w:t>
            </w:r>
          </w:p>
        </w:tc>
      </w:tr>
      <w:tr w:rsidR="00400FF8" w:rsidRPr="00163C36" w14:paraId="26363E73" w14:textId="77777777" w:rsidTr="00400FF8">
        <w:trPr>
          <w:trHeight w:val="425"/>
        </w:trPr>
        <w:tc>
          <w:tcPr>
            <w:tcW w:w="3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82E30" w14:textId="77777777" w:rsidR="00400FF8" w:rsidRPr="00163C36" w:rsidRDefault="00400FF8" w:rsidP="00400FF8">
            <w:pPr>
              <w:spacing w:before="0" w:after="0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 xml:space="preserve"> Age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0BEA8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color w:val="000000"/>
                <w:kern w:val="24"/>
                <w:sz w:val="20"/>
                <w:szCs w:val="20"/>
                <w:lang w:eastAsia="ja-JP"/>
              </w:rPr>
              <w:t>1.01 [0.98–1.04], 0.44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EF6FF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color w:val="000000"/>
                <w:kern w:val="24"/>
                <w:sz w:val="20"/>
                <w:szCs w:val="20"/>
                <w:lang w:eastAsia="ja-JP"/>
              </w:rPr>
              <w:t>0.99 [0.97–1.02], 0.64</w:t>
            </w:r>
          </w:p>
        </w:tc>
      </w:tr>
      <w:tr w:rsidR="00400FF8" w:rsidRPr="00163C36" w14:paraId="1CBC52C7" w14:textId="77777777" w:rsidTr="00400FF8">
        <w:trPr>
          <w:trHeight w:val="425"/>
        </w:trPr>
        <w:tc>
          <w:tcPr>
            <w:tcW w:w="3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682E5" w14:textId="77777777" w:rsidR="00400FF8" w:rsidRPr="00163C36" w:rsidRDefault="00400FF8" w:rsidP="00400FF8">
            <w:pPr>
              <w:spacing w:before="0" w:after="0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 xml:space="preserve"> Baseline EASI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838C0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1.07 [1.00–1.15], 0.039*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5E203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color w:val="000000"/>
                <w:kern w:val="24"/>
                <w:sz w:val="20"/>
                <w:szCs w:val="20"/>
                <w:lang w:eastAsia="ja-JP"/>
              </w:rPr>
              <w:t>0.99 [0.94–1.05], 0.74</w:t>
            </w:r>
          </w:p>
        </w:tc>
      </w:tr>
      <w:tr w:rsidR="00400FF8" w:rsidRPr="00163C36" w14:paraId="114BCABF" w14:textId="77777777" w:rsidTr="00400FF8">
        <w:trPr>
          <w:trHeight w:val="425"/>
        </w:trPr>
        <w:tc>
          <w:tcPr>
            <w:tcW w:w="3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04CEB" w14:textId="77777777" w:rsidR="00400FF8" w:rsidRPr="00163C36" w:rsidRDefault="00400FF8" w:rsidP="00400FF8">
            <w:pPr>
              <w:spacing w:before="0" w:after="0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 xml:space="preserve"> Baseline </w:t>
            </w:r>
            <w:proofErr w:type="spellStart"/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IgE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CF28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color w:val="000000"/>
                <w:kern w:val="24"/>
                <w:sz w:val="20"/>
                <w:szCs w:val="20"/>
                <w:lang w:eastAsia="ja-JP"/>
              </w:rPr>
              <w:t>0.99996 [0.99992–1.00000], 0.06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EE7B5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1.00004 [1.00001–1.00009], 0.012*</w:t>
            </w:r>
          </w:p>
        </w:tc>
      </w:tr>
      <w:tr w:rsidR="00400FF8" w:rsidRPr="00163C36" w14:paraId="7880D87C" w14:textId="77777777" w:rsidTr="00400FF8">
        <w:trPr>
          <w:trHeight w:val="425"/>
        </w:trPr>
        <w:tc>
          <w:tcPr>
            <w:tcW w:w="3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DB983" w14:textId="77777777" w:rsidR="00400FF8" w:rsidRPr="00163C36" w:rsidRDefault="00400FF8" w:rsidP="00400FF8">
            <w:pPr>
              <w:spacing w:before="0" w:after="0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 xml:space="preserve"> TARC Improvement Rate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28BF0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1.01 [1.00–1.02], 0.008*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F5C9E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0.99 [0.98–1.00], 0.0013*</w:t>
            </w:r>
          </w:p>
        </w:tc>
      </w:tr>
      <w:tr w:rsidR="00400FF8" w:rsidRPr="00163C36" w14:paraId="519298A7" w14:textId="77777777" w:rsidTr="00400FF8">
        <w:trPr>
          <w:trHeight w:val="439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E0B01" w14:textId="77777777" w:rsidR="00400FF8" w:rsidRPr="00163C36" w:rsidRDefault="00400FF8" w:rsidP="00400FF8">
            <w:pPr>
              <w:spacing w:before="0" w:after="0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IgE</w:t>
            </w:r>
            <w:proofErr w:type="spellEnd"/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 xml:space="preserve"> Improvement Rate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8E5E1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1.00 [1.00–1.02], 0.037*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7AB47" w14:textId="77777777" w:rsidR="00400FF8" w:rsidRPr="00163C36" w:rsidRDefault="00400FF8" w:rsidP="00400FF8">
            <w:pPr>
              <w:spacing w:before="0" w:after="0"/>
              <w:jc w:val="center"/>
              <w:textAlignment w:val="center"/>
              <w:rPr>
                <w:rFonts w:eastAsia="ＭＳ Ｐゴシック" w:cs="Times New Roman"/>
                <w:sz w:val="20"/>
                <w:szCs w:val="20"/>
                <w:lang w:eastAsia="ja-JP"/>
              </w:rPr>
            </w:pPr>
            <w:r w:rsidRPr="00163C36">
              <w:rPr>
                <w:rFonts w:eastAsia="游ゴシック" w:cs="Times New Roman"/>
                <w:color w:val="000000"/>
                <w:kern w:val="24"/>
                <w:sz w:val="20"/>
                <w:szCs w:val="20"/>
                <w:lang w:eastAsia="ja-JP"/>
              </w:rPr>
              <w:t>0.997 [0.988–1.001], 0.16</w:t>
            </w:r>
          </w:p>
        </w:tc>
      </w:tr>
    </w:tbl>
    <w:p w14:paraId="744F0B91" w14:textId="45993AD8" w:rsidR="007C6C06" w:rsidRPr="00163C36" w:rsidRDefault="007C6C06" w:rsidP="007C6C06">
      <w:pPr>
        <w:spacing w:before="240"/>
        <w:rPr>
          <w:rFonts w:cs="Times New Roman"/>
        </w:rPr>
      </w:pPr>
      <w:r w:rsidRPr="00163C36">
        <w:rPr>
          <w:rFonts w:cs="Times New Roman"/>
          <w:lang w:eastAsia="ja-JP"/>
        </w:rPr>
        <w:t>(</w:t>
      </w:r>
      <w:r w:rsidRPr="00163C36">
        <w:rPr>
          <w:rFonts w:cs="Times New Roman"/>
        </w:rPr>
        <w:t>Model summary</w:t>
      </w:r>
      <w:r w:rsidRPr="00163C36">
        <w:rPr>
          <w:rFonts w:cs="Times New Roman"/>
          <w:lang w:eastAsia="ja-JP"/>
        </w:rPr>
        <w:t>)</w:t>
      </w:r>
      <w:r w:rsidRPr="00163C36">
        <w:rPr>
          <w:rFonts w:cs="Times New Roman"/>
        </w:rPr>
        <w:t xml:space="preserve"> </w:t>
      </w:r>
    </w:p>
    <w:p w14:paraId="7E607809" w14:textId="77777777" w:rsidR="007C6C06" w:rsidRPr="00163C36" w:rsidRDefault="007C6C06" w:rsidP="007C6C06">
      <w:pPr>
        <w:spacing w:before="240"/>
        <w:rPr>
          <w:rFonts w:cs="Times New Roman"/>
        </w:rPr>
      </w:pPr>
      <w:r w:rsidRPr="00163C36">
        <w:rPr>
          <w:rFonts w:cs="Times New Roman"/>
          <w:b/>
          <w:bCs/>
        </w:rPr>
        <w:t>EASI75 model</w:t>
      </w:r>
      <w:r w:rsidRPr="00163C36">
        <w:rPr>
          <w:rFonts w:cs="Times New Roman"/>
        </w:rPr>
        <w:t>: Pseudo R² = 0.226, Model p = 0.0027, LOF p = 0.448.</w:t>
      </w:r>
    </w:p>
    <w:p w14:paraId="7AAFD65B" w14:textId="22734C42" w:rsidR="007C6C06" w:rsidRPr="00163C36" w:rsidRDefault="007C6C06" w:rsidP="007C6C06">
      <w:pPr>
        <w:spacing w:before="240"/>
        <w:rPr>
          <w:rFonts w:cs="Times New Roman"/>
        </w:rPr>
      </w:pPr>
      <w:r w:rsidRPr="00163C36">
        <w:rPr>
          <w:rFonts w:cs="Times New Roman"/>
          <w:b/>
          <w:bCs/>
        </w:rPr>
        <w:t>Adverse Event model</w:t>
      </w:r>
      <w:r w:rsidRPr="00163C36">
        <w:rPr>
          <w:rFonts w:cs="Times New Roman"/>
        </w:rPr>
        <w:t>: Pseudo R² = 0.165, Model p = 0.0099, LOF p = 0.074</w:t>
      </w:r>
    </w:p>
    <w:p w14:paraId="46BF6C6D" w14:textId="77777777" w:rsidR="007C6C06" w:rsidRPr="00163C36" w:rsidRDefault="007C6C06" w:rsidP="007C6C06">
      <w:pPr>
        <w:spacing w:before="240"/>
        <w:rPr>
          <w:rFonts w:cs="Times New Roman"/>
        </w:rPr>
      </w:pPr>
      <w:proofErr w:type="spellStart"/>
      <w:proofErr w:type="gramStart"/>
      <w:r w:rsidRPr="00163C36">
        <w:rPr>
          <w:rFonts w:cs="Times New Roman"/>
        </w:rPr>
        <w:t>Notes:Multivariable</w:t>
      </w:r>
      <w:proofErr w:type="spellEnd"/>
      <w:proofErr w:type="gramEnd"/>
      <w:r w:rsidRPr="00163C36">
        <w:rPr>
          <w:rFonts w:cs="Times New Roman"/>
        </w:rPr>
        <w:t xml:space="preserve"> logistic regression models were constructed separately for each outcome using covariates optimized for statistical significance and model fit.</w:t>
      </w:r>
    </w:p>
    <w:p w14:paraId="58F1AED1" w14:textId="3BDF0330" w:rsidR="00DE23E8" w:rsidRPr="00163C36" w:rsidRDefault="007C6C06" w:rsidP="007C6C06">
      <w:pPr>
        <w:spacing w:before="240"/>
        <w:rPr>
          <w:rFonts w:cs="Times New Roman"/>
        </w:rPr>
      </w:pPr>
      <w:r w:rsidRPr="00163C36">
        <w:rPr>
          <w:rFonts w:cs="Times New Roman"/>
        </w:rPr>
        <w:t>*Statistically significant at p &lt; 0.05.</w:t>
      </w:r>
    </w:p>
    <w:p w14:paraId="64DC5453" w14:textId="77777777" w:rsidR="009C160F" w:rsidRDefault="009C160F" w:rsidP="007C6C06">
      <w:pPr>
        <w:spacing w:before="240"/>
        <w:rPr>
          <w:lang w:eastAsia="ja-JP"/>
        </w:rPr>
      </w:pPr>
    </w:p>
    <w:p w14:paraId="3BB035A5" w14:textId="77777777" w:rsidR="009C160F" w:rsidRDefault="009C160F" w:rsidP="007C6C06">
      <w:pPr>
        <w:spacing w:before="240"/>
        <w:rPr>
          <w:lang w:eastAsia="ja-JP"/>
        </w:rPr>
      </w:pPr>
    </w:p>
    <w:p w14:paraId="08BC69C0" w14:textId="77777777" w:rsidR="009C160F" w:rsidRDefault="009C160F" w:rsidP="007C6C06">
      <w:pPr>
        <w:spacing w:before="240"/>
        <w:rPr>
          <w:lang w:eastAsia="ja-JP"/>
        </w:rPr>
      </w:pPr>
    </w:p>
    <w:p w14:paraId="6C36F842" w14:textId="77777777" w:rsidR="009C160F" w:rsidRDefault="009C160F" w:rsidP="007C6C06">
      <w:pPr>
        <w:spacing w:before="240"/>
        <w:rPr>
          <w:lang w:eastAsia="ja-JP"/>
        </w:rPr>
      </w:pPr>
    </w:p>
    <w:p w14:paraId="6BCB0A79" w14:textId="77777777" w:rsidR="009C160F" w:rsidRDefault="009C160F" w:rsidP="007C6C06">
      <w:pPr>
        <w:spacing w:before="240"/>
        <w:rPr>
          <w:lang w:eastAsia="ja-JP"/>
        </w:rPr>
      </w:pPr>
    </w:p>
    <w:p w14:paraId="124115D2" w14:textId="77777777" w:rsidR="009C160F" w:rsidRDefault="009C160F" w:rsidP="007C6C06">
      <w:pPr>
        <w:spacing w:before="240"/>
        <w:rPr>
          <w:lang w:eastAsia="ja-JP"/>
        </w:rPr>
      </w:pPr>
    </w:p>
    <w:p w14:paraId="171DD6C3" w14:textId="77777777" w:rsidR="009C160F" w:rsidRDefault="009C160F" w:rsidP="007C6C06">
      <w:pPr>
        <w:spacing w:before="240"/>
        <w:rPr>
          <w:lang w:eastAsia="ja-JP"/>
        </w:rPr>
      </w:pPr>
    </w:p>
    <w:p w14:paraId="0D55EE1B" w14:textId="77777777" w:rsidR="009C160F" w:rsidRDefault="009C160F" w:rsidP="007C6C06">
      <w:pPr>
        <w:spacing w:before="240"/>
        <w:rPr>
          <w:lang w:eastAsia="ja-JP"/>
        </w:rPr>
      </w:pPr>
    </w:p>
    <w:p w14:paraId="67590754" w14:textId="77777777" w:rsidR="009C160F" w:rsidRDefault="009C160F" w:rsidP="007C6C06">
      <w:pPr>
        <w:spacing w:before="240"/>
        <w:rPr>
          <w:lang w:eastAsia="ja-JP"/>
        </w:rPr>
      </w:pPr>
    </w:p>
    <w:p w14:paraId="547C4789" w14:textId="77777777" w:rsidR="009C160F" w:rsidRDefault="009C160F" w:rsidP="007C6C06">
      <w:pPr>
        <w:spacing w:before="240"/>
        <w:rPr>
          <w:lang w:eastAsia="ja-JP"/>
        </w:rPr>
      </w:pPr>
    </w:p>
    <w:p w14:paraId="61D75700" w14:textId="707621A3" w:rsidR="009C160F" w:rsidRPr="00994A3D" w:rsidRDefault="009C160F" w:rsidP="009C160F">
      <w:pPr>
        <w:pStyle w:val="1"/>
      </w:pPr>
      <w:r w:rsidRPr="00994A3D">
        <w:lastRenderedPageBreak/>
        <w:t>Supplementary Tabl</w:t>
      </w:r>
      <w:r>
        <w:rPr>
          <w:rFonts w:eastAsiaTheme="minorEastAsia" w:hint="eastAsia"/>
          <w:lang w:eastAsia="ja-JP"/>
        </w:rPr>
        <w:t>e S2</w:t>
      </w:r>
    </w:p>
    <w:p w14:paraId="1FE8978D" w14:textId="10053723" w:rsidR="009C160F" w:rsidRPr="009C160F" w:rsidRDefault="009C160F" w:rsidP="009C160F">
      <w:pPr>
        <w:rPr>
          <w:rFonts w:cs="Times New Roman"/>
          <w:b/>
          <w:bCs/>
          <w:szCs w:val="24"/>
          <w:lang w:eastAsia="ja-JP"/>
        </w:rPr>
      </w:pPr>
      <w:r>
        <w:rPr>
          <w:rFonts w:hint="eastAsia"/>
          <w:lang w:eastAsia="ja-JP"/>
        </w:rPr>
        <w:t>a)</w:t>
      </w:r>
      <w:r w:rsidRPr="009C160F">
        <w:t xml:space="preserve"> </w:t>
      </w:r>
      <w:r w:rsidR="00CC585D">
        <w:rPr>
          <w:rFonts w:hint="eastAsia"/>
          <w:lang w:eastAsia="ja-JP"/>
        </w:rPr>
        <w:t>Variables</w:t>
      </w:r>
      <w:r w:rsidRPr="009C160F">
        <w:rPr>
          <w:lang w:eastAsia="ja-JP"/>
        </w:rPr>
        <w:t xml:space="preserve"> Correlated with 3-Month</w:t>
      </w:r>
      <w:r>
        <w:rPr>
          <w:rFonts w:hint="eastAsia"/>
          <w:lang w:eastAsia="ja-JP"/>
        </w:rPr>
        <w:t xml:space="preserve"> PP-NRS</w:t>
      </w:r>
      <w:r w:rsidRPr="009C160F">
        <w:rPr>
          <w:lang w:eastAsia="ja-JP"/>
        </w:rPr>
        <w:t xml:space="preserve"> Improvement in Patients Treated with JAK Inhibitors</w:t>
      </w:r>
    </w:p>
    <w:tbl>
      <w:tblPr>
        <w:tblW w:w="98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11"/>
        <w:gridCol w:w="2295"/>
        <w:gridCol w:w="2010"/>
        <w:gridCol w:w="1504"/>
        <w:gridCol w:w="1110"/>
      </w:tblGrid>
      <w:tr w:rsidR="009C160F" w:rsidRPr="009C160F" w14:paraId="312EF4A2" w14:textId="77777777" w:rsidTr="005041AE">
        <w:trPr>
          <w:trHeight w:val="640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AD085" w14:textId="37580441" w:rsidR="009C160F" w:rsidRPr="009C160F" w:rsidRDefault="00484AB7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  <w:lang w:eastAsia="ja-JP"/>
              </w:rPr>
              <w:t>TOP3 Variables</w:t>
            </w:r>
            <w:r w:rsidR="009C160F"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 xml:space="preserve"> Correlated with</w:t>
            </w:r>
            <w:r w:rsidR="009C160F"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 xml:space="preserve">　</w:t>
            </w:r>
            <w:r w:rsidR="00E75FC9">
              <w:rPr>
                <w:rFonts w:cs="Times New Roman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9C160F"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PP-NRS Improvement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E3F0D" w14:textId="77777777" w:rsidR="009C160F" w:rsidRPr="009C160F" w:rsidRDefault="009C160F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Standardized β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5D387" w14:textId="77777777" w:rsidR="009C160F" w:rsidRPr="009C160F" w:rsidRDefault="009C160F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Raw β [95% CI]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0BAFC" w14:textId="77777777" w:rsidR="009C160F" w:rsidRPr="009C160F" w:rsidRDefault="009C160F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9C160F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p-</w:t>
            </w: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value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22053" w14:textId="77777777" w:rsidR="009C160F" w:rsidRPr="009C160F" w:rsidRDefault="009C160F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VIF</w:t>
            </w:r>
          </w:p>
        </w:tc>
      </w:tr>
      <w:tr w:rsidR="00B77DEC" w:rsidRPr="009C160F" w14:paraId="1E6ADAA2" w14:textId="77777777" w:rsidTr="005041AE">
        <w:trPr>
          <w:trHeight w:val="362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BB4A7" w14:textId="4820ED12" w:rsidR="00B77DEC" w:rsidRPr="00B77DEC" w:rsidRDefault="00B77DEC" w:rsidP="00B77DEC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B77DEC">
              <w:rPr>
                <w:b/>
                <w:bCs/>
                <w:sz w:val="20"/>
                <w:szCs w:val="20"/>
              </w:rPr>
              <w:t>EASI Improvement Rate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E67A6" w14:textId="25C62629" w:rsidR="00B77DEC" w:rsidRPr="00B77DEC" w:rsidRDefault="00B77DEC" w:rsidP="00B77DE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B77DEC">
              <w:rPr>
                <w:b/>
                <w:bCs/>
                <w:sz w:val="20"/>
                <w:szCs w:val="20"/>
              </w:rPr>
              <w:t>0.662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B243E" w14:textId="0AED0D72" w:rsidR="00B77DEC" w:rsidRPr="00B77DEC" w:rsidRDefault="00B77DEC" w:rsidP="00B77DE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B77DEC">
              <w:rPr>
                <w:b/>
                <w:bCs/>
                <w:sz w:val="20"/>
                <w:szCs w:val="20"/>
              </w:rPr>
              <w:t>0.588 [0.288, 0.887]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A4FAA" w14:textId="28ED6A93" w:rsidR="00B77DEC" w:rsidRPr="00B77DEC" w:rsidRDefault="00B77DEC" w:rsidP="00B77DE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B77DEC">
              <w:rPr>
                <w:b/>
                <w:bCs/>
                <w:sz w:val="20"/>
                <w:szCs w:val="20"/>
              </w:rPr>
              <w:t>0.0004*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F1164" w14:textId="1F098A4A" w:rsidR="00B77DEC" w:rsidRPr="00B77DEC" w:rsidRDefault="00B77DEC" w:rsidP="00B77DE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B77DEC">
              <w:rPr>
                <w:b/>
                <w:bCs/>
                <w:sz w:val="20"/>
                <w:szCs w:val="20"/>
              </w:rPr>
              <w:t>1.75</w:t>
            </w:r>
          </w:p>
        </w:tc>
      </w:tr>
      <w:tr w:rsidR="00B77DEC" w:rsidRPr="009C160F" w14:paraId="655633E2" w14:textId="77777777" w:rsidTr="005041AE">
        <w:trPr>
          <w:trHeight w:val="362"/>
        </w:trPr>
        <w:tc>
          <w:tcPr>
            <w:tcW w:w="29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24043" w14:textId="323398CB" w:rsidR="00B77DEC" w:rsidRPr="005041AE" w:rsidRDefault="00B77DEC" w:rsidP="00B77DEC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5041AE">
              <w:rPr>
                <w:b/>
                <w:bCs/>
                <w:sz w:val="20"/>
                <w:szCs w:val="20"/>
              </w:rPr>
              <w:t>IgE</w:t>
            </w:r>
            <w:proofErr w:type="spellEnd"/>
            <w:r w:rsidRPr="005041AE">
              <w:rPr>
                <w:b/>
                <w:bCs/>
                <w:sz w:val="20"/>
                <w:szCs w:val="20"/>
              </w:rPr>
              <w:t xml:space="preserve"> Improvement Rate</w:t>
            </w:r>
          </w:p>
        </w:tc>
        <w:tc>
          <w:tcPr>
            <w:tcW w:w="2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801C9" w14:textId="6D580742" w:rsidR="00B77DEC" w:rsidRPr="00B77DEC" w:rsidRDefault="00B77DEC" w:rsidP="00B77DEC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B77DEC">
              <w:rPr>
                <w:sz w:val="20"/>
                <w:szCs w:val="20"/>
              </w:rPr>
              <w:t>–0.217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965BF" w14:textId="64F8B253" w:rsidR="00B77DEC" w:rsidRPr="00B77DEC" w:rsidRDefault="00B77DEC" w:rsidP="00B77DEC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B77DEC">
              <w:rPr>
                <w:sz w:val="20"/>
                <w:szCs w:val="20"/>
              </w:rPr>
              <w:t>–0.030 [–0.070, 0.009]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10F2E" w14:textId="658FC150" w:rsidR="00B77DEC" w:rsidRPr="00B77DEC" w:rsidRDefault="00B77DEC" w:rsidP="00B77DEC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B77DEC">
              <w:rPr>
                <w:sz w:val="20"/>
                <w:szCs w:val="20"/>
              </w:rPr>
              <w:t>0.1295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0136E" w14:textId="0511EB87" w:rsidR="00B77DEC" w:rsidRPr="00B77DEC" w:rsidRDefault="00B77DEC" w:rsidP="00B77DEC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B77DEC">
              <w:rPr>
                <w:sz w:val="20"/>
                <w:szCs w:val="20"/>
              </w:rPr>
              <w:t>1.24</w:t>
            </w:r>
          </w:p>
        </w:tc>
      </w:tr>
      <w:tr w:rsidR="00B77DEC" w:rsidRPr="009C160F" w14:paraId="5E8135E2" w14:textId="77777777" w:rsidTr="005041AE">
        <w:trPr>
          <w:trHeight w:val="374"/>
        </w:trPr>
        <w:tc>
          <w:tcPr>
            <w:tcW w:w="2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14589" w14:textId="007961A4" w:rsidR="00B77DEC" w:rsidRPr="005041AE" w:rsidRDefault="00B77DEC" w:rsidP="00B77DEC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Eosinophil Improvement Rate</w:t>
            </w:r>
          </w:p>
        </w:tc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569D8" w14:textId="130D6DB5" w:rsidR="00B77DEC" w:rsidRPr="00B77DEC" w:rsidRDefault="00B77DEC" w:rsidP="00B77DEC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B77DEC">
              <w:rPr>
                <w:sz w:val="20"/>
                <w:szCs w:val="20"/>
              </w:rPr>
              <w:t>0.119</w:t>
            </w:r>
          </w:p>
        </w:tc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A4B79" w14:textId="166F67C0" w:rsidR="00B77DEC" w:rsidRPr="00B77DEC" w:rsidRDefault="00B77DEC" w:rsidP="00B77DEC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B77DEC">
              <w:rPr>
                <w:sz w:val="20"/>
                <w:szCs w:val="20"/>
              </w:rPr>
              <w:t>0.068 [–0.117, 0.253]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E5027" w14:textId="5A178EC7" w:rsidR="00B77DEC" w:rsidRPr="00B77DEC" w:rsidRDefault="00B77DEC" w:rsidP="00B77DEC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B77DEC">
              <w:rPr>
                <w:sz w:val="20"/>
                <w:szCs w:val="20"/>
              </w:rPr>
              <w:t>0.4609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5B0ED" w14:textId="6600CF63" w:rsidR="00B77DEC" w:rsidRPr="00B77DEC" w:rsidRDefault="00B77DEC" w:rsidP="00B77DEC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B77DEC">
              <w:rPr>
                <w:sz w:val="20"/>
                <w:szCs w:val="20"/>
              </w:rPr>
              <w:t>1.64</w:t>
            </w:r>
          </w:p>
        </w:tc>
      </w:tr>
      <w:tr w:rsidR="009C160F" w:rsidRPr="009C160F" w14:paraId="0FAA2769" w14:textId="77777777" w:rsidTr="00202CA3">
        <w:trPr>
          <w:trHeight w:val="362"/>
        </w:trPr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D0B60" w14:textId="42C9A936" w:rsidR="009C160F" w:rsidRPr="009C160F" w:rsidRDefault="009C160F" w:rsidP="009C160F">
            <w:pPr>
              <w:rPr>
                <w:rFonts w:cs="Times New Roman"/>
                <w:sz w:val="16"/>
                <w:szCs w:val="16"/>
                <w:lang w:eastAsia="ja-JP"/>
              </w:rPr>
            </w:pP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Model Summary: N = 37, R² = 0.533 (adjusted R² = 0.439), RMSE = 20.33, model (p) </w:t>
            </w:r>
            <w:proofErr w:type="gramStart"/>
            <w:r w:rsidRPr="009C160F">
              <w:rPr>
                <w:rFonts w:cs="Times New Roman"/>
                <w:sz w:val="16"/>
                <w:szCs w:val="16"/>
                <w:lang w:eastAsia="ja-JP"/>
              </w:rPr>
              <w:t>=  0.0005</w:t>
            </w:r>
            <w:proofErr w:type="gramEnd"/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, no multicollinearity (VIF &lt; 2 for all variables) </w:t>
            </w:r>
            <w:r w:rsidR="00B77DEC" w:rsidRPr="00B77DEC">
              <w:rPr>
                <w:rFonts w:cs="Times New Roman"/>
                <w:sz w:val="16"/>
                <w:szCs w:val="16"/>
                <w:lang w:eastAsia="ja-JP"/>
              </w:rPr>
              <w:t>*Statistically significant (p &lt; 0.05).</w:t>
            </w:r>
          </w:p>
        </w:tc>
      </w:tr>
      <w:tr w:rsidR="009C160F" w:rsidRPr="009C160F" w14:paraId="5E71B31A" w14:textId="77777777" w:rsidTr="00202CA3">
        <w:trPr>
          <w:trHeight w:val="36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6B034" w14:textId="58C57A3A" w:rsidR="009C160F" w:rsidRPr="009C160F" w:rsidRDefault="009C160F" w:rsidP="009C160F">
            <w:pPr>
              <w:rPr>
                <w:rFonts w:cs="Times New Roman"/>
                <w:sz w:val="16"/>
                <w:szCs w:val="16"/>
                <w:lang w:eastAsia="ja-JP"/>
              </w:rPr>
            </w:pP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Notes: The full model included baseline PP-NRS, baseline </w:t>
            </w:r>
            <w:proofErr w:type="spellStart"/>
            <w:r w:rsidRPr="009C160F">
              <w:rPr>
                <w:rFonts w:cs="Times New Roman"/>
                <w:sz w:val="16"/>
                <w:szCs w:val="16"/>
                <w:lang w:eastAsia="ja-JP"/>
              </w:rPr>
              <w:t>IgE</w:t>
            </w:r>
            <w:proofErr w:type="spellEnd"/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, and </w:t>
            </w:r>
            <w:r w:rsidR="00B77DEC">
              <w:rPr>
                <w:rFonts w:cs="Times New Roman" w:hint="eastAsia"/>
                <w:sz w:val="16"/>
                <w:szCs w:val="16"/>
                <w:lang w:eastAsia="ja-JP"/>
              </w:rPr>
              <w:t>TARC</w:t>
            </w: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 improvement rate. </w:t>
            </w:r>
          </w:p>
          <w:p w14:paraId="71337739" w14:textId="77777777" w:rsidR="009C160F" w:rsidRPr="009C160F" w:rsidRDefault="009C160F" w:rsidP="009C160F">
            <w:pPr>
              <w:rPr>
                <w:rFonts w:cs="Times New Roman"/>
                <w:sz w:val="16"/>
                <w:szCs w:val="16"/>
                <w:lang w:eastAsia="ja-JP"/>
              </w:rPr>
            </w:pP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CI, confidence interval; </w:t>
            </w:r>
            <w:r w:rsidRPr="009C160F">
              <w:rPr>
                <w:rFonts w:eastAsia="Arial Unicode MS" w:cs="Times New Roman"/>
                <w:color w:val="000000" w:themeColor="text1"/>
                <w:kern w:val="24"/>
                <w:sz w:val="16"/>
                <w:szCs w:val="16"/>
              </w:rPr>
              <w:t xml:space="preserve">PP-NRS, Peak Pruritus Numerical Rating Scale; </w:t>
            </w:r>
            <w:proofErr w:type="spellStart"/>
            <w:r w:rsidRPr="009C160F">
              <w:rPr>
                <w:rFonts w:eastAsia="Arial Unicode MS" w:cs="Times New Roman"/>
                <w:color w:val="000000" w:themeColor="text1"/>
                <w:kern w:val="24"/>
                <w:sz w:val="16"/>
                <w:szCs w:val="16"/>
              </w:rPr>
              <w:t>IgE</w:t>
            </w:r>
            <w:proofErr w:type="spellEnd"/>
            <w:r w:rsidRPr="009C160F">
              <w:rPr>
                <w:rFonts w:eastAsia="Arial Unicode MS" w:cs="Times New Roman"/>
                <w:color w:val="000000" w:themeColor="text1"/>
                <w:kern w:val="24"/>
                <w:sz w:val="16"/>
                <w:szCs w:val="16"/>
              </w:rPr>
              <w:t>, immunoglobulin E; TARC, thymus and activation-regulated chemokine; VIF, variance inflation factor; RMSE, root mean square error</w:t>
            </w:r>
          </w:p>
        </w:tc>
      </w:tr>
    </w:tbl>
    <w:p w14:paraId="065084C7" w14:textId="77777777" w:rsidR="00CC585D" w:rsidRDefault="00CC585D" w:rsidP="009C160F">
      <w:pPr>
        <w:rPr>
          <w:lang w:eastAsia="ja-JP"/>
        </w:rPr>
      </w:pPr>
    </w:p>
    <w:p w14:paraId="1140A7B8" w14:textId="653CBA3D" w:rsidR="009C160F" w:rsidRPr="009C160F" w:rsidRDefault="009C160F" w:rsidP="009C160F">
      <w:pPr>
        <w:rPr>
          <w:rFonts w:cs="Times New Roman"/>
          <w:b/>
          <w:bCs/>
          <w:szCs w:val="24"/>
          <w:lang w:eastAsia="ja-JP"/>
        </w:rPr>
      </w:pPr>
      <w:r>
        <w:rPr>
          <w:rFonts w:hint="eastAsia"/>
          <w:lang w:eastAsia="ja-JP"/>
        </w:rPr>
        <w:t>a)</w:t>
      </w:r>
      <w:r w:rsidRPr="009C160F">
        <w:t xml:space="preserve"> </w:t>
      </w:r>
      <w:r w:rsidR="00CC585D">
        <w:rPr>
          <w:rFonts w:hint="eastAsia"/>
          <w:lang w:eastAsia="ja-JP"/>
        </w:rPr>
        <w:t xml:space="preserve">Variables </w:t>
      </w:r>
      <w:r w:rsidRPr="009C160F">
        <w:rPr>
          <w:lang w:eastAsia="ja-JP"/>
        </w:rPr>
        <w:t>Correlated with 3-Month</w:t>
      </w:r>
      <w:r>
        <w:rPr>
          <w:rFonts w:hint="eastAsia"/>
          <w:lang w:eastAsia="ja-JP"/>
        </w:rPr>
        <w:t xml:space="preserve"> PP-NRS</w:t>
      </w:r>
      <w:r w:rsidRPr="009C160F">
        <w:rPr>
          <w:lang w:eastAsia="ja-JP"/>
        </w:rPr>
        <w:t xml:space="preserve"> Improvement in Patients Treated with Anti-IL-13 Antibodies</w:t>
      </w:r>
    </w:p>
    <w:tbl>
      <w:tblPr>
        <w:tblW w:w="98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36"/>
        <w:gridCol w:w="2122"/>
        <w:gridCol w:w="2214"/>
        <w:gridCol w:w="1593"/>
        <w:gridCol w:w="985"/>
      </w:tblGrid>
      <w:tr w:rsidR="005041AE" w:rsidRPr="009C160F" w14:paraId="0C92B4FB" w14:textId="77777777" w:rsidTr="005041AE">
        <w:trPr>
          <w:trHeight w:val="6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E2E27" w14:textId="7D3AFF53" w:rsidR="009C160F" w:rsidRPr="009C160F" w:rsidRDefault="00484AB7" w:rsidP="00E75FC9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  <w:lang w:eastAsia="ja-JP"/>
              </w:rPr>
              <w:t>TOP3 Variables</w:t>
            </w: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 xml:space="preserve"> Correlated with</w:t>
            </w: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cs="Times New Roman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PP-NRS Improvement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D5D37" w14:textId="77777777" w:rsidR="009C160F" w:rsidRPr="009C160F" w:rsidRDefault="009C160F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Standardized β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DF906" w14:textId="77777777" w:rsidR="009C160F" w:rsidRPr="009C160F" w:rsidRDefault="009C160F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Raw β [95% CI]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72056" w14:textId="77777777" w:rsidR="009C160F" w:rsidRPr="009C160F" w:rsidRDefault="009C160F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9C160F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ja-JP"/>
              </w:rPr>
              <w:t>p</w:t>
            </w: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-value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0762F" w14:textId="77777777" w:rsidR="009C160F" w:rsidRPr="009C160F" w:rsidRDefault="009C160F" w:rsidP="009C160F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9C160F">
              <w:rPr>
                <w:rFonts w:cs="Times New Roman"/>
                <w:b/>
                <w:bCs/>
                <w:sz w:val="20"/>
                <w:szCs w:val="20"/>
                <w:lang w:eastAsia="ja-JP"/>
              </w:rPr>
              <w:t>VIF</w:t>
            </w:r>
          </w:p>
        </w:tc>
      </w:tr>
      <w:tr w:rsidR="005041AE" w:rsidRPr="009C160F" w14:paraId="649A2E55" w14:textId="77777777" w:rsidTr="005041AE">
        <w:trPr>
          <w:trHeight w:val="345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5B4BB" w14:textId="1E12D900" w:rsidR="005041AE" w:rsidRPr="005041AE" w:rsidRDefault="005041AE" w:rsidP="005041A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Baseline PP-NRS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368EF" w14:textId="3F07A53A" w:rsidR="005041AE" w:rsidRPr="005041AE" w:rsidRDefault="005041AE" w:rsidP="005041A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0.509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D9487" w14:textId="5F7060EA" w:rsidR="005041AE" w:rsidRPr="005041AE" w:rsidRDefault="005041AE" w:rsidP="005041A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11.388 [6.220, 16.555]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7FB0C" w14:textId="1E025D4B" w:rsidR="005041AE" w:rsidRPr="005041AE" w:rsidRDefault="005041AE" w:rsidP="005041A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&lt;0.0001*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6ECE1" w14:textId="31CB0235" w:rsidR="005041AE" w:rsidRPr="005041AE" w:rsidRDefault="005041AE" w:rsidP="005041A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1.19</w:t>
            </w:r>
          </w:p>
        </w:tc>
      </w:tr>
      <w:tr w:rsidR="005041AE" w:rsidRPr="009C160F" w14:paraId="152492C0" w14:textId="77777777" w:rsidTr="005041AE">
        <w:trPr>
          <w:trHeight w:val="356"/>
        </w:trPr>
        <w:tc>
          <w:tcPr>
            <w:tcW w:w="2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04E5F" w14:textId="7E2BC08F" w:rsidR="005041AE" w:rsidRPr="005041AE" w:rsidRDefault="005041AE" w:rsidP="005041A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 xml:space="preserve">Baseline </w:t>
            </w:r>
            <w:proofErr w:type="spellStart"/>
            <w:r w:rsidRPr="005041AE">
              <w:rPr>
                <w:b/>
                <w:bCs/>
                <w:sz w:val="20"/>
                <w:szCs w:val="20"/>
              </w:rPr>
              <w:t>IgE</w:t>
            </w:r>
            <w:proofErr w:type="spellEnd"/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B4922" w14:textId="31A60D09" w:rsidR="005041AE" w:rsidRPr="005041AE" w:rsidRDefault="005041AE" w:rsidP="005041A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–0.421</w:t>
            </w:r>
          </w:p>
        </w:tc>
        <w:tc>
          <w:tcPr>
            <w:tcW w:w="2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18726" w14:textId="4DD3A1BA" w:rsidR="005041AE" w:rsidRPr="005041AE" w:rsidRDefault="005041AE" w:rsidP="005041A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–0.002 [–0.003, –0.001]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AA8ED" w14:textId="7D27A305" w:rsidR="005041AE" w:rsidRPr="005041AE" w:rsidRDefault="005041AE" w:rsidP="005041A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0.0015*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F6A0F" w14:textId="1C30A184" w:rsidR="005041AE" w:rsidRPr="005041AE" w:rsidRDefault="005041AE" w:rsidP="005041AE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1.35</w:t>
            </w:r>
          </w:p>
        </w:tc>
      </w:tr>
      <w:tr w:rsidR="005041AE" w:rsidRPr="009C160F" w14:paraId="50C6C0DD" w14:textId="77777777" w:rsidTr="005041AE">
        <w:trPr>
          <w:trHeight w:val="356"/>
        </w:trPr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E864C" w14:textId="486A5715" w:rsidR="005041AE" w:rsidRPr="005041AE" w:rsidRDefault="005041AE" w:rsidP="005041AE">
            <w:pPr>
              <w:rPr>
                <w:rFonts w:cs="Times New Roman"/>
                <w:b/>
                <w:bCs/>
                <w:sz w:val="20"/>
                <w:szCs w:val="20"/>
                <w:lang w:eastAsia="ja-JP"/>
              </w:rPr>
            </w:pPr>
            <w:r w:rsidRPr="005041AE">
              <w:rPr>
                <w:b/>
                <w:bCs/>
                <w:sz w:val="20"/>
                <w:szCs w:val="20"/>
              </w:rPr>
              <w:t>EASI Improvement Rate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2F471" w14:textId="20062170" w:rsidR="005041AE" w:rsidRPr="005041AE" w:rsidRDefault="005041AE" w:rsidP="005041AE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5041AE">
              <w:rPr>
                <w:sz w:val="20"/>
                <w:szCs w:val="20"/>
              </w:rPr>
              <w:t>0.254</w:t>
            </w:r>
          </w:p>
        </w:tc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85CEE" w14:textId="241DFB3A" w:rsidR="005041AE" w:rsidRPr="005041AE" w:rsidRDefault="005041AE" w:rsidP="005041AE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5041AE">
              <w:rPr>
                <w:sz w:val="20"/>
                <w:szCs w:val="20"/>
              </w:rPr>
              <w:t>0.602 [–0.118, 1.322]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1F40C" w14:textId="64BFEF30" w:rsidR="005041AE" w:rsidRPr="005041AE" w:rsidRDefault="005041AE" w:rsidP="005041AE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5041AE">
              <w:rPr>
                <w:sz w:val="20"/>
                <w:szCs w:val="20"/>
              </w:rPr>
              <w:t>0.0981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C452D" w14:textId="0EC48651" w:rsidR="005041AE" w:rsidRPr="005041AE" w:rsidRDefault="005041AE" w:rsidP="005041AE">
            <w:pPr>
              <w:jc w:val="center"/>
              <w:rPr>
                <w:rFonts w:cs="Times New Roman"/>
                <w:sz w:val="20"/>
                <w:szCs w:val="20"/>
                <w:lang w:eastAsia="ja-JP"/>
              </w:rPr>
            </w:pPr>
            <w:r w:rsidRPr="005041AE">
              <w:rPr>
                <w:sz w:val="20"/>
                <w:szCs w:val="20"/>
              </w:rPr>
              <w:t>2.06</w:t>
            </w:r>
          </w:p>
        </w:tc>
      </w:tr>
      <w:tr w:rsidR="009C160F" w:rsidRPr="009C160F" w14:paraId="367568E2" w14:textId="77777777" w:rsidTr="00202CA3">
        <w:trPr>
          <w:trHeight w:val="356"/>
        </w:trPr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1BF50" w14:textId="77777777" w:rsidR="009C160F" w:rsidRPr="009C160F" w:rsidRDefault="009C160F" w:rsidP="009C160F">
            <w:pPr>
              <w:rPr>
                <w:rFonts w:cs="Times New Roman"/>
                <w:sz w:val="16"/>
                <w:szCs w:val="16"/>
                <w:lang w:eastAsia="ja-JP"/>
              </w:rPr>
            </w:pP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Model Summary: N = 38, R² = 0.665 (adjusted R² =0.600), RMSE = 45.28, model (p) = &lt; 0.0001, no multicollinearity (VIF &lt; 2 for all variables) </w:t>
            </w:r>
          </w:p>
        </w:tc>
      </w:tr>
      <w:tr w:rsidR="009C160F" w:rsidRPr="009C160F" w14:paraId="798E1806" w14:textId="77777777" w:rsidTr="00202CA3">
        <w:trPr>
          <w:trHeight w:val="34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573A7" w14:textId="1FD2103B" w:rsidR="009C160F" w:rsidRPr="009C160F" w:rsidRDefault="009C160F" w:rsidP="009C160F">
            <w:pPr>
              <w:rPr>
                <w:rFonts w:cs="Times New Roman"/>
                <w:sz w:val="16"/>
                <w:szCs w:val="16"/>
                <w:lang w:eastAsia="ja-JP"/>
              </w:rPr>
            </w:pP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Notes: The full model also included </w:t>
            </w:r>
            <w:r w:rsidR="00CC585D" w:rsidRPr="00CC585D">
              <w:rPr>
                <w:rFonts w:cs="Times New Roman"/>
                <w:sz w:val="16"/>
                <w:szCs w:val="16"/>
                <w:lang w:eastAsia="ja-JP"/>
              </w:rPr>
              <w:t>E</w:t>
            </w:r>
            <w:r w:rsidR="00CC585D">
              <w:rPr>
                <w:rFonts w:cs="Times New Roman" w:hint="eastAsia"/>
                <w:sz w:val="16"/>
                <w:szCs w:val="16"/>
                <w:lang w:eastAsia="ja-JP"/>
              </w:rPr>
              <w:t>osinophil</w:t>
            </w:r>
            <w:r w:rsidR="00CC585D" w:rsidRPr="00CC585D">
              <w:rPr>
                <w:rFonts w:cs="Times New Roman"/>
                <w:sz w:val="16"/>
                <w:szCs w:val="16"/>
                <w:lang w:eastAsia="ja-JP"/>
              </w:rPr>
              <w:t xml:space="preserve"> improvement rate</w:t>
            </w: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, </w:t>
            </w:r>
            <w:proofErr w:type="spellStart"/>
            <w:r w:rsidR="00CC585D">
              <w:rPr>
                <w:rFonts w:cs="Times New Roman" w:hint="eastAsia"/>
                <w:sz w:val="16"/>
                <w:szCs w:val="16"/>
                <w:lang w:eastAsia="ja-JP"/>
              </w:rPr>
              <w:t>IgE</w:t>
            </w:r>
            <w:proofErr w:type="spellEnd"/>
            <w:r w:rsidR="00CC585D">
              <w:rPr>
                <w:rFonts w:cs="Times New Roman" w:hint="eastAsia"/>
                <w:sz w:val="16"/>
                <w:szCs w:val="16"/>
                <w:lang w:eastAsia="ja-JP"/>
              </w:rPr>
              <w:t xml:space="preserve"> improvement rate </w:t>
            </w: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and </w:t>
            </w:r>
            <w:r w:rsidR="00CC585D">
              <w:rPr>
                <w:rFonts w:cs="Times New Roman" w:hint="eastAsia"/>
                <w:sz w:val="16"/>
                <w:szCs w:val="16"/>
                <w:lang w:eastAsia="ja-JP"/>
              </w:rPr>
              <w:t>TARC</w:t>
            </w: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 improvement rate. </w:t>
            </w:r>
          </w:p>
          <w:p w14:paraId="7072A76E" w14:textId="77777777" w:rsidR="009C160F" w:rsidRPr="009C160F" w:rsidRDefault="009C160F" w:rsidP="009C160F">
            <w:pPr>
              <w:rPr>
                <w:rFonts w:cs="Times New Roman"/>
                <w:sz w:val="16"/>
                <w:szCs w:val="16"/>
                <w:lang w:eastAsia="ja-JP"/>
              </w:rPr>
            </w:pPr>
            <w:r w:rsidRPr="009C160F">
              <w:rPr>
                <w:rFonts w:cs="Times New Roman"/>
                <w:sz w:val="16"/>
                <w:szCs w:val="16"/>
                <w:lang w:eastAsia="ja-JP"/>
              </w:rPr>
              <w:t xml:space="preserve">CI, confidence interval; </w:t>
            </w:r>
            <w:r w:rsidRPr="009C160F">
              <w:rPr>
                <w:rFonts w:eastAsia="Arial Unicode MS" w:cs="Times New Roman"/>
                <w:color w:val="000000" w:themeColor="text1"/>
                <w:kern w:val="24"/>
                <w:sz w:val="16"/>
                <w:szCs w:val="16"/>
              </w:rPr>
              <w:t xml:space="preserve">PP-NRS, Peak Pruritus Numerical Rating Scale; </w:t>
            </w:r>
            <w:proofErr w:type="spellStart"/>
            <w:r w:rsidRPr="009C160F">
              <w:rPr>
                <w:rFonts w:eastAsia="Arial Unicode MS" w:cs="Times New Roman"/>
                <w:color w:val="000000" w:themeColor="text1"/>
                <w:kern w:val="24"/>
                <w:sz w:val="16"/>
                <w:szCs w:val="16"/>
              </w:rPr>
              <w:t>IgE</w:t>
            </w:r>
            <w:proofErr w:type="spellEnd"/>
            <w:r w:rsidRPr="009C160F">
              <w:rPr>
                <w:rFonts w:eastAsia="Arial Unicode MS" w:cs="Times New Roman"/>
                <w:color w:val="000000" w:themeColor="text1"/>
                <w:kern w:val="24"/>
                <w:sz w:val="16"/>
                <w:szCs w:val="16"/>
              </w:rPr>
              <w:t>, immunoglobulin E; TARC, thymus and activation-regulated chemokine; VIF, variance inflation factor; RMSE, root mean square error</w:t>
            </w:r>
          </w:p>
        </w:tc>
      </w:tr>
    </w:tbl>
    <w:p w14:paraId="3C3895CB" w14:textId="4AF0CDC7" w:rsidR="009C160F" w:rsidRPr="009C160F" w:rsidRDefault="009C160F" w:rsidP="007C6C06">
      <w:pPr>
        <w:spacing w:before="240"/>
        <w:rPr>
          <w:lang w:eastAsia="ja-JP"/>
        </w:rPr>
      </w:pPr>
    </w:p>
    <w:sectPr w:rsidR="009C160F" w:rsidRPr="009C160F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7C6C0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C6C0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7C6C0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7C6C0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C6C0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7C6C0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7C6C0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7C6C0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63C36"/>
    <w:rsid w:val="00177D84"/>
    <w:rsid w:val="00267D18"/>
    <w:rsid w:val="00272525"/>
    <w:rsid w:val="002868E2"/>
    <w:rsid w:val="002869C3"/>
    <w:rsid w:val="002936E4"/>
    <w:rsid w:val="002B4A57"/>
    <w:rsid w:val="002C74CA"/>
    <w:rsid w:val="003544FB"/>
    <w:rsid w:val="003D2D47"/>
    <w:rsid w:val="003D2F2D"/>
    <w:rsid w:val="00400FF8"/>
    <w:rsid w:val="00401590"/>
    <w:rsid w:val="00414356"/>
    <w:rsid w:val="00421F3F"/>
    <w:rsid w:val="00447801"/>
    <w:rsid w:val="00452E9C"/>
    <w:rsid w:val="004735C8"/>
    <w:rsid w:val="00484AB7"/>
    <w:rsid w:val="004961FF"/>
    <w:rsid w:val="005041AE"/>
    <w:rsid w:val="00517A89"/>
    <w:rsid w:val="005250F2"/>
    <w:rsid w:val="00525A57"/>
    <w:rsid w:val="005608AC"/>
    <w:rsid w:val="00593EEA"/>
    <w:rsid w:val="005A0ABC"/>
    <w:rsid w:val="005A5EEE"/>
    <w:rsid w:val="006375C7"/>
    <w:rsid w:val="00654E8F"/>
    <w:rsid w:val="00660D05"/>
    <w:rsid w:val="006820B1"/>
    <w:rsid w:val="006B7D14"/>
    <w:rsid w:val="00701727"/>
    <w:rsid w:val="007026BE"/>
    <w:rsid w:val="0070566C"/>
    <w:rsid w:val="00714C50"/>
    <w:rsid w:val="00725A7D"/>
    <w:rsid w:val="007501BE"/>
    <w:rsid w:val="00790BB3"/>
    <w:rsid w:val="007C206C"/>
    <w:rsid w:val="007C6C06"/>
    <w:rsid w:val="00801D55"/>
    <w:rsid w:val="00803D24"/>
    <w:rsid w:val="00817DD6"/>
    <w:rsid w:val="0082115A"/>
    <w:rsid w:val="00885156"/>
    <w:rsid w:val="009151AA"/>
    <w:rsid w:val="0093429D"/>
    <w:rsid w:val="00943573"/>
    <w:rsid w:val="00970F7D"/>
    <w:rsid w:val="00994A3D"/>
    <w:rsid w:val="009C160F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77DEC"/>
    <w:rsid w:val="00BD48B0"/>
    <w:rsid w:val="00C52A7B"/>
    <w:rsid w:val="00C56BAF"/>
    <w:rsid w:val="00C679AA"/>
    <w:rsid w:val="00C75972"/>
    <w:rsid w:val="00CC0A3A"/>
    <w:rsid w:val="00CC585D"/>
    <w:rsid w:val="00CD066B"/>
    <w:rsid w:val="00CE4FEE"/>
    <w:rsid w:val="00DB59C3"/>
    <w:rsid w:val="00DC259A"/>
    <w:rsid w:val="00DE23E8"/>
    <w:rsid w:val="00E52377"/>
    <w:rsid w:val="00E64E17"/>
    <w:rsid w:val="00E75FC9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佐藤　絵美</cp:lastModifiedBy>
  <cp:revision>6</cp:revision>
  <cp:lastPrinted>2013-10-03T12:51:00Z</cp:lastPrinted>
  <dcterms:created xsi:type="dcterms:W3CDTF">2025-06-01T08:27:00Z</dcterms:created>
  <dcterms:modified xsi:type="dcterms:W3CDTF">2025-06-01T09:08:00Z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