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F026" w14:textId="77777777" w:rsidR="00E9470D" w:rsidRPr="00F946B7" w:rsidRDefault="00E9470D" w:rsidP="00E9470D">
      <w:pPr>
        <w:spacing w:before="240" w:after="240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Appendix A</w:t>
      </w:r>
      <w:r w:rsidRPr="00F946B7">
        <w:rPr>
          <w:rFonts w:ascii="Times New Roman" w:eastAsia="仿宋" w:hAnsi="Times New Roman" w:cs="Times New Roman"/>
          <w:b/>
          <w:bCs/>
          <w:sz w:val="24"/>
          <w:szCs w:val="24"/>
        </w:rPr>
        <w:t>: Estimation Results of Per Capita Endogenous Consumption</w:t>
      </w:r>
    </w:p>
    <w:p w14:paraId="583AD245" w14:textId="77777777" w:rsidR="00E9470D" w:rsidRPr="008741D8" w:rsidRDefault="00E9470D" w:rsidP="00E9470D">
      <w:pPr>
        <w:spacing w:after="240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741D8">
        <w:rPr>
          <w:rFonts w:ascii="Times New Roman" w:eastAsia="仿宋" w:hAnsi="Times New Roman" w:cs="Times New Roman"/>
          <w:sz w:val="24"/>
          <w:szCs w:val="24"/>
        </w:rPr>
        <w:t>Based on Equation (1</w:t>
      </w:r>
      <w:r>
        <w:rPr>
          <w:rFonts w:ascii="Times New Roman" w:eastAsia="仿宋" w:hAnsi="Times New Roman" w:cs="Times New Roman"/>
          <w:sz w:val="24"/>
          <w:szCs w:val="24"/>
        </w:rPr>
        <w:t>0</w:t>
      </w:r>
      <w:r w:rsidRPr="008741D8">
        <w:rPr>
          <w:rFonts w:ascii="Times New Roman" w:eastAsia="仿宋" w:hAnsi="Times New Roman" w:cs="Times New Roman"/>
          <w:sz w:val="24"/>
          <w:szCs w:val="24"/>
        </w:rPr>
        <w:t xml:space="preserve">), this study obtained relevant data from the </w:t>
      </w:r>
      <w:r w:rsidRPr="008741D8">
        <w:rPr>
          <w:rFonts w:ascii="Times New Roman" w:eastAsia="仿宋" w:hAnsi="Times New Roman" w:cs="Times New Roman"/>
          <w:i/>
          <w:iCs/>
          <w:sz w:val="24"/>
          <w:szCs w:val="24"/>
        </w:rPr>
        <w:t>China Statistical Yearbook</w:t>
      </w:r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to estimate the per capita endogenous consumption of rural and urban residents. The results were compiled and presented in Appendix Table 1.</w:t>
      </w:r>
      <w:r w:rsidRPr="008741D8">
        <w:rPr>
          <w:rFonts w:ascii="Times New Roman" w:hAnsi="Times New Roman" w:cs="Times New Roman"/>
          <w:sz w:val="24"/>
          <w:szCs w:val="24"/>
        </w:rPr>
        <w:t xml:space="preserve"> </w:t>
      </w:r>
      <w:r w:rsidRPr="008741D8">
        <w:rPr>
          <w:rFonts w:ascii="Times New Roman" w:eastAsia="仿宋" w:hAnsi="Times New Roman" w:cs="Times New Roman"/>
          <w:sz w:val="24"/>
          <w:szCs w:val="24"/>
        </w:rPr>
        <w:t xml:space="preserve">Specifically, this study collected data on per capita </w:t>
      </w:r>
      <m:oMath>
        <m:r>
          <w:rPr>
            <w:rFonts w:ascii="Cambria Math" w:eastAsia="仿宋" w:hAnsi="Cambria Math" w:cs="Times New Roman"/>
            <w:sz w:val="24"/>
            <w:szCs w:val="24"/>
          </w:rPr>
          <m:t>V</m:t>
        </m:r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and per capita </w:t>
      </w:r>
      <m:oMath>
        <m:r>
          <w:rPr>
            <w:rFonts w:ascii="Cambria Math" w:eastAsia="仿宋" w:hAnsi="Cambria Math" w:cs="Times New Roman"/>
            <w:sz w:val="24"/>
            <w:szCs w:val="24"/>
          </w:rPr>
          <m:t>C</m:t>
        </m:r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for urban residents at different income levels from 1994 to 2012, as well as for rural residents at different income levels from 2002 to 2012.</w:t>
      </w:r>
      <w:r w:rsidRPr="008741D8">
        <w:rPr>
          <w:rFonts w:ascii="Times New Roman" w:hAnsi="Times New Roman" w:cs="Times New Roman"/>
          <w:sz w:val="24"/>
          <w:szCs w:val="24"/>
        </w:rPr>
        <w:t xml:space="preserve"> </w:t>
      </w:r>
      <w:r w:rsidRPr="008741D8">
        <w:rPr>
          <w:rFonts w:ascii="Times New Roman" w:eastAsia="仿宋" w:hAnsi="Times New Roman" w:cs="Times New Roman"/>
          <w:sz w:val="24"/>
          <w:szCs w:val="24"/>
        </w:rPr>
        <w:t xml:space="preserve">Through regression analysis, the values of </w:t>
      </w:r>
      <m:oMath>
        <m:sSub>
          <m:sSubPr>
            <m:ctrlPr>
              <w:rPr>
                <w:rFonts w:ascii="Cambria Math" w:eastAsia="仿宋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Times New Roman"/>
                <w:sz w:val="24"/>
                <w:szCs w:val="24"/>
              </w:rPr>
              <m:t>0</m:t>
            </m:r>
          </m:sub>
        </m:sSub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for different residents across various years were obtained. Due to changes in statistical methods in 2003 and 2013, there are no official statistics available for per capita </w:t>
      </w:r>
      <m:oMath>
        <m:r>
          <w:rPr>
            <w:rFonts w:ascii="Cambria Math" w:eastAsia="仿宋" w:hAnsi="Cambria Math" w:cs="Times New Roman"/>
            <w:sz w:val="24"/>
            <w:szCs w:val="24"/>
          </w:rPr>
          <m:t>V</m:t>
        </m:r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and per capita </w:t>
      </w:r>
      <m:oMath>
        <m:r>
          <w:rPr>
            <w:rFonts w:ascii="Cambria Math" w:eastAsia="仿宋" w:hAnsi="Cambria Math" w:cs="Times New Roman"/>
            <w:sz w:val="24"/>
            <w:szCs w:val="24"/>
          </w:rPr>
          <m:t>C</m:t>
        </m:r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of rural residents at</w:t>
      </w:r>
      <w:r>
        <w:rPr>
          <w:rFonts w:ascii="Times New Roman" w:eastAsia="仿宋" w:hAnsi="Times New Roman" w:cs="Times New Roman" w:hint="eastAsia"/>
          <w:sz w:val="24"/>
          <w:szCs w:val="24"/>
        </w:rPr>
        <w:t>-</w:t>
      </w:r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different income levels for the periods 2013–2018 and 1994–2001, making regression analysis infeasible.</w:t>
      </w:r>
      <w:r w:rsidRPr="008741D8">
        <w:rPr>
          <w:rFonts w:ascii="Times New Roman" w:hAnsi="Times New Roman" w:cs="Times New Roman"/>
          <w:sz w:val="24"/>
          <w:szCs w:val="24"/>
        </w:rPr>
        <w:t xml:space="preserve"> </w:t>
      </w:r>
      <w:r w:rsidRPr="008741D8">
        <w:rPr>
          <w:rFonts w:ascii="Times New Roman" w:eastAsia="仿宋" w:hAnsi="Times New Roman" w:cs="Times New Roman"/>
          <w:sz w:val="24"/>
          <w:szCs w:val="24"/>
        </w:rPr>
        <w:t xml:space="preserve">To ensure data completeness and scientific rigor, it is assumed that the growth rate of </w:t>
      </w:r>
      <m:oMath>
        <m:sSub>
          <m:sSubPr>
            <m:ctrlPr>
              <w:rPr>
                <w:rFonts w:ascii="Cambria Math" w:eastAsia="仿宋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Times New Roman"/>
                <w:sz w:val="24"/>
                <w:szCs w:val="24"/>
              </w:rPr>
              <m:t>0</m:t>
            </m:r>
          </m:sub>
        </m:sSub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in these years is identical to that of </w:t>
      </w:r>
      <m:oMath>
        <m:r>
          <w:rPr>
            <w:rFonts w:ascii="Cambria Math" w:eastAsia="仿宋" w:hAnsi="Cambria Math" w:cs="Times New Roman"/>
            <w:sz w:val="24"/>
            <w:szCs w:val="24"/>
          </w:rPr>
          <m:t>V</m:t>
        </m:r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. Based on this assumption, the annual per capita </w:t>
      </w:r>
      <m:oMath>
        <m:sSub>
          <m:sSubPr>
            <m:ctrlPr>
              <w:rPr>
                <w:rFonts w:ascii="Cambria Math" w:eastAsia="仿宋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Times New Roman"/>
                <w:sz w:val="24"/>
                <w:szCs w:val="24"/>
              </w:rPr>
              <m:t>0</m:t>
            </m:r>
          </m:sub>
        </m:sSub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for rural and urban residents from 1994 to 2018 was derived.</w:t>
      </w:r>
      <w:r w:rsidRPr="008741D8">
        <w:rPr>
          <w:rFonts w:ascii="Times New Roman" w:hAnsi="Times New Roman" w:cs="Times New Roman"/>
          <w:sz w:val="24"/>
          <w:szCs w:val="24"/>
        </w:rPr>
        <w:t xml:space="preserve"> </w:t>
      </w:r>
      <w:r w:rsidRPr="008741D8">
        <w:rPr>
          <w:rFonts w:ascii="Times New Roman" w:eastAsia="仿宋" w:hAnsi="Times New Roman" w:cs="Times New Roman"/>
          <w:sz w:val="24"/>
          <w:szCs w:val="24"/>
        </w:rPr>
        <w:t xml:space="preserve">By multiplying the annual per capita </w:t>
      </w:r>
      <m:oMath>
        <m:sSub>
          <m:sSubPr>
            <m:ctrlPr>
              <w:rPr>
                <w:rFonts w:ascii="Cambria Math" w:eastAsia="仿宋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Times New Roman"/>
                <w:sz w:val="24"/>
                <w:szCs w:val="24"/>
              </w:rPr>
              <m:t>0</m:t>
            </m:r>
          </m:sub>
        </m:sSub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of rural and urban residents by the corresponding rural and urban population for each year, the total </w:t>
      </w:r>
      <m:oMath>
        <m:sSub>
          <m:sSubPr>
            <m:ctrlPr>
              <w:rPr>
                <w:rFonts w:ascii="Cambria Math" w:eastAsia="仿宋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Times New Roman"/>
                <w:sz w:val="24"/>
                <w:szCs w:val="24"/>
              </w:rPr>
              <m:t>0</m:t>
            </m:r>
          </m:sub>
        </m:sSub>
      </m:oMath>
      <w:r w:rsidRPr="008741D8">
        <w:rPr>
          <w:rFonts w:ascii="Times New Roman" w:eastAsia="仿宋" w:hAnsi="Times New Roman" w:cs="Times New Roman"/>
          <w:sz w:val="24"/>
          <w:szCs w:val="24"/>
        </w:rPr>
        <w:t xml:space="preserve"> of rural and urban residents for each year was obtained.</w:t>
      </w:r>
    </w:p>
    <w:p w14:paraId="63A1938E" w14:textId="77777777" w:rsidR="00E9470D" w:rsidRPr="008741D8" w:rsidRDefault="00E9470D" w:rsidP="00E9470D">
      <w:pPr>
        <w:jc w:val="center"/>
        <w:rPr>
          <w:rFonts w:ascii="Times New Roman" w:eastAsia="黑体" w:hAnsi="Times New Roman" w:cs="Times New Roman"/>
          <w:b/>
          <w:bCs/>
          <w:i/>
          <w:iCs/>
        </w:rPr>
      </w:pPr>
      <w:r w:rsidRPr="008741D8">
        <w:rPr>
          <w:rStyle w:val="ae"/>
          <w:rFonts w:ascii="Times New Roman" w:hAnsi="Times New Roman" w:cs="Times New Roman"/>
          <w:b/>
          <w:bCs/>
          <w:color w:val="000000"/>
        </w:rPr>
        <w:t>Appendix Table A.1: Per Capita Endogenous Consumption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020"/>
        <w:gridCol w:w="1057"/>
        <w:gridCol w:w="1058"/>
        <w:gridCol w:w="1020"/>
        <w:gridCol w:w="1020"/>
        <w:gridCol w:w="1057"/>
        <w:gridCol w:w="1055"/>
      </w:tblGrid>
      <w:tr w:rsidR="00E9470D" w:rsidRPr="00C662F0" w14:paraId="2D391A02" w14:textId="77777777" w:rsidTr="004D1E9A">
        <w:trPr>
          <w:trHeight w:val="320"/>
          <w:jc w:val="center"/>
        </w:trPr>
        <w:tc>
          <w:tcPr>
            <w:tcW w:w="1227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A69D68" w14:textId="77777777" w:rsidR="00E9470D" w:rsidRPr="008B1374" w:rsidRDefault="00E9470D" w:rsidP="004D1E9A">
            <w:pPr>
              <w:rPr>
                <w:rFonts w:ascii="Times New Roman" w:eastAsia="仿宋" w:hAnsi="Times New Roman" w:cs="Times New Roman"/>
                <w:i/>
                <w:iCs/>
              </w:rPr>
            </w:pPr>
            <w:r w:rsidRPr="008B1374">
              <w:rPr>
                <w:rStyle w:val="ae"/>
                <w:rFonts w:ascii="Times New Roman" w:hAnsi="Times New Roman" w:cs="Times New Roman"/>
                <w:color w:val="000000"/>
              </w:rPr>
              <w:t>Rural Residents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F16B0F" w14:textId="77777777" w:rsidR="00E9470D" w:rsidRPr="008B1374" w:rsidRDefault="00E9470D" w:rsidP="004D1E9A">
            <w:pPr>
              <w:rPr>
                <w:rFonts w:ascii="Times New Roman" w:eastAsia="仿宋" w:hAnsi="Times New Roman" w:cs="Times New Roman"/>
                <w:i/>
                <w:iCs/>
              </w:rPr>
            </w:pPr>
            <w:r w:rsidRPr="008B1374">
              <w:rPr>
                <w:rStyle w:val="ae"/>
                <w:rFonts w:ascii="Times New Roman" w:hAnsi="Times New Roman" w:cs="Times New Roman"/>
                <w:color w:val="000000"/>
              </w:rPr>
              <w:t>Urban Residents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4F4D7" w14:textId="77777777" w:rsidR="00E9470D" w:rsidRPr="008B1374" w:rsidRDefault="00E9470D" w:rsidP="004D1E9A">
            <w:pPr>
              <w:rPr>
                <w:rFonts w:ascii="Times New Roman" w:eastAsia="仿宋" w:hAnsi="Times New Roman" w:cs="Times New Roman"/>
                <w:i/>
                <w:iCs/>
                <w:szCs w:val="21"/>
              </w:rPr>
            </w:pPr>
            <w:r w:rsidRPr="008B1374">
              <w:rPr>
                <w:rStyle w:val="ae"/>
                <w:rFonts w:ascii="Times New Roman" w:hAnsi="Times New Roman" w:cs="Times New Roman"/>
                <w:color w:val="000000"/>
                <w:szCs w:val="21"/>
              </w:rPr>
              <w:t>Rural Residents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51C682" w14:textId="77777777" w:rsidR="00E9470D" w:rsidRPr="008B1374" w:rsidRDefault="00E9470D" w:rsidP="004D1E9A">
            <w:pPr>
              <w:rPr>
                <w:rFonts w:ascii="Times New Roman" w:eastAsia="仿宋" w:hAnsi="Times New Roman" w:cs="Times New Roman"/>
                <w:i/>
                <w:iCs/>
              </w:rPr>
            </w:pPr>
            <w:r w:rsidRPr="008B1374">
              <w:rPr>
                <w:rStyle w:val="ae"/>
                <w:rFonts w:ascii="Times New Roman" w:hAnsi="Times New Roman" w:cs="Times New Roman"/>
                <w:color w:val="000000"/>
              </w:rPr>
              <w:t>Urban Residents</w:t>
            </w:r>
          </w:p>
        </w:tc>
      </w:tr>
      <w:tr w:rsidR="00E9470D" w:rsidRPr="00C662F0" w14:paraId="1988CE02" w14:textId="77777777" w:rsidTr="004D1E9A">
        <w:trPr>
          <w:trHeight w:val="320"/>
          <w:jc w:val="center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77BB9" w14:textId="77777777" w:rsidR="00E9470D" w:rsidRPr="00F946B7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946B7">
              <w:rPr>
                <w:rFonts w:ascii="Times New Roman" w:eastAsia="仿宋" w:hAnsi="Times New Roman" w:cs="Times New Roman"/>
              </w:rPr>
              <w:t>Year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42162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C</w:t>
            </w:r>
            <w:r w:rsidRPr="00F45122">
              <w:rPr>
                <w:rFonts w:ascii="Times New Roman" w:eastAsia="仿宋" w:hAnsi="Times New Roman" w:cs="Times New Roman"/>
                <w:vertAlign w:val="subscript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5823D1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Year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2F771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C</w:t>
            </w:r>
            <w:r w:rsidRPr="00F45122">
              <w:rPr>
                <w:rFonts w:ascii="Times New Roman" w:eastAsia="仿宋" w:hAnsi="Times New Roman" w:cs="Times New Roman"/>
                <w:vertAlign w:val="subscript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BA742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Year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C567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C</w:t>
            </w:r>
            <w:r w:rsidRPr="00F45122">
              <w:rPr>
                <w:rFonts w:ascii="Times New Roman" w:eastAsia="仿宋" w:hAnsi="Times New Roman" w:cs="Times New Roman"/>
                <w:vertAlign w:val="subscript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DAB49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Year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80CEC2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C</w:t>
            </w:r>
            <w:r w:rsidRPr="00F45122">
              <w:rPr>
                <w:rFonts w:ascii="Times New Roman" w:eastAsia="仿宋" w:hAnsi="Times New Roman" w:cs="Times New Roman"/>
                <w:vertAlign w:val="subscript"/>
              </w:rPr>
              <w:t>0</w:t>
            </w:r>
          </w:p>
        </w:tc>
      </w:tr>
      <w:tr w:rsidR="00E9470D" w:rsidRPr="00C662F0" w14:paraId="5270E864" w14:textId="77777777" w:rsidTr="004D1E9A">
        <w:trPr>
          <w:trHeight w:val="320"/>
          <w:jc w:val="center"/>
        </w:trPr>
        <w:tc>
          <w:tcPr>
            <w:tcW w:w="614" w:type="pct"/>
            <w:tcBorders>
              <w:top w:val="single" w:sz="4" w:space="0" w:color="auto"/>
              <w:right w:val="nil"/>
            </w:tcBorders>
            <w:noWrap/>
            <w:vAlign w:val="center"/>
            <w:hideMark/>
          </w:tcPr>
          <w:p w14:paraId="3053DAED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1C02726B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5204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24EC2ED1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13CCC765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5031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0A1B6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C9EA4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1023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2C7D0F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</w:tcBorders>
            <w:vAlign w:val="center"/>
          </w:tcPr>
          <w:p w14:paraId="16C659D4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1303</w:t>
            </w:r>
          </w:p>
        </w:tc>
      </w:tr>
      <w:tr w:rsidR="00E9470D" w:rsidRPr="00C662F0" w14:paraId="409CE89C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50901E04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2017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43DC698D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4790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79CA27DA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2017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5B67CA08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4647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37BE8E37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2004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2462B0BE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703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79233DEA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2004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580B327E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1235</w:t>
            </w:r>
          </w:p>
        </w:tc>
      </w:tr>
      <w:tr w:rsidR="00E9470D" w:rsidRPr="00C662F0" w14:paraId="78C8E3C8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5E948488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2016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02AD49C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4425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4CF3E7C7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2016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440F95A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4312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24EC5E9D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2003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1AF6830E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609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7E0E77A4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2003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0C10BA54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777</w:t>
            </w:r>
          </w:p>
        </w:tc>
      </w:tr>
      <w:tr w:rsidR="00E9470D" w:rsidRPr="00C662F0" w14:paraId="12AABACF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4DD7637F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2015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5B10D215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4064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2F584C64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2015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69776D38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3987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25A5F5D5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2002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6AD4A2D9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565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7A78610E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2002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77304A99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973</w:t>
            </w:r>
          </w:p>
        </w:tc>
      </w:tr>
      <w:tr w:rsidR="00E9470D" w:rsidRPr="00C662F0" w14:paraId="64A96526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3ACD47FA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2014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704F252C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3653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275203A5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2014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106291C2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3658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307E778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2001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7EBC246C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509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12CE2DC9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2001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0ABF36E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1207</w:t>
            </w:r>
          </w:p>
        </w:tc>
      </w:tr>
      <w:tr w:rsidR="00E9470D" w:rsidRPr="00C662F0" w14:paraId="5309F304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519A55F8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2013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28E0EBE7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3067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57C6CA78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2013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0052375D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3395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6D228F1F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2000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61D99C2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446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7447C6F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2000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00A8492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959</w:t>
            </w:r>
          </w:p>
        </w:tc>
      </w:tr>
      <w:tr w:rsidR="00E9470D" w:rsidRPr="00C662F0" w14:paraId="153EBC4F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3FBCC89B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2012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4868B3AE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2703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73C1FE1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2012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743D971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3014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79D9316D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1999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1C4A231A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391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633163B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1999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78CAC04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988</w:t>
            </w:r>
          </w:p>
        </w:tc>
      </w:tr>
      <w:tr w:rsidR="00E9470D" w:rsidRPr="00C662F0" w14:paraId="63CA3638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22CAE0D1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2011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5C1F7BA7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2378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3ED7ABAE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2011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72E20F45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2818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6570BAD5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1998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30BC6575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342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468CF872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1998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2923F712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927</w:t>
            </w:r>
          </w:p>
        </w:tc>
      </w:tr>
      <w:tr w:rsidR="00E9470D" w:rsidRPr="00C662F0" w14:paraId="2191DE2C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5F8EE38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2010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07BB7C1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1566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3E93AA1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2010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41EFF464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2216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2D7F6C3B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1997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0C67ED5A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299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0A0947FA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1997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211AF0BA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836</w:t>
            </w:r>
          </w:p>
        </w:tc>
      </w:tr>
      <w:tr w:rsidR="00E9470D" w:rsidRPr="00C662F0" w14:paraId="6CE7D8B1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7405063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2009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7FCC49B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1450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5B34D44F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2009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14C1CB05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2117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69963D01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1996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43AF466D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262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362D8F2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1996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0CD89C1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938</w:t>
            </w:r>
          </w:p>
        </w:tc>
      </w:tr>
      <w:tr w:rsidR="00E9470D" w:rsidRPr="00C662F0" w14:paraId="7D2BFD3B" w14:textId="77777777" w:rsidTr="004D1E9A">
        <w:trPr>
          <w:trHeight w:val="320"/>
          <w:jc w:val="center"/>
        </w:trPr>
        <w:tc>
          <w:tcPr>
            <w:tcW w:w="614" w:type="pct"/>
            <w:tcBorders>
              <w:right w:val="nil"/>
            </w:tcBorders>
            <w:noWrap/>
            <w:vAlign w:val="center"/>
            <w:hideMark/>
          </w:tcPr>
          <w:p w14:paraId="1570F81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2008</w:t>
            </w:r>
          </w:p>
        </w:tc>
        <w:tc>
          <w:tcPr>
            <w:tcW w:w="614" w:type="pct"/>
            <w:tcBorders>
              <w:left w:val="nil"/>
              <w:right w:val="nil"/>
            </w:tcBorders>
            <w:noWrap/>
            <w:vAlign w:val="center"/>
            <w:hideMark/>
          </w:tcPr>
          <w:p w14:paraId="29E937BC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1293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730BEA6E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2008</w:t>
            </w:r>
          </w:p>
        </w:tc>
        <w:tc>
          <w:tcPr>
            <w:tcW w:w="63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2B2D7493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1975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09DDF39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1995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22D58BB8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229</w:t>
            </w:r>
          </w:p>
        </w:tc>
        <w:tc>
          <w:tcPr>
            <w:tcW w:w="636" w:type="pct"/>
            <w:tcBorders>
              <w:left w:val="nil"/>
              <w:right w:val="nil"/>
            </w:tcBorders>
            <w:vAlign w:val="center"/>
          </w:tcPr>
          <w:p w14:paraId="755DD25B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1995</w:t>
            </w:r>
          </w:p>
        </w:tc>
        <w:tc>
          <w:tcPr>
            <w:tcW w:w="636" w:type="pct"/>
            <w:tcBorders>
              <w:left w:val="nil"/>
            </w:tcBorders>
            <w:vAlign w:val="center"/>
          </w:tcPr>
          <w:p w14:paraId="2B5BD5F6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742</w:t>
            </w:r>
          </w:p>
        </w:tc>
      </w:tr>
      <w:tr w:rsidR="00E9470D" w:rsidRPr="00C662F0" w14:paraId="23147BA4" w14:textId="77777777" w:rsidTr="004D1E9A">
        <w:trPr>
          <w:trHeight w:val="320"/>
          <w:jc w:val="center"/>
        </w:trPr>
        <w:tc>
          <w:tcPr>
            <w:tcW w:w="614" w:type="pct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9EA97C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2007</w:t>
            </w:r>
          </w:p>
        </w:tc>
        <w:tc>
          <w:tcPr>
            <w:tcW w:w="614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D8C70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1133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571362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2007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F5BE9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1731</w:t>
            </w:r>
          </w:p>
        </w:tc>
        <w:tc>
          <w:tcPr>
            <w:tcW w:w="6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5D428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1994</w:t>
            </w:r>
          </w:p>
        </w:tc>
        <w:tc>
          <w:tcPr>
            <w:tcW w:w="6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68EC8F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201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47DE40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1994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</w:tcBorders>
            <w:vAlign w:val="center"/>
          </w:tcPr>
          <w:p w14:paraId="64260ED9" w14:textId="77777777" w:rsidR="00E9470D" w:rsidRPr="00F45122" w:rsidRDefault="00E9470D" w:rsidP="004D1E9A">
            <w:pPr>
              <w:rPr>
                <w:rFonts w:ascii="Times New Roman" w:eastAsia="仿宋" w:hAnsi="Times New Roman" w:cs="Times New Roman"/>
              </w:rPr>
            </w:pPr>
            <w:r w:rsidRPr="00F45122">
              <w:rPr>
                <w:rFonts w:ascii="Times New Roman" w:eastAsia="仿宋" w:hAnsi="Times New Roman" w:cs="Times New Roman"/>
              </w:rPr>
              <w:t>691</w:t>
            </w:r>
          </w:p>
        </w:tc>
      </w:tr>
    </w:tbl>
    <w:p w14:paraId="7C3FDE52" w14:textId="77777777" w:rsidR="00E9470D" w:rsidRDefault="00E9470D"/>
    <w:p w14:paraId="17EFE487" w14:textId="77777777" w:rsidR="005C7BEA" w:rsidRDefault="005C7BEA"/>
    <w:p w14:paraId="5D864990" w14:textId="250B03D3" w:rsidR="005C7BEA" w:rsidRPr="005C7BEA" w:rsidRDefault="00F56535">
      <w:pPr>
        <w:rPr>
          <w:rFonts w:ascii="Times New Roman" w:eastAsia="仿宋" w:hAnsi="Times New Roman" w:cs="Times New Roman" w:hint="eastAsia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Note</w:t>
      </w:r>
      <w:r w:rsidR="005C7BEA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Pr="00F56535">
        <w:rPr>
          <w:rFonts w:ascii="Times New Roman" w:eastAsia="仿宋" w:hAnsi="Times New Roman" w:cs="Times New Roman"/>
          <w:sz w:val="24"/>
          <w:szCs w:val="24"/>
        </w:rPr>
        <w:t>The material provides a detailed presentation of the calculated results for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仿宋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仿宋" w:hAnsi="Cambria Math" w:cs="Times New Roman" w:hint="eastAsia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仿宋" w:hAnsi="Cambria Math" w:cs="Times New Roman"/>
                <w:sz w:val="24"/>
                <w:szCs w:val="24"/>
              </w:rPr>
              <m:t>0</m:t>
            </m:r>
          </m:sub>
        </m:sSub>
      </m:oMath>
      <w:r w:rsidRPr="00F56535">
        <w:t xml:space="preserve"> </w:t>
      </w:r>
      <w:r w:rsidRPr="00F56535">
        <w:rPr>
          <w:rFonts w:ascii="Times New Roman" w:eastAsia="仿宋" w:hAnsi="Times New Roman" w:cs="Times New Roman"/>
          <w:sz w:val="24"/>
          <w:szCs w:val="24"/>
        </w:rPr>
        <w:t>in Equation (10)</w:t>
      </w:r>
      <w:r>
        <w:rPr>
          <w:rFonts w:ascii="Times New Roman" w:eastAsia="仿宋" w:hAnsi="Times New Roman" w:cs="Times New Roman" w:hint="eastAsia"/>
          <w:sz w:val="24"/>
          <w:szCs w:val="24"/>
        </w:rPr>
        <w:t>.</w:t>
      </w:r>
    </w:p>
    <w:sectPr w:rsidR="005C7BEA" w:rsidRPr="005C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0D"/>
    <w:rsid w:val="005C7BEA"/>
    <w:rsid w:val="00D502A1"/>
    <w:rsid w:val="00E9470D"/>
    <w:rsid w:val="00F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423F"/>
  <w15:chartTrackingRefBased/>
  <w15:docId w15:val="{CC6FD1B4-100F-493B-B2B5-8F19C6C1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0D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9470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0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70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70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70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70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0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70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70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7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70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70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E9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70D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E9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E9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70D"/>
    <w:rPr>
      <w:b/>
      <w:bCs/>
      <w:smallCaps/>
      <w:color w:val="2F5496" w:themeColor="accent1" w:themeShade="BF"/>
      <w:spacing w:val="5"/>
    </w:rPr>
  </w:style>
  <w:style w:type="character" w:styleId="ae">
    <w:name w:val="Emphasis"/>
    <w:basedOn w:val="a0"/>
    <w:uiPriority w:val="20"/>
    <w:qFormat/>
    <w:rsid w:val="00E9470D"/>
    <w:rPr>
      <w:i/>
      <w:iCs/>
    </w:rPr>
  </w:style>
  <w:style w:type="character" w:styleId="af">
    <w:name w:val="Placeholder Text"/>
    <w:basedOn w:val="a0"/>
    <w:uiPriority w:val="99"/>
    <w:semiHidden/>
    <w:rsid w:val="00F565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Hongqi Chen</dc:creator>
  <cp:keywords/>
  <dc:description/>
  <cp:lastModifiedBy>Hongqi Chen</cp:lastModifiedBy>
  <cp:revision>2</cp:revision>
  <dcterms:created xsi:type="dcterms:W3CDTF">2025-09-08T13:19:00Z</dcterms:created>
  <dcterms:modified xsi:type="dcterms:W3CDTF">2025-09-08T13:34:00Z</dcterms:modified>
</cp:coreProperties>
</file>