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1AED1" w14:textId="10DE1610" w:rsidR="00DE23E8" w:rsidRDefault="00654E8F" w:rsidP="00481E5A">
      <w:pPr>
        <w:pStyle w:val="SupplementaryMaterial"/>
      </w:pPr>
      <w:r w:rsidRPr="001549D3">
        <w:t xml:space="preserve">Supplementary </w:t>
      </w:r>
      <w:r w:rsidR="00481E5A">
        <w:t>figure</w:t>
      </w:r>
    </w:p>
    <w:p w14:paraId="57D54481" w14:textId="77777777" w:rsidR="00481E5A" w:rsidRDefault="00481E5A" w:rsidP="00481E5A">
      <w:pPr>
        <w:pStyle w:val="NormalWeb"/>
      </w:pPr>
      <w:r>
        <w:rPr>
          <w:noProof/>
        </w:rPr>
        <w:drawing>
          <wp:inline distT="0" distB="0" distL="0" distR="0" wp14:anchorId="7CFC9557" wp14:editId="00FA189B">
            <wp:extent cx="5452110" cy="4325567"/>
            <wp:effectExtent l="0" t="0" r="0" b="0"/>
            <wp:docPr id="1989379954" name="Imagen 198937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34" cy="43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0013" w14:textId="77777777" w:rsidR="00481E5A" w:rsidRPr="00742700" w:rsidRDefault="00481E5A" w:rsidP="00481E5A">
      <w:pPr>
        <w:pStyle w:val="NormalWeb"/>
      </w:pPr>
      <w:r>
        <w:rPr>
          <w:noProof/>
        </w:rPr>
        <w:lastRenderedPageBreak/>
        <w:drawing>
          <wp:inline distT="0" distB="0" distL="0" distR="0" wp14:anchorId="158E984D" wp14:editId="1A7578F9">
            <wp:extent cx="5481731" cy="4530654"/>
            <wp:effectExtent l="0" t="0" r="5080" b="381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22" cy="456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B25D" w14:textId="77777777" w:rsidR="00481E5A" w:rsidRPr="00481E5A" w:rsidRDefault="00481E5A" w:rsidP="00481E5A">
      <w:pPr>
        <w:jc w:val="both"/>
        <w:rPr>
          <w:szCs w:val="24"/>
        </w:rPr>
      </w:pPr>
      <w:r w:rsidRPr="00481E5A">
        <w:rPr>
          <w:b/>
          <w:szCs w:val="24"/>
        </w:rPr>
        <w:t xml:space="preserve">Figure S1. </w:t>
      </w:r>
      <w:r w:rsidRPr="00481E5A">
        <w:rPr>
          <w:szCs w:val="24"/>
        </w:rPr>
        <w:t xml:space="preserve">Meteorological data registered in January 2022. </w:t>
      </w:r>
      <w:r w:rsidRPr="00481E5A">
        <w:rPr>
          <w:b/>
          <w:bCs/>
          <w:szCs w:val="24"/>
        </w:rPr>
        <w:t>(A)</w:t>
      </w:r>
      <w:r w:rsidRPr="00481E5A">
        <w:rPr>
          <w:szCs w:val="24"/>
        </w:rPr>
        <w:t xml:space="preserve"> The solar radiation data was collected from the weather station at Universidad Arturo Prat. The temperature </w:t>
      </w:r>
      <w:r w:rsidRPr="00481E5A">
        <w:rPr>
          <w:b/>
          <w:bCs/>
          <w:szCs w:val="24"/>
        </w:rPr>
        <w:t>(A)</w:t>
      </w:r>
      <w:r w:rsidRPr="00481E5A">
        <w:rPr>
          <w:szCs w:val="24"/>
        </w:rPr>
        <w:t xml:space="preserve"> and humidity </w:t>
      </w:r>
      <w:r w:rsidRPr="00481E5A">
        <w:rPr>
          <w:b/>
          <w:bCs/>
          <w:szCs w:val="24"/>
        </w:rPr>
        <w:t>(B)</w:t>
      </w:r>
      <w:r w:rsidRPr="00481E5A">
        <w:rPr>
          <w:szCs w:val="24"/>
        </w:rPr>
        <w:t xml:space="preserve"> were monitored inside the greenhouses using the digital thermo-hygrometer RC-4HC.</w:t>
      </w:r>
    </w:p>
    <w:p w14:paraId="4A57B588" w14:textId="77777777" w:rsidR="00481E5A" w:rsidRDefault="00481E5A" w:rsidP="00481E5A">
      <w:pPr>
        <w:pStyle w:val="Ttulo"/>
        <w:jc w:val="left"/>
        <w:rPr>
          <w:b w:val="0"/>
          <w:bCs/>
          <w:sz w:val="24"/>
          <w:szCs w:val="24"/>
        </w:rPr>
      </w:pPr>
    </w:p>
    <w:p w14:paraId="5E9BF46B" w14:textId="77777777" w:rsidR="00137D84" w:rsidRDefault="00137D84" w:rsidP="00137D84"/>
    <w:p w14:paraId="38132B68" w14:textId="77777777" w:rsidR="00137D84" w:rsidRDefault="00137D84" w:rsidP="00137D84"/>
    <w:p w14:paraId="702BF684" w14:textId="77777777" w:rsidR="00137D84" w:rsidRDefault="00137D84" w:rsidP="00137D84"/>
    <w:p w14:paraId="6443A47C" w14:textId="77777777" w:rsidR="00137D84" w:rsidRDefault="00137D84" w:rsidP="00137D84"/>
    <w:p w14:paraId="26FD9A8B" w14:textId="77777777" w:rsidR="00137D84" w:rsidRDefault="00137D84" w:rsidP="00137D84"/>
    <w:p w14:paraId="2E81F3E6" w14:textId="77777777" w:rsidR="00137D84" w:rsidRDefault="00137D84" w:rsidP="00137D84"/>
    <w:p w14:paraId="3EBEFA88" w14:textId="77777777" w:rsidR="00137D84" w:rsidRDefault="00137D84" w:rsidP="00137D84"/>
    <w:p w14:paraId="08F7D02E" w14:textId="77777777" w:rsidR="007A7DF8" w:rsidRDefault="007A7DF8" w:rsidP="00137D84"/>
    <w:p w14:paraId="0885AF61" w14:textId="470805B5" w:rsidR="007A7DF8" w:rsidRDefault="00734888" w:rsidP="00137D84">
      <w:r>
        <w:rPr>
          <w:noProof/>
        </w:rPr>
        <w:lastRenderedPageBreak/>
        <w:drawing>
          <wp:inline distT="0" distB="0" distL="0" distR="0" wp14:anchorId="755D657D" wp14:editId="285686A3">
            <wp:extent cx="6835775" cy="3153675"/>
            <wp:effectExtent l="0" t="0" r="3175" b="8890"/>
            <wp:docPr id="13410470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11" cy="317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F2DD8" w14:textId="7C6806A0" w:rsidR="007A7DF8" w:rsidRPr="00807E29" w:rsidRDefault="00A02809" w:rsidP="006F0972">
      <w:pPr>
        <w:jc w:val="both"/>
        <w:rPr>
          <w:sz w:val="22"/>
        </w:rPr>
      </w:pPr>
      <w:r w:rsidRPr="00A02809">
        <w:rPr>
          <w:b/>
          <w:bCs/>
          <w:sz w:val="22"/>
        </w:rPr>
        <w:t>A:</w:t>
      </w:r>
      <w:r>
        <w:rPr>
          <w:sz w:val="22"/>
        </w:rPr>
        <w:t xml:space="preserve"> </w:t>
      </w:r>
      <w:r w:rsidR="006F0972" w:rsidRPr="00807E29">
        <w:rPr>
          <w:sz w:val="22"/>
        </w:rPr>
        <w:t>Description</w:t>
      </w:r>
      <w:r w:rsidR="00BD01BD" w:rsidRPr="00807E29">
        <w:rPr>
          <w:sz w:val="22"/>
        </w:rPr>
        <w:t xml:space="preserve"> </w:t>
      </w:r>
      <w:r w:rsidR="006F0972" w:rsidRPr="00807E29">
        <w:rPr>
          <w:sz w:val="22"/>
        </w:rPr>
        <w:t>[</w:t>
      </w:r>
      <w:r w:rsidR="00BD01BD" w:rsidRPr="00807E29">
        <w:rPr>
          <w:sz w:val="22"/>
        </w:rPr>
        <w:t>retention time</w:t>
      </w:r>
      <w:r w:rsidR="006F0972" w:rsidRPr="00807E29">
        <w:rPr>
          <w:sz w:val="22"/>
        </w:rPr>
        <w:t xml:space="preserve"> (</w:t>
      </w:r>
      <w:r w:rsidR="00BD01BD" w:rsidRPr="00807E29">
        <w:rPr>
          <w:sz w:val="22"/>
        </w:rPr>
        <w:t>compound)</w:t>
      </w:r>
      <w:r w:rsidR="006F0972" w:rsidRPr="00807E29">
        <w:rPr>
          <w:sz w:val="22"/>
        </w:rPr>
        <w:t>]</w:t>
      </w:r>
      <w:r w:rsidR="00BD01BD" w:rsidRPr="00807E29">
        <w:rPr>
          <w:sz w:val="22"/>
        </w:rPr>
        <w:t>: 3.452 (3-Hexanone); 3.521 (2-Hexanone); 4.129 (2,3,3-trimethyl</w:t>
      </w:r>
      <w:r w:rsidR="006F0972" w:rsidRPr="00807E29">
        <w:rPr>
          <w:sz w:val="22"/>
        </w:rPr>
        <w:t>hexane); 4.486 (2,4-dimethyl-1-heptene); 8.088 (D-limonene); 10.900 (tridecane); 12.134 (1-(4-ethylphenyl)-</w:t>
      </w:r>
      <w:proofErr w:type="spellStart"/>
      <w:r w:rsidR="006F0972" w:rsidRPr="00807E29">
        <w:rPr>
          <w:sz w:val="22"/>
        </w:rPr>
        <w:t>ethanone</w:t>
      </w:r>
      <w:proofErr w:type="spellEnd"/>
      <w:r w:rsidR="006F0972" w:rsidRPr="00807E29">
        <w:rPr>
          <w:sz w:val="22"/>
        </w:rPr>
        <w:t xml:space="preserve">); 12.371 (Pentadecane); 13.742 (Tetradecane); 19.766 (2,2,4-trimethyldecane); 23.360 (2,2-dimethyleicosane. </w:t>
      </w:r>
    </w:p>
    <w:p w14:paraId="66E7C9AD" w14:textId="09BE4F0F" w:rsidR="007A7DF8" w:rsidRDefault="00734888" w:rsidP="00137D84">
      <w:r>
        <w:rPr>
          <w:noProof/>
        </w:rPr>
        <w:drawing>
          <wp:inline distT="0" distB="0" distL="0" distR="0" wp14:anchorId="65B0DE4F" wp14:editId="1545778E">
            <wp:extent cx="6843395" cy="3157191"/>
            <wp:effectExtent l="0" t="0" r="0" b="5715"/>
            <wp:docPr id="205071593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41" cy="316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11AA2" w14:textId="392DC243" w:rsidR="007A7DF8" w:rsidRPr="008A0BE1" w:rsidRDefault="00A02809" w:rsidP="008A0BE1">
      <w:pPr>
        <w:jc w:val="both"/>
        <w:rPr>
          <w:sz w:val="22"/>
        </w:rPr>
      </w:pPr>
      <w:r w:rsidRPr="00A02809">
        <w:rPr>
          <w:b/>
          <w:bCs/>
          <w:sz w:val="22"/>
        </w:rPr>
        <w:t>B:</w:t>
      </w:r>
      <w:r>
        <w:rPr>
          <w:sz w:val="22"/>
        </w:rPr>
        <w:t xml:space="preserve"> </w:t>
      </w:r>
      <w:r w:rsidR="006F0972" w:rsidRPr="00807E29">
        <w:rPr>
          <w:sz w:val="22"/>
        </w:rPr>
        <w:t>Description [retention time (compound)]: 3.458 (3-hexanone); 3.528 (2-hexanone); 4.133 (2,3,3-trimethylhexane); 4.490 (2,4-dimethyl-1-heptene); 6.308 (</w:t>
      </w:r>
      <w:r w:rsidR="006F0972" w:rsidRPr="00807E29">
        <w:rPr>
          <w:rFonts w:cs="Times New Roman"/>
          <w:sz w:val="22"/>
        </w:rPr>
        <w:t>α</w:t>
      </w:r>
      <w:r w:rsidR="006F0972" w:rsidRPr="00807E29">
        <w:rPr>
          <w:sz w:val="22"/>
        </w:rPr>
        <w:t>-thujene); 7.150 (</w:t>
      </w:r>
      <w:r w:rsidR="006F0972" w:rsidRPr="00807E29">
        <w:rPr>
          <w:rFonts w:cs="Times New Roman"/>
          <w:sz w:val="22"/>
        </w:rPr>
        <w:t>β</w:t>
      </w:r>
      <w:r w:rsidR="006F0972" w:rsidRPr="00807E29">
        <w:rPr>
          <w:sz w:val="22"/>
        </w:rPr>
        <w:t xml:space="preserve">-pinene); </w:t>
      </w:r>
      <w:r w:rsidR="00834806" w:rsidRPr="00807E29">
        <w:rPr>
          <w:sz w:val="22"/>
        </w:rPr>
        <w:t>7.558 (6-ethyl-2-methyldecane); 7.605 (3-hexenyl acetate); 8.039 (D-limonene); 10.794 (methyl salicylate); 10.901 (tridecane); 12.134 (1-(4ethylphenyl)-</w:t>
      </w:r>
      <w:proofErr w:type="spellStart"/>
      <w:r w:rsidR="00834806" w:rsidRPr="00807E29">
        <w:rPr>
          <w:sz w:val="22"/>
        </w:rPr>
        <w:t>ethanone</w:t>
      </w:r>
      <w:proofErr w:type="spellEnd"/>
      <w:r w:rsidR="00834806" w:rsidRPr="00807E29">
        <w:rPr>
          <w:sz w:val="22"/>
        </w:rPr>
        <w:t>);  12.372 (tetradecane); 13.742 (</w:t>
      </w:r>
      <w:bookmarkStart w:id="0" w:name="_Hlk203940520"/>
      <w:r w:rsidR="00834806" w:rsidRPr="00807E29">
        <w:rPr>
          <w:sz w:val="22"/>
        </w:rPr>
        <w:t>1,2,3,6-tetramethylbicyclo[2.2.2]octa-2,5-diene</w:t>
      </w:r>
      <w:bookmarkEnd w:id="0"/>
      <w:r w:rsidR="00834806" w:rsidRPr="00807E29">
        <w:rPr>
          <w:sz w:val="22"/>
        </w:rPr>
        <w:t>); 14.126 (</w:t>
      </w:r>
      <w:r w:rsidR="00834806" w:rsidRPr="00807E29">
        <w:rPr>
          <w:rFonts w:cs="Times New Roman"/>
          <w:sz w:val="22"/>
        </w:rPr>
        <w:t>α</w:t>
      </w:r>
      <w:r w:rsidR="00834806" w:rsidRPr="00807E29">
        <w:rPr>
          <w:sz w:val="22"/>
        </w:rPr>
        <w:t>-</w:t>
      </w:r>
      <w:proofErr w:type="spellStart"/>
      <w:r w:rsidR="00834806" w:rsidRPr="00807E29">
        <w:rPr>
          <w:sz w:val="22"/>
        </w:rPr>
        <w:t>farnesene</w:t>
      </w:r>
      <w:proofErr w:type="spellEnd"/>
      <w:r w:rsidR="00834806" w:rsidRPr="00807E29">
        <w:rPr>
          <w:sz w:val="22"/>
        </w:rPr>
        <w:t>)</w:t>
      </w:r>
      <w:r w:rsidR="00807E29" w:rsidRPr="00807E29">
        <w:rPr>
          <w:sz w:val="22"/>
        </w:rPr>
        <w:t xml:space="preserve">; 15.085 (hexadecane); 16.246 (pentadecane); 18.181 (2,2-dimethyleicosane). </w:t>
      </w:r>
    </w:p>
    <w:p w14:paraId="11C70AD8" w14:textId="606C4E9E" w:rsidR="007A7DF8" w:rsidRDefault="00583A92" w:rsidP="00137D84">
      <w:r>
        <w:rPr>
          <w:noProof/>
        </w:rPr>
        <w:lastRenderedPageBreak/>
        <w:drawing>
          <wp:inline distT="0" distB="0" distL="0" distR="0" wp14:anchorId="0E3E72E7" wp14:editId="06495B91">
            <wp:extent cx="6872605" cy="3144440"/>
            <wp:effectExtent l="0" t="0" r="4445" b="0"/>
            <wp:docPr id="139380073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245" cy="315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D60FD" w14:textId="10C7DDC5" w:rsidR="007A7DF8" w:rsidRPr="00F02C39" w:rsidRDefault="00A02809" w:rsidP="00F02C39">
      <w:pPr>
        <w:jc w:val="both"/>
        <w:rPr>
          <w:sz w:val="22"/>
        </w:rPr>
      </w:pPr>
      <w:r w:rsidRPr="00A02809">
        <w:rPr>
          <w:b/>
          <w:bCs/>
          <w:sz w:val="22"/>
        </w:rPr>
        <w:t>C:</w:t>
      </w:r>
      <w:r>
        <w:rPr>
          <w:sz w:val="22"/>
        </w:rPr>
        <w:t xml:space="preserve"> </w:t>
      </w:r>
      <w:r w:rsidR="008A0BE1" w:rsidRPr="00F02C39">
        <w:rPr>
          <w:sz w:val="22"/>
        </w:rPr>
        <w:t xml:space="preserve">Description [retention time (compound)]: 3.435 (3-hexanone); 3.660 (3-hexanol); 7.555 (6-ethyl-2-methyldecane); 8.088 (D-limonene); </w:t>
      </w:r>
      <w:r w:rsidR="00C9174F" w:rsidRPr="00F02C39">
        <w:rPr>
          <w:sz w:val="22"/>
        </w:rPr>
        <w:t>10.318 (3-ethylbenzaldehyde); 10.593 (4-ethylbenzaldehyde)</w:t>
      </w:r>
      <w:r w:rsidR="00F02C39" w:rsidRPr="00F02C39">
        <w:rPr>
          <w:sz w:val="22"/>
        </w:rPr>
        <w:t>; 10.903 (tridecane); 12.137 (1-(4-ethylphenyl)-</w:t>
      </w:r>
      <w:proofErr w:type="spellStart"/>
      <w:r w:rsidR="00F02C39" w:rsidRPr="00F02C39">
        <w:rPr>
          <w:sz w:val="22"/>
        </w:rPr>
        <w:t>ethanone</w:t>
      </w:r>
      <w:proofErr w:type="spellEnd"/>
      <w:r w:rsidR="00F02C39" w:rsidRPr="00F02C39">
        <w:rPr>
          <w:sz w:val="22"/>
        </w:rPr>
        <w:t>); 12.373 (pentadecane); 13.743 (tetradecane); 19.768 (2,2,4-trimethyldecane); 21.761 (2,2-dimethyleicosane).</w:t>
      </w:r>
    </w:p>
    <w:p w14:paraId="1EEC286F" w14:textId="5A716963" w:rsidR="007A7DF8" w:rsidRDefault="00583A92" w:rsidP="00137D84">
      <w:r>
        <w:rPr>
          <w:noProof/>
        </w:rPr>
        <w:drawing>
          <wp:inline distT="0" distB="0" distL="0" distR="0" wp14:anchorId="11C0FB0C" wp14:editId="19E3C5F4">
            <wp:extent cx="6781800" cy="3121586"/>
            <wp:effectExtent l="0" t="0" r="0" b="3175"/>
            <wp:docPr id="165401172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91" cy="313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8B4B6" w14:textId="2B4F12FA" w:rsidR="007A7DF8" w:rsidRPr="00893AA0" w:rsidRDefault="00A02809" w:rsidP="00893AA0">
      <w:pPr>
        <w:jc w:val="both"/>
        <w:rPr>
          <w:sz w:val="22"/>
        </w:rPr>
      </w:pPr>
      <w:r w:rsidRPr="00893AA0">
        <w:rPr>
          <w:b/>
          <w:bCs/>
          <w:sz w:val="22"/>
        </w:rPr>
        <w:t>D:</w:t>
      </w:r>
      <w:r w:rsidRPr="00893AA0">
        <w:rPr>
          <w:sz w:val="22"/>
        </w:rPr>
        <w:t xml:space="preserve"> </w:t>
      </w:r>
      <w:r w:rsidR="00F95426" w:rsidRPr="00893AA0">
        <w:rPr>
          <w:sz w:val="22"/>
        </w:rPr>
        <w:t xml:space="preserve">Description [retention time (compound)]: </w:t>
      </w:r>
      <w:r w:rsidRPr="00893AA0">
        <w:rPr>
          <w:sz w:val="22"/>
        </w:rPr>
        <w:t>3.446 (3-hexanone); 3.516 (2-hexanone); 4.125 (2,3,3-trimethylhexane); 7.051 (</w:t>
      </w:r>
      <w:r w:rsidRPr="00893AA0">
        <w:rPr>
          <w:rFonts w:cs="Times New Roman"/>
          <w:sz w:val="22"/>
        </w:rPr>
        <w:t>β</w:t>
      </w:r>
      <w:r w:rsidRPr="00893AA0">
        <w:rPr>
          <w:sz w:val="22"/>
        </w:rPr>
        <w:t>-pinene); 7.146 (6-ethyl-2-methyldecane); 7.554 (3-hexenyl acetate); 7.602 (</w:t>
      </w:r>
      <w:r w:rsidRPr="00893AA0">
        <w:rPr>
          <w:rFonts w:cs="Times New Roman"/>
          <w:sz w:val="22"/>
        </w:rPr>
        <w:t>β</w:t>
      </w:r>
      <w:r w:rsidRPr="00893AA0">
        <w:rPr>
          <w:sz w:val="22"/>
        </w:rPr>
        <w:t xml:space="preserve">-ocimene); 8.036 (D-limonene); 9.031 (linalool); 10.591 (4-ethylbenzaldehyde); </w:t>
      </w:r>
      <w:r w:rsidR="00893AA0" w:rsidRPr="00893AA0">
        <w:rPr>
          <w:sz w:val="22"/>
        </w:rPr>
        <w:t>10.793 (methyl salicylate); 10.900 (tridecane); 12.136 (1-(4-ethylphenyl)-</w:t>
      </w:r>
      <w:proofErr w:type="spellStart"/>
      <w:r w:rsidR="00893AA0" w:rsidRPr="00893AA0">
        <w:rPr>
          <w:sz w:val="22"/>
        </w:rPr>
        <w:t>ethanone</w:t>
      </w:r>
      <w:proofErr w:type="spellEnd"/>
      <w:r w:rsidR="00893AA0" w:rsidRPr="00893AA0">
        <w:rPr>
          <w:sz w:val="22"/>
        </w:rPr>
        <w:t>); 12.371 (tetradecane); 13.742 (1,2,3,6-tetramethylbicyclo[2.2.2]octa-2,5-diene); 14.128 (</w:t>
      </w:r>
      <w:r w:rsidR="00893AA0" w:rsidRPr="00893AA0">
        <w:rPr>
          <w:rFonts w:cs="Times New Roman"/>
          <w:sz w:val="22"/>
        </w:rPr>
        <w:t>α</w:t>
      </w:r>
      <w:r w:rsidR="00893AA0" w:rsidRPr="00893AA0">
        <w:rPr>
          <w:sz w:val="22"/>
        </w:rPr>
        <w:t>-</w:t>
      </w:r>
      <w:proofErr w:type="spellStart"/>
      <w:r w:rsidR="00893AA0" w:rsidRPr="00893AA0">
        <w:rPr>
          <w:sz w:val="22"/>
        </w:rPr>
        <w:t>farnesene</w:t>
      </w:r>
      <w:proofErr w:type="spellEnd"/>
      <w:r w:rsidR="00893AA0" w:rsidRPr="00893AA0">
        <w:rPr>
          <w:sz w:val="22"/>
        </w:rPr>
        <w:t>); 15.084 (hexadecane); 16.246 (pentadecane); 23.360 (2,2-dimethyleicosane)</w:t>
      </w:r>
      <w:r w:rsidR="00893AA0">
        <w:rPr>
          <w:sz w:val="22"/>
        </w:rPr>
        <w:t>.</w:t>
      </w:r>
    </w:p>
    <w:p w14:paraId="7054FA35" w14:textId="4A258A70" w:rsidR="00583A92" w:rsidRDefault="00270910" w:rsidP="00137D84">
      <w:r>
        <w:rPr>
          <w:noProof/>
        </w:rPr>
        <w:lastRenderedPageBreak/>
        <w:drawing>
          <wp:inline distT="0" distB="0" distL="0" distR="0" wp14:anchorId="4A05A218" wp14:editId="104AFFDF">
            <wp:extent cx="6838950" cy="3126193"/>
            <wp:effectExtent l="0" t="0" r="0" b="0"/>
            <wp:docPr id="188006700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310" cy="3142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99D8F" w14:textId="11D0A3C8" w:rsidR="009576C9" w:rsidRPr="00893AA0" w:rsidRDefault="00893AA0" w:rsidP="00893AA0">
      <w:pPr>
        <w:jc w:val="both"/>
        <w:rPr>
          <w:sz w:val="22"/>
        </w:rPr>
      </w:pPr>
      <w:r w:rsidRPr="00893AA0">
        <w:rPr>
          <w:b/>
          <w:bCs/>
          <w:sz w:val="22"/>
        </w:rPr>
        <w:t>E:</w:t>
      </w:r>
      <w:r w:rsidRPr="00893AA0">
        <w:rPr>
          <w:sz w:val="22"/>
        </w:rPr>
        <w:t xml:space="preserve"> Description [retention time (compound)]: </w:t>
      </w:r>
      <w:r>
        <w:rPr>
          <w:sz w:val="22"/>
        </w:rPr>
        <w:t>3.394 (3-hexanone); 3.464 (2-hexanone); 3.621 (3-hexanol); 7.128 (</w:t>
      </w:r>
      <w:r>
        <w:rPr>
          <w:rFonts w:cs="Times New Roman"/>
          <w:sz w:val="22"/>
        </w:rPr>
        <w:t>β</w:t>
      </w:r>
      <w:r>
        <w:rPr>
          <w:sz w:val="22"/>
        </w:rPr>
        <w:t>-pinene); 7.540 (6-ethyl-2-methyldecane); 8.074 (D-limonene); 10.894 (tridecane); 12.367 (pentadecane); 13.738 (tetradecane); 21.758 (2,2-dimethyleicosane).</w:t>
      </w:r>
    </w:p>
    <w:p w14:paraId="4EF874F2" w14:textId="65CF31F0" w:rsidR="007A7DF8" w:rsidRDefault="009576C9" w:rsidP="00137D84">
      <w:r>
        <w:rPr>
          <w:noProof/>
        </w:rPr>
        <w:drawing>
          <wp:inline distT="0" distB="0" distL="0" distR="0" wp14:anchorId="676C8E24" wp14:editId="53B30D34">
            <wp:extent cx="6824680" cy="3150235"/>
            <wp:effectExtent l="0" t="0" r="0" b="0"/>
            <wp:docPr id="72486858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621" cy="316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8E2C6" w14:textId="44EE7B46" w:rsidR="009576C9" w:rsidRPr="00F0687A" w:rsidRDefault="00025759" w:rsidP="00F0687A">
      <w:pPr>
        <w:jc w:val="both"/>
        <w:rPr>
          <w:sz w:val="22"/>
        </w:rPr>
      </w:pPr>
      <w:r w:rsidRPr="00F0687A">
        <w:rPr>
          <w:b/>
          <w:bCs/>
          <w:sz w:val="22"/>
        </w:rPr>
        <w:t>F:</w:t>
      </w:r>
      <w:r w:rsidRPr="00F0687A">
        <w:rPr>
          <w:sz w:val="22"/>
        </w:rPr>
        <w:t xml:space="preserve"> Description [retention time (compound)]: </w:t>
      </w:r>
      <w:r w:rsidR="00F0687A" w:rsidRPr="00F0687A">
        <w:rPr>
          <w:sz w:val="22"/>
        </w:rPr>
        <w:t>3.449 (3-hexanone); 3.519 (2-hexanone); 4.127 (2,3,3-trimethlyhexane); 6.308 (</w:t>
      </w:r>
      <w:r w:rsidR="00F0687A" w:rsidRPr="00F0687A">
        <w:rPr>
          <w:rFonts w:cs="Times New Roman"/>
          <w:sz w:val="22"/>
        </w:rPr>
        <w:t>α</w:t>
      </w:r>
      <w:r w:rsidR="00F0687A" w:rsidRPr="00F0687A">
        <w:rPr>
          <w:sz w:val="22"/>
        </w:rPr>
        <w:t>-thujene); 7.053 (</w:t>
      </w:r>
      <w:r w:rsidR="00F0687A" w:rsidRPr="00F0687A">
        <w:rPr>
          <w:rFonts w:cs="Times New Roman"/>
          <w:sz w:val="22"/>
        </w:rPr>
        <w:t>β</w:t>
      </w:r>
      <w:r w:rsidR="00F0687A" w:rsidRPr="00F0687A">
        <w:rPr>
          <w:sz w:val="22"/>
        </w:rPr>
        <w:t>-phellandrene); 7.150 (</w:t>
      </w:r>
      <w:r w:rsidR="00F0687A" w:rsidRPr="00F0687A">
        <w:rPr>
          <w:rFonts w:cs="Times New Roman"/>
          <w:sz w:val="22"/>
        </w:rPr>
        <w:t>β</w:t>
      </w:r>
      <w:r w:rsidR="00F0687A" w:rsidRPr="00F0687A">
        <w:rPr>
          <w:sz w:val="22"/>
        </w:rPr>
        <w:t>-pinene); 7.558 (6-ethyl-2-methyldecane); 7.606 (3-hexenyl acetate); 7.995 (</w:t>
      </w:r>
      <w:r w:rsidR="00F0687A" w:rsidRPr="00F0687A">
        <w:rPr>
          <w:rFonts w:cs="Times New Roman"/>
          <w:sz w:val="22"/>
        </w:rPr>
        <w:t>β</w:t>
      </w:r>
      <w:r w:rsidR="00F0687A" w:rsidRPr="00F0687A">
        <w:rPr>
          <w:sz w:val="22"/>
        </w:rPr>
        <w:t>-ocimene); 8.042 (D-limonene); 9.279 (linalool); 10.594 (4-ethylbenzaldehyde); 10.797 (methyl salicylate); 10.902 (tridecane);12.023 (1-(4-ethylphenyl)-</w:t>
      </w:r>
      <w:proofErr w:type="spellStart"/>
      <w:r w:rsidR="00F0687A" w:rsidRPr="00F0687A">
        <w:rPr>
          <w:sz w:val="22"/>
        </w:rPr>
        <w:t>ethanone</w:t>
      </w:r>
      <w:proofErr w:type="spellEnd"/>
      <w:r w:rsidR="00F0687A" w:rsidRPr="00F0687A">
        <w:rPr>
          <w:sz w:val="22"/>
        </w:rPr>
        <w:t>); 12.142 (tetradecane); 12.375 (1,2,3,6-tetramethylbicyclo[2.2.2]octa-2,5-diene); 13.745 (</w:t>
      </w:r>
      <w:r w:rsidR="00F0687A" w:rsidRPr="00F0687A">
        <w:rPr>
          <w:rFonts w:cs="Times New Roman"/>
          <w:sz w:val="22"/>
        </w:rPr>
        <w:t>α</w:t>
      </w:r>
      <w:r w:rsidR="00F0687A" w:rsidRPr="00F0687A">
        <w:rPr>
          <w:sz w:val="22"/>
        </w:rPr>
        <w:t>-</w:t>
      </w:r>
      <w:proofErr w:type="spellStart"/>
      <w:r w:rsidR="00F0687A" w:rsidRPr="00F0687A">
        <w:rPr>
          <w:sz w:val="22"/>
        </w:rPr>
        <w:t>farnesene</w:t>
      </w:r>
      <w:proofErr w:type="spellEnd"/>
      <w:r w:rsidR="00F0687A" w:rsidRPr="00F0687A">
        <w:rPr>
          <w:sz w:val="22"/>
        </w:rPr>
        <w:t>); 15.088 (hexadecane); 16.249 (pentadecane); 23.365 (2,2-dimethyleicosane).</w:t>
      </w:r>
    </w:p>
    <w:p w14:paraId="7322A0E7" w14:textId="017DE3B2" w:rsidR="009576C9" w:rsidRDefault="009576C9" w:rsidP="00137D84">
      <w:pPr>
        <w:pStyle w:val="NormalWeb"/>
      </w:pPr>
      <w:r>
        <w:rPr>
          <w:noProof/>
        </w:rPr>
        <w:lastRenderedPageBreak/>
        <w:drawing>
          <wp:inline distT="0" distB="0" distL="0" distR="0" wp14:anchorId="63BF95F8" wp14:editId="7E38EC73">
            <wp:extent cx="6766560" cy="3100337"/>
            <wp:effectExtent l="0" t="0" r="0" b="5080"/>
            <wp:docPr id="126157646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567" cy="31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CCB77" w14:textId="1478E238" w:rsidR="00481285" w:rsidRPr="008F6F13" w:rsidRDefault="00F0687A" w:rsidP="008F6F13">
      <w:pPr>
        <w:pStyle w:val="NormalWeb"/>
        <w:jc w:val="both"/>
        <w:rPr>
          <w:sz w:val="22"/>
          <w:szCs w:val="22"/>
        </w:rPr>
      </w:pPr>
      <w:r w:rsidRPr="008F6F13">
        <w:rPr>
          <w:b/>
          <w:bCs/>
          <w:sz w:val="22"/>
          <w:szCs w:val="22"/>
        </w:rPr>
        <w:t>G:</w:t>
      </w:r>
      <w:r w:rsidRPr="008F6F13">
        <w:rPr>
          <w:sz w:val="22"/>
          <w:szCs w:val="22"/>
        </w:rPr>
        <w:t xml:space="preserve"> Description [retention time (compound)]: 3.454 (3-hexanone); 3.525 (2-hexanone); </w:t>
      </w:r>
      <w:r w:rsidR="008F6F13" w:rsidRPr="008F6F13">
        <w:rPr>
          <w:sz w:val="22"/>
          <w:szCs w:val="22"/>
        </w:rPr>
        <w:t>7.555 (6-ethyl-2-methyldecane); 8.087 (D-limonene); 10.316 (3-ethylbenzaldehyde); 10.591 (4-ethylbenzaldehyde); 10.898 (tridecane); 12.134 (1-(4-ethylphenyl)-</w:t>
      </w:r>
      <w:proofErr w:type="spellStart"/>
      <w:r w:rsidR="008F6F13" w:rsidRPr="008F6F13">
        <w:rPr>
          <w:sz w:val="22"/>
          <w:szCs w:val="22"/>
        </w:rPr>
        <w:t>ethanone</w:t>
      </w:r>
      <w:proofErr w:type="spellEnd"/>
      <w:r w:rsidR="008F6F13" w:rsidRPr="008F6F13">
        <w:rPr>
          <w:sz w:val="22"/>
          <w:szCs w:val="22"/>
        </w:rPr>
        <w:t>); 12.369 (pentadecane); 13.740 (tetradecane); 19.765 (2,2,4-trimethyldecane); 23.359 (2,2-dimethyleicosane).</w:t>
      </w:r>
    </w:p>
    <w:p w14:paraId="3FCB804D" w14:textId="5EF68612" w:rsidR="009576C9" w:rsidRDefault="00CF7AD7" w:rsidP="00137D84">
      <w:pPr>
        <w:pStyle w:val="NormalWeb"/>
      </w:pPr>
      <w:r>
        <w:rPr>
          <w:noProof/>
        </w:rPr>
        <w:drawing>
          <wp:inline distT="0" distB="0" distL="0" distR="0" wp14:anchorId="3B8D179F" wp14:editId="20D2F3D1">
            <wp:extent cx="6720840" cy="3084265"/>
            <wp:effectExtent l="0" t="0" r="3810" b="1905"/>
            <wp:docPr id="167286173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87" cy="3096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E2628" w14:textId="57E06BDF" w:rsidR="00BD01BD" w:rsidRPr="002251E5" w:rsidRDefault="008F6F13" w:rsidP="002251E5">
      <w:pPr>
        <w:pStyle w:val="NormalWeb"/>
        <w:jc w:val="both"/>
        <w:rPr>
          <w:sz w:val="22"/>
          <w:szCs w:val="22"/>
        </w:rPr>
      </w:pPr>
      <w:r w:rsidRPr="00DC2292">
        <w:rPr>
          <w:b/>
          <w:bCs/>
          <w:sz w:val="22"/>
          <w:szCs w:val="22"/>
        </w:rPr>
        <w:t>H:</w:t>
      </w:r>
      <w:r w:rsidRPr="002251E5">
        <w:rPr>
          <w:sz w:val="22"/>
          <w:szCs w:val="22"/>
        </w:rPr>
        <w:t xml:space="preserve"> Description [retention time (compound)]: 3.458 (3-hexanone); 3.526 (2-hexanone); 4.134 (2,3,3-trimethylhexane); 4.491 (2,4-dimethyl-1-heptene); 6.312 (β-pinene); 7.058 (6-ethyl-2-methyldecane); 7.154 (3-hexenyl acetate); 7.560 (β-ocimene); 7.609 (D-limonene); 9.037 (linalool); 10.596 (4-ethylbenzaldehyde); 10.799 (methyl salicylate); 10.903 (tridecane)12.141 (1-(4-ethylphenyl)-</w:t>
      </w:r>
      <w:proofErr w:type="spellStart"/>
      <w:r w:rsidRPr="002251E5">
        <w:rPr>
          <w:sz w:val="22"/>
          <w:szCs w:val="22"/>
        </w:rPr>
        <w:t>ethanone</w:t>
      </w:r>
      <w:proofErr w:type="spellEnd"/>
      <w:r w:rsidRPr="002251E5">
        <w:rPr>
          <w:sz w:val="22"/>
          <w:szCs w:val="22"/>
        </w:rPr>
        <w:t>); 12.376 (tetradecane); 13.747 (</w:t>
      </w:r>
      <w:r w:rsidR="002251E5" w:rsidRPr="002251E5">
        <w:rPr>
          <w:sz w:val="22"/>
          <w:szCs w:val="22"/>
        </w:rPr>
        <w:t>1,2,3,6-tetramethylbicyclo[2.2.2]octa-2,5-diene); 14.130 (α-</w:t>
      </w:r>
      <w:proofErr w:type="spellStart"/>
      <w:r w:rsidR="002251E5" w:rsidRPr="002251E5">
        <w:rPr>
          <w:sz w:val="22"/>
          <w:szCs w:val="22"/>
        </w:rPr>
        <w:t>farnesene</w:t>
      </w:r>
      <w:proofErr w:type="spellEnd"/>
      <w:r w:rsidR="002251E5" w:rsidRPr="002251E5">
        <w:rPr>
          <w:sz w:val="22"/>
          <w:szCs w:val="22"/>
        </w:rPr>
        <w:t>); 15.089 (hexadecane); 16.250 (pentadecane); 23.366 (2,2-dimethyleicosane).</w:t>
      </w:r>
    </w:p>
    <w:p w14:paraId="281BE8E9" w14:textId="5C0ACB15" w:rsidR="00137D84" w:rsidRDefault="00F768FC" w:rsidP="00F768FC">
      <w:pPr>
        <w:jc w:val="both"/>
      </w:pPr>
      <w:r w:rsidRPr="009320F4">
        <w:rPr>
          <w:b/>
          <w:bCs/>
        </w:rPr>
        <w:lastRenderedPageBreak/>
        <w:t>Figure S</w:t>
      </w:r>
      <w:r w:rsidR="009320F4" w:rsidRPr="009320F4">
        <w:rPr>
          <w:b/>
          <w:bCs/>
        </w:rPr>
        <w:t>2.</w:t>
      </w:r>
      <w:r>
        <w:t xml:space="preserve"> </w:t>
      </w:r>
      <w:r w:rsidR="00262887" w:rsidRPr="00262887">
        <w:t xml:space="preserve">VOC identification </w:t>
      </w:r>
      <w:r w:rsidR="00A97387">
        <w:t>by</w:t>
      </w:r>
      <w:r w:rsidR="00262887" w:rsidRPr="00262887">
        <w:t xml:space="preserve"> using LabSolutions GCMS software (v4.30, Shimadzu) and the NIST library (version 2.0). </w:t>
      </w:r>
      <w:r w:rsidR="00262887">
        <w:t>S</w:t>
      </w:r>
      <w:r w:rsidR="009320F4" w:rsidRPr="009320F4">
        <w:t>ample</w:t>
      </w:r>
      <w:r w:rsidR="00CF5A9A">
        <w:t xml:space="preserve"> (1 </w:t>
      </w:r>
      <w:r w:rsidR="00CF5A9A">
        <w:rPr>
          <w:rFonts w:cs="Times New Roman"/>
        </w:rPr>
        <w:t>µ-</w:t>
      </w:r>
      <w:r w:rsidR="00CF5A9A">
        <w:t>L)</w:t>
      </w:r>
      <w:r w:rsidR="009320F4" w:rsidRPr="009320F4">
        <w:t xml:space="preserve"> of each infestation level</w:t>
      </w:r>
      <w:r w:rsidR="009320F4">
        <w:t>,</w:t>
      </w:r>
      <w:r w:rsidR="009320F4" w:rsidRPr="009320F4">
        <w:t xml:space="preserve"> and </w:t>
      </w:r>
      <w:r w:rsidR="009320F4">
        <w:t>scion</w:t>
      </w:r>
      <w:r w:rsidR="009320F4" w:rsidRPr="009320F4">
        <w:t>/rootstock combination</w:t>
      </w:r>
      <w:r w:rsidR="00262887">
        <w:t xml:space="preserve">, which were injected </w:t>
      </w:r>
      <w:r w:rsidR="00262887" w:rsidRPr="00262887">
        <w:t xml:space="preserve">in </w:t>
      </w:r>
      <w:proofErr w:type="spellStart"/>
      <w:r w:rsidR="00262887" w:rsidRPr="00262887">
        <w:t>splitless</w:t>
      </w:r>
      <w:proofErr w:type="spellEnd"/>
      <w:r w:rsidR="00262887" w:rsidRPr="00262887">
        <w:t xml:space="preserve"> mode into a gas chromatograph coupled to a mass spectrometer (GC-MS; QP2010 Ultra, Shimadzu, Kyoto, Japan) equipped with an RTx5 capillary column (30 m, 0.25 mm internal diameter, 0.25 µm film thickness; </w:t>
      </w:r>
      <w:proofErr w:type="spellStart"/>
      <w:r w:rsidR="00262887" w:rsidRPr="00262887">
        <w:t>Restek</w:t>
      </w:r>
      <w:proofErr w:type="spellEnd"/>
      <w:r w:rsidR="00262887" w:rsidRPr="00262887">
        <w:t>, Bellefonte, Pennsylvania, USA).</w:t>
      </w:r>
      <w:r w:rsidR="009320F4">
        <w:t xml:space="preserve"> </w:t>
      </w:r>
      <w:r w:rsidR="00262887">
        <w:t>Chromatograms from n</w:t>
      </w:r>
      <w:r w:rsidRPr="00F768FC">
        <w:t xml:space="preserve">on-infested and infested </w:t>
      </w:r>
      <w:r w:rsidR="009320F4">
        <w:t>mandarin</w:t>
      </w:r>
      <w:r w:rsidR="00B152B0">
        <w:t xml:space="preserve"> of each scion/rootstock combination</w:t>
      </w:r>
      <w:r w:rsidR="009320F4">
        <w:t xml:space="preserve"> are showed</w:t>
      </w:r>
      <w:r w:rsidR="00B152B0">
        <w:t>: (</w:t>
      </w:r>
      <w:r w:rsidR="00B152B0" w:rsidRPr="00DC2292">
        <w:rPr>
          <w:b/>
          <w:bCs/>
        </w:rPr>
        <w:t>A-B</w:t>
      </w:r>
      <w:r w:rsidR="00B152B0">
        <w:t xml:space="preserve">) ‘W. </w:t>
      </w:r>
      <w:proofErr w:type="spellStart"/>
      <w:r w:rsidR="00B152B0">
        <w:t>Murcott</w:t>
      </w:r>
      <w:proofErr w:type="spellEnd"/>
      <w:r w:rsidR="00B152B0">
        <w:t>/Macrophylla’</w:t>
      </w:r>
      <w:r w:rsidR="002251E5">
        <w:t>;</w:t>
      </w:r>
      <w:r w:rsidR="00B152B0">
        <w:t xml:space="preserve"> (</w:t>
      </w:r>
      <w:r w:rsidR="00B152B0" w:rsidRPr="00DC2292">
        <w:rPr>
          <w:b/>
          <w:bCs/>
        </w:rPr>
        <w:t>C-D</w:t>
      </w:r>
      <w:r w:rsidR="00B152B0">
        <w:t>) ‘W. Murcott/</w:t>
      </w:r>
      <w:r>
        <w:t>C</w:t>
      </w:r>
      <w:r w:rsidRPr="00F768FC">
        <w:t>35</w:t>
      </w:r>
      <w:r>
        <w:t>’</w:t>
      </w:r>
      <w:r w:rsidR="002251E5">
        <w:t>;</w:t>
      </w:r>
      <w:r w:rsidR="00B152B0">
        <w:t xml:space="preserve"> (</w:t>
      </w:r>
      <w:r w:rsidR="00B152B0" w:rsidRPr="00DC2292">
        <w:rPr>
          <w:b/>
          <w:bCs/>
        </w:rPr>
        <w:t>E-F</w:t>
      </w:r>
      <w:r w:rsidR="00B152B0">
        <w:t>) ‘W. Murcott/Citrumelo’</w:t>
      </w:r>
      <w:r w:rsidR="002251E5">
        <w:t>;</w:t>
      </w:r>
      <w:r w:rsidR="00B152B0">
        <w:t xml:space="preserve"> and (</w:t>
      </w:r>
      <w:r w:rsidR="00B152B0" w:rsidRPr="00DC2292">
        <w:rPr>
          <w:b/>
          <w:bCs/>
        </w:rPr>
        <w:t>G-H</w:t>
      </w:r>
      <w:r w:rsidR="00B152B0">
        <w:t xml:space="preserve">) ‘W. </w:t>
      </w:r>
      <w:proofErr w:type="spellStart"/>
      <w:r w:rsidR="00B152B0">
        <w:t>Murcott</w:t>
      </w:r>
      <w:proofErr w:type="spellEnd"/>
      <w:r w:rsidR="00B152B0">
        <w:t>/Carrizo’</w:t>
      </w:r>
      <w:r>
        <w:t>.</w:t>
      </w:r>
    </w:p>
    <w:p w14:paraId="5CB74ED2" w14:textId="77777777" w:rsidR="002251E5" w:rsidRDefault="002251E5" w:rsidP="00F768FC">
      <w:pPr>
        <w:jc w:val="both"/>
      </w:pPr>
    </w:p>
    <w:p w14:paraId="68140F91" w14:textId="77777777" w:rsidR="00815FBE" w:rsidRDefault="00815FBE" w:rsidP="00815FBE">
      <w:pPr>
        <w:jc w:val="both"/>
        <w:rPr>
          <w:b/>
          <w:bCs/>
        </w:rPr>
      </w:pPr>
    </w:p>
    <w:p w14:paraId="235C7992" w14:textId="428BAF24" w:rsidR="00AC145C" w:rsidRDefault="00815FBE" w:rsidP="00815FBE">
      <w:pPr>
        <w:jc w:val="both"/>
      </w:pPr>
      <w:r w:rsidRPr="009320F4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04B683" wp14:editId="264F6AC4">
            <wp:simplePos x="0" y="0"/>
            <wp:positionH relativeFrom="column">
              <wp:posOffset>2051050</wp:posOffset>
            </wp:positionH>
            <wp:positionV relativeFrom="paragraph">
              <wp:posOffset>0</wp:posOffset>
            </wp:positionV>
            <wp:extent cx="2118995" cy="6957060"/>
            <wp:effectExtent l="0" t="0" r="0" b="0"/>
            <wp:wrapTopAndBottom/>
            <wp:docPr id="183287247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D21" w:rsidRPr="009320F4">
        <w:rPr>
          <w:b/>
          <w:bCs/>
        </w:rPr>
        <w:t>Figure S</w:t>
      </w:r>
      <w:r w:rsidR="009320F4" w:rsidRPr="009320F4">
        <w:rPr>
          <w:b/>
          <w:bCs/>
        </w:rPr>
        <w:t>3.</w:t>
      </w:r>
      <w:r w:rsidR="00AC145C">
        <w:t xml:space="preserve"> </w:t>
      </w:r>
      <w:r w:rsidR="008E7D21" w:rsidRPr="008E7D21">
        <w:t xml:space="preserve">Ct values of target genes (A: </w:t>
      </w:r>
      <w:r w:rsidR="008E7D21" w:rsidRPr="008E7D21">
        <w:rPr>
          <w:i/>
          <w:iCs/>
        </w:rPr>
        <w:t>ABA4</w:t>
      </w:r>
      <w:r w:rsidR="008E7D21" w:rsidRPr="008E7D21">
        <w:t xml:space="preserve">, B: </w:t>
      </w:r>
      <w:r w:rsidR="008E7D21" w:rsidRPr="008E7D21">
        <w:rPr>
          <w:i/>
          <w:iCs/>
        </w:rPr>
        <w:t>PITY</w:t>
      </w:r>
      <w:r w:rsidR="008E7D21" w:rsidRPr="008E7D21">
        <w:t xml:space="preserve">, C: </w:t>
      </w:r>
      <w:r w:rsidR="008E7D21" w:rsidRPr="008E7D21">
        <w:rPr>
          <w:i/>
          <w:iCs/>
        </w:rPr>
        <w:t>PR5</w:t>
      </w:r>
      <w:r w:rsidR="008E7D21" w:rsidRPr="008E7D21">
        <w:t xml:space="preserve">) and the housekeeping gene </w:t>
      </w:r>
      <w:r w:rsidR="008E7D21" w:rsidRPr="008E7D21">
        <w:rPr>
          <w:i/>
          <w:iCs/>
        </w:rPr>
        <w:t>EF1α</w:t>
      </w:r>
      <w:r w:rsidR="008E7D21" w:rsidRPr="008E7D21">
        <w:t xml:space="preserve"> (D) in non-infested control plants grafted onto four different citrus rootstocks: MA, C35, CI, and CA. Bars represent mean Ct values ± SE. These values were used to calculate </w:t>
      </w:r>
      <w:proofErr w:type="spellStart"/>
      <w:r w:rsidR="008E7D21" w:rsidRPr="008E7D21">
        <w:t>ΔCt</w:t>
      </w:r>
      <w:proofErr w:type="spellEnd"/>
      <w:r w:rsidR="008E7D21" w:rsidRPr="008E7D21">
        <w:t xml:space="preserve"> and subsequently </w:t>
      </w:r>
      <w:proofErr w:type="spellStart"/>
      <w:r w:rsidR="008E7D21" w:rsidRPr="008E7D21">
        <w:t>ΔΔCt</w:t>
      </w:r>
      <w:proofErr w:type="spellEnd"/>
      <w:r w:rsidR="008E7D21" w:rsidRPr="008E7D21">
        <w:t xml:space="preserve"> for gene expression analyses. Each bar reflects the average of biological replicates per rootstock, confirming that </w:t>
      </w:r>
      <w:r w:rsidR="008E7D21" w:rsidRPr="008E7D21">
        <w:rPr>
          <w:i/>
          <w:iCs/>
        </w:rPr>
        <w:t>CNT</w:t>
      </w:r>
      <w:r w:rsidR="008E7D21" w:rsidRPr="008E7D21">
        <w:t xml:space="preserve"> corresponds to rootstock-specific non-infested controls. Transcripts for </w:t>
      </w:r>
      <w:r w:rsidR="008E7D21" w:rsidRPr="008E7D21">
        <w:rPr>
          <w:i/>
          <w:iCs/>
        </w:rPr>
        <w:t>PR3</w:t>
      </w:r>
      <w:r w:rsidR="008E7D21" w:rsidRPr="008E7D21">
        <w:t xml:space="preserve">, </w:t>
      </w:r>
      <w:r w:rsidR="008E7D21" w:rsidRPr="008E7D21">
        <w:rPr>
          <w:i/>
          <w:iCs/>
        </w:rPr>
        <w:t>GLR</w:t>
      </w:r>
      <w:r w:rsidR="008E7D21" w:rsidRPr="008E7D21">
        <w:t xml:space="preserve">, and </w:t>
      </w:r>
      <w:r w:rsidR="008E7D21" w:rsidRPr="008E7D21">
        <w:rPr>
          <w:i/>
          <w:iCs/>
        </w:rPr>
        <w:t>EIN3</w:t>
      </w:r>
      <w:r w:rsidR="008E7D21" w:rsidRPr="008E7D21">
        <w:t xml:space="preserve"> showed highly variable and consistently high Ct values (ranging from 38 to 40) across rootstocks, indicating unreliable detection; therefore, they were excluded from downstream analyses.</w:t>
      </w:r>
    </w:p>
    <w:p w14:paraId="6AFD663C" w14:textId="0D88B651" w:rsidR="00594430" w:rsidRPr="00B152B0" w:rsidRDefault="00594430" w:rsidP="00815FBE">
      <w:pPr>
        <w:jc w:val="both"/>
        <w:rPr>
          <w:b/>
          <w:bCs/>
        </w:rPr>
      </w:pPr>
      <w:r w:rsidRPr="0059443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D35666" wp14:editId="75F0EA9A">
                <wp:simplePos x="0" y="0"/>
                <wp:positionH relativeFrom="column">
                  <wp:posOffset>3834130</wp:posOffset>
                </wp:positionH>
                <wp:positionV relativeFrom="paragraph">
                  <wp:posOffset>2179955</wp:posOffset>
                </wp:positionV>
                <wp:extent cx="2360930" cy="61417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4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50CFE" w14:textId="78FD967F" w:rsidR="00594430" w:rsidRPr="00137D84" w:rsidRDefault="00594430" w:rsidP="00594430">
                            <w:pPr>
                              <w:jc w:val="both"/>
                            </w:pPr>
                            <w:r w:rsidRPr="009320F4">
                              <w:rPr>
                                <w:b/>
                                <w:bCs/>
                              </w:rPr>
                              <w:t>Figure S</w:t>
                            </w:r>
                            <w:r w:rsidR="009320F4" w:rsidRPr="009320F4">
                              <w:rPr>
                                <w:b/>
                                <w:bCs/>
                              </w:rPr>
                              <w:t>4.</w:t>
                            </w:r>
                            <w:r>
                              <w:t xml:space="preserve"> </w:t>
                            </w:r>
                            <w:r w:rsidRPr="00594430">
                              <w:t xml:space="preserve">Melt curve plots of qRT-PCR amplicons for reference and target genes in citrus scion/rootstock combinations under control (non-infested) and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Panonychus citri</w:t>
                            </w:r>
                            <w:r w:rsidRPr="00594430">
                              <w:t xml:space="preserve"> - infested (Infested) conditions. Each panel displays the dissociation (melt) curve for a specific gene: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EF1α</w:t>
                            </w:r>
                            <w:r w:rsidRPr="00594430">
                              <w:t xml:space="preserve">,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GAPDH</w:t>
                            </w:r>
                            <w:r w:rsidRPr="00594430">
                              <w:t xml:space="preserve"> (reference genes);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ABA4</w:t>
                            </w:r>
                            <w:r w:rsidRPr="00594430">
                              <w:t xml:space="preserve">,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EIN3</w:t>
                            </w:r>
                            <w:r w:rsidRPr="00594430">
                              <w:t xml:space="preserve">,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PR3</w:t>
                            </w:r>
                            <w:r w:rsidRPr="00594430">
                              <w:t xml:space="preserve">,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PR5</w:t>
                            </w:r>
                            <w:r w:rsidRPr="00594430">
                              <w:t xml:space="preserve">,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GLR</w:t>
                            </w:r>
                            <w:r w:rsidRPr="00594430">
                              <w:t xml:space="preserve">, and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PITY1</w:t>
                            </w:r>
                            <w:r w:rsidRPr="00594430">
                              <w:t xml:space="preserve"> (target genes). Melt curves were generated using a QuantStudio 3 Real-Time PCR System and analyzed with QuantStudio Design &amp; Analysis Desktop Software v1.5.1 (Applied Biosystems by Thermo Fisher Scientific) to assess the specificity of each qRT-PCR amplicon. A single, sharp peak per sample indicates specific amplification without primer-dimer or non-specific artifacts. Non-Infested and Infested samples are shown on the left and right columns, respectively.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PR3</w:t>
                            </w:r>
                            <w:r w:rsidRPr="00594430">
                              <w:t xml:space="preserve"> expression was very low and inconsistent across the replicates, particularly in control samples, for this reason, CT values of </w:t>
                            </w:r>
                            <w:r w:rsidRPr="00594430">
                              <w:rPr>
                                <w:i/>
                                <w:iCs/>
                              </w:rPr>
                              <w:t>PR3</w:t>
                            </w:r>
                            <w:r w:rsidRPr="00594430">
                              <w:t xml:space="preserve"> in control samples were excluded from downstream expression analysis due to their poor amplification reliability. Overall, melt profiles for most genes confirm amplification specificity and consistency across treatments.</w:t>
                            </w:r>
                          </w:p>
                          <w:p w14:paraId="7FED2E5F" w14:textId="3BF2F4C5" w:rsidR="00594430" w:rsidRPr="00594430" w:rsidRDefault="00594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3566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1.9pt;margin-top:171.65pt;width:185.9pt;height:483.6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BM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" stroked="f">
                <v:textbox>
                  <w:txbxContent>
                    <w:p w14:paraId="72A50CFE" w14:textId="78FD967F" w:rsidR="00594430" w:rsidRPr="00137D84" w:rsidRDefault="00594430" w:rsidP="00594430">
                      <w:pPr>
                        <w:jc w:val="both"/>
                      </w:pPr>
                      <w:r w:rsidRPr="009320F4">
                        <w:rPr>
                          <w:b/>
                          <w:bCs/>
                        </w:rPr>
                        <w:t>Figure S</w:t>
                      </w:r>
                      <w:r w:rsidR="009320F4" w:rsidRPr="009320F4">
                        <w:rPr>
                          <w:b/>
                          <w:bCs/>
                        </w:rPr>
                        <w:t>4.</w:t>
                      </w:r>
                      <w:r>
                        <w:t xml:space="preserve"> </w:t>
                      </w:r>
                      <w:r w:rsidRPr="00594430">
                        <w:t xml:space="preserve">Melt curve plots of qRT-PCR amplicons for reference and target genes in citrus scion/rootstock combinations under control (non-infested) and </w:t>
                      </w:r>
                      <w:r w:rsidRPr="00594430">
                        <w:rPr>
                          <w:i/>
                          <w:iCs/>
                        </w:rPr>
                        <w:t>Panonychus citri</w:t>
                      </w:r>
                      <w:r w:rsidRPr="00594430">
                        <w:t xml:space="preserve"> - infested (Infested) conditions. Each panel displays the dissociation (melt) curve for a specific gene: </w:t>
                      </w:r>
                      <w:r w:rsidRPr="00594430">
                        <w:rPr>
                          <w:i/>
                          <w:iCs/>
                        </w:rPr>
                        <w:t>EF1α</w:t>
                      </w:r>
                      <w:r w:rsidRPr="00594430">
                        <w:t xml:space="preserve">, </w:t>
                      </w:r>
                      <w:r w:rsidRPr="00594430">
                        <w:rPr>
                          <w:i/>
                          <w:iCs/>
                        </w:rPr>
                        <w:t>GAPDH</w:t>
                      </w:r>
                      <w:r w:rsidRPr="00594430">
                        <w:t xml:space="preserve"> (reference genes); </w:t>
                      </w:r>
                      <w:r w:rsidRPr="00594430">
                        <w:rPr>
                          <w:i/>
                          <w:iCs/>
                        </w:rPr>
                        <w:t>ABA4</w:t>
                      </w:r>
                      <w:r w:rsidRPr="00594430">
                        <w:t xml:space="preserve">, </w:t>
                      </w:r>
                      <w:r w:rsidRPr="00594430">
                        <w:rPr>
                          <w:i/>
                          <w:iCs/>
                        </w:rPr>
                        <w:t>EIN3</w:t>
                      </w:r>
                      <w:r w:rsidRPr="00594430">
                        <w:t xml:space="preserve">, </w:t>
                      </w:r>
                      <w:r w:rsidRPr="00594430">
                        <w:rPr>
                          <w:i/>
                          <w:iCs/>
                        </w:rPr>
                        <w:t>PR3</w:t>
                      </w:r>
                      <w:r w:rsidRPr="00594430">
                        <w:t xml:space="preserve">, </w:t>
                      </w:r>
                      <w:r w:rsidRPr="00594430">
                        <w:rPr>
                          <w:i/>
                          <w:iCs/>
                        </w:rPr>
                        <w:t>PR5</w:t>
                      </w:r>
                      <w:r w:rsidRPr="00594430">
                        <w:t xml:space="preserve">, </w:t>
                      </w:r>
                      <w:r w:rsidRPr="00594430">
                        <w:rPr>
                          <w:i/>
                          <w:iCs/>
                        </w:rPr>
                        <w:t>GLR</w:t>
                      </w:r>
                      <w:r w:rsidRPr="00594430">
                        <w:t xml:space="preserve">, and </w:t>
                      </w:r>
                      <w:r w:rsidRPr="00594430">
                        <w:rPr>
                          <w:i/>
                          <w:iCs/>
                        </w:rPr>
                        <w:t>PITY1</w:t>
                      </w:r>
                      <w:r w:rsidRPr="00594430">
                        <w:t xml:space="preserve"> (target genes). Melt curves were generated using a QuantStudio 3 Real-Time PCR System and analyzed with QuantStudio Design &amp; Analysis Desktop Software v1.5.1 (Applied Biosystems by Thermo Fisher Scientific) to assess the specificity of each qRT-PCR amplicon. A single, sharp peak per sample indicates specific amplification without primer-dimer or non-specific artifacts. Non-Infested and Infested samples are shown on the left and right columns, respectively. </w:t>
                      </w:r>
                      <w:r w:rsidRPr="00594430">
                        <w:rPr>
                          <w:i/>
                          <w:iCs/>
                        </w:rPr>
                        <w:t>PR3</w:t>
                      </w:r>
                      <w:r w:rsidRPr="00594430">
                        <w:t xml:space="preserve"> expression was very low and inconsistent across the replicates, particularly in control samples, for this reason, CT values of </w:t>
                      </w:r>
                      <w:r w:rsidRPr="00594430">
                        <w:rPr>
                          <w:i/>
                          <w:iCs/>
                        </w:rPr>
                        <w:t>PR3</w:t>
                      </w:r>
                      <w:r w:rsidRPr="00594430">
                        <w:t xml:space="preserve"> in control samples were excluded from downstream expression analysis due to their poor amplification reliability. Overall, melt profiles for most genes confirm amplification specificity and consistency across treatments.</w:t>
                      </w:r>
                    </w:p>
                    <w:p w14:paraId="7FED2E5F" w14:textId="3BF2F4C5" w:rsidR="00594430" w:rsidRPr="00594430" w:rsidRDefault="0059443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24991D" wp14:editId="5D82D366">
            <wp:extent cx="3829685" cy="8613140"/>
            <wp:effectExtent l="0" t="0" r="0" b="0"/>
            <wp:docPr id="147088428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430" w:rsidRPr="00B152B0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1381B" w14:textId="77777777" w:rsidR="00D4118B" w:rsidRDefault="00D4118B" w:rsidP="00117666">
      <w:pPr>
        <w:spacing w:after="0"/>
      </w:pPr>
      <w:r>
        <w:separator/>
      </w:r>
    </w:p>
  </w:endnote>
  <w:endnote w:type="continuationSeparator" w:id="0">
    <w:p w14:paraId="38E2002B" w14:textId="77777777" w:rsidR="00D4118B" w:rsidRDefault="00D4118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464E3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64E3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64E3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464E3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64E3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64E3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B2F85" w14:textId="77777777" w:rsidR="00D4118B" w:rsidRDefault="00D4118B" w:rsidP="00117666">
      <w:pPr>
        <w:spacing w:after="0"/>
      </w:pPr>
      <w:r>
        <w:separator/>
      </w:r>
    </w:p>
  </w:footnote>
  <w:footnote w:type="continuationSeparator" w:id="0">
    <w:p w14:paraId="73556671" w14:textId="77777777" w:rsidR="00D4118B" w:rsidRDefault="00D4118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464E3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464E3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5759"/>
    <w:rsid w:val="00034304"/>
    <w:rsid w:val="00035434"/>
    <w:rsid w:val="00052A14"/>
    <w:rsid w:val="00077D53"/>
    <w:rsid w:val="00105FD9"/>
    <w:rsid w:val="00117666"/>
    <w:rsid w:val="00137D84"/>
    <w:rsid w:val="001549D3"/>
    <w:rsid w:val="00160065"/>
    <w:rsid w:val="00177D84"/>
    <w:rsid w:val="001E716A"/>
    <w:rsid w:val="002251E5"/>
    <w:rsid w:val="00262887"/>
    <w:rsid w:val="00267D18"/>
    <w:rsid w:val="00270910"/>
    <w:rsid w:val="002868E2"/>
    <w:rsid w:val="002869C3"/>
    <w:rsid w:val="0029364B"/>
    <w:rsid w:val="002936E4"/>
    <w:rsid w:val="002B35E1"/>
    <w:rsid w:val="002B4A57"/>
    <w:rsid w:val="002C74CA"/>
    <w:rsid w:val="003404A5"/>
    <w:rsid w:val="003544FB"/>
    <w:rsid w:val="003D2D47"/>
    <w:rsid w:val="003D2F2D"/>
    <w:rsid w:val="00401590"/>
    <w:rsid w:val="00447801"/>
    <w:rsid w:val="00452E9C"/>
    <w:rsid w:val="00464E33"/>
    <w:rsid w:val="004735C8"/>
    <w:rsid w:val="00481285"/>
    <w:rsid w:val="00481E5A"/>
    <w:rsid w:val="004961FF"/>
    <w:rsid w:val="004F0CCA"/>
    <w:rsid w:val="00517A89"/>
    <w:rsid w:val="005250F2"/>
    <w:rsid w:val="00583A92"/>
    <w:rsid w:val="00593EEA"/>
    <w:rsid w:val="00594430"/>
    <w:rsid w:val="00594B55"/>
    <w:rsid w:val="005A5EEE"/>
    <w:rsid w:val="006375C7"/>
    <w:rsid w:val="00654E8F"/>
    <w:rsid w:val="00660D05"/>
    <w:rsid w:val="006820B1"/>
    <w:rsid w:val="006B7D14"/>
    <w:rsid w:val="006F0972"/>
    <w:rsid w:val="00701727"/>
    <w:rsid w:val="0070566C"/>
    <w:rsid w:val="00714C50"/>
    <w:rsid w:val="00725A7D"/>
    <w:rsid w:val="00734888"/>
    <w:rsid w:val="007501BE"/>
    <w:rsid w:val="00771AEC"/>
    <w:rsid w:val="00790BB3"/>
    <w:rsid w:val="007A7DF8"/>
    <w:rsid w:val="007C206C"/>
    <w:rsid w:val="00803D24"/>
    <w:rsid w:val="00807E29"/>
    <w:rsid w:val="00815FBE"/>
    <w:rsid w:val="00817DD6"/>
    <w:rsid w:val="00834806"/>
    <w:rsid w:val="00885156"/>
    <w:rsid w:val="00893AA0"/>
    <w:rsid w:val="008A0BE1"/>
    <w:rsid w:val="008E7D21"/>
    <w:rsid w:val="008F6F13"/>
    <w:rsid w:val="009151AA"/>
    <w:rsid w:val="009320F4"/>
    <w:rsid w:val="0093429D"/>
    <w:rsid w:val="00943573"/>
    <w:rsid w:val="009576C9"/>
    <w:rsid w:val="00970F7D"/>
    <w:rsid w:val="00994A3D"/>
    <w:rsid w:val="009C2B12"/>
    <w:rsid w:val="009C70F3"/>
    <w:rsid w:val="00A02809"/>
    <w:rsid w:val="00A174D9"/>
    <w:rsid w:val="00A569CD"/>
    <w:rsid w:val="00A97387"/>
    <w:rsid w:val="00AB5EE2"/>
    <w:rsid w:val="00AB6715"/>
    <w:rsid w:val="00AC145C"/>
    <w:rsid w:val="00B152B0"/>
    <w:rsid w:val="00B1671E"/>
    <w:rsid w:val="00B25EB8"/>
    <w:rsid w:val="00B354E1"/>
    <w:rsid w:val="00B37F4D"/>
    <w:rsid w:val="00B46442"/>
    <w:rsid w:val="00B9732E"/>
    <w:rsid w:val="00BD01BD"/>
    <w:rsid w:val="00C52A7B"/>
    <w:rsid w:val="00C56BAF"/>
    <w:rsid w:val="00C679AA"/>
    <w:rsid w:val="00C75972"/>
    <w:rsid w:val="00C9174F"/>
    <w:rsid w:val="00CC0A3A"/>
    <w:rsid w:val="00CD066B"/>
    <w:rsid w:val="00CE4FEE"/>
    <w:rsid w:val="00CF5A9A"/>
    <w:rsid w:val="00CF7AD7"/>
    <w:rsid w:val="00D4118B"/>
    <w:rsid w:val="00D52CE5"/>
    <w:rsid w:val="00DB59C3"/>
    <w:rsid w:val="00DC2292"/>
    <w:rsid w:val="00DC259A"/>
    <w:rsid w:val="00DE23E8"/>
    <w:rsid w:val="00E52377"/>
    <w:rsid w:val="00E64E17"/>
    <w:rsid w:val="00E866C9"/>
    <w:rsid w:val="00EA3D3C"/>
    <w:rsid w:val="00F02C39"/>
    <w:rsid w:val="00F0687A"/>
    <w:rsid w:val="00F46900"/>
    <w:rsid w:val="00F61D89"/>
    <w:rsid w:val="00F75257"/>
    <w:rsid w:val="00F768FC"/>
    <w:rsid w:val="00F9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279</TotalTime>
  <Pages>9</Pages>
  <Words>808</Words>
  <Characters>4444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tommy rioja</cp:lastModifiedBy>
  <cp:revision>19</cp:revision>
  <cp:lastPrinted>2013-10-03T12:51:00Z</cp:lastPrinted>
  <dcterms:created xsi:type="dcterms:W3CDTF">2025-07-20T21:16:00Z</dcterms:created>
  <dcterms:modified xsi:type="dcterms:W3CDTF">2025-07-22T02:06:00Z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