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70E7" w:rsidRDefault="004170E7" w:rsidP="004170E7">
      <w:bookmarkStart w:id="0" w:name="_Toc145667812"/>
    </w:p>
    <w:p w:rsidR="004170E7" w:rsidRDefault="00034536" w:rsidP="00034536">
      <w:pPr>
        <w:pStyle w:val="Heading1"/>
        <w:numPr>
          <w:ilvl w:val="0"/>
          <w:numId w:val="0"/>
        </w:numPr>
        <w:ind w:left="432" w:hanging="432"/>
      </w:pPr>
      <w:r>
        <w:t>Supporting Documents</w:t>
      </w:r>
      <w:r w:rsidR="004170E7">
        <w:t xml:space="preserve"> - </w:t>
      </w:r>
      <w:r>
        <w:t>1</w:t>
      </w:r>
    </w:p>
    <w:p w:rsidR="004170E7" w:rsidRDefault="004170E7" w:rsidP="004170E7">
      <w:pPr>
        <w:pStyle w:val="Heading1"/>
      </w:pPr>
      <w:r>
        <w:t>Methods</w:t>
      </w:r>
      <w:bookmarkEnd w:id="0"/>
    </w:p>
    <w:p w:rsidR="004170E7" w:rsidRDefault="004170E7" w:rsidP="004170E7">
      <w:pPr>
        <w:pStyle w:val="Heading2"/>
      </w:pPr>
      <w:bookmarkStart w:id="1" w:name="_Toc145667813"/>
      <w:r>
        <w:t>Development of Assessment Model</w:t>
      </w:r>
      <w:bookmarkEnd w:id="1"/>
    </w:p>
    <w:p w:rsidR="004170E7" w:rsidRDefault="004170E7" w:rsidP="004170E7">
      <w:pPr>
        <w:rPr>
          <w:rFonts w:eastAsiaTheme="minorEastAsia"/>
        </w:rPr>
      </w:pPr>
      <w:r>
        <w:t xml:space="preserve">An age-structured population dynamics model with monthly time-steps was developed using the Template Model Builder R package </w:t>
      </w:r>
      <w:r>
        <w:fldChar w:fldCharType="begin"/>
      </w:r>
      <w:r>
        <w:instrText xml:space="preserve"> ADDIN ZOTERO_ITEM CSL_CITATION {"citationID":"lPa5mLlV","properties":{"formattedCitation":"(TMB; Kristensen et al., 2016)","plainCitation":"(TMB; Kristensen et al., 2016)","noteIndex":0},"citationItems":[{"id":844,"uris":["http://zotero.org/users/2712903/items/TDLK3INH"],"itemData":{"id":844,"type":"article-journal","container-title":"Journal of Statistical Software","issue":"5","page":"1 - 21","title":"TMB: Automatic Differentiation and Laplace Approximation","volume":"70","author":[{"family":"Kristensen","given":"K"},{"family":"Nielsen","given":"A"},{"family":"Berg","given":"CW"},{"family":"Skaug","given":"H"},{"family":"Bell","given":"BM"}],"issued":{"date-parts":[["2016"]]}},"prefix":"TMB;"}],"schema":"https://github.com/citation-style-language/schema/raw/master/csl-citation.json"} </w:instrText>
      </w:r>
      <w:r>
        <w:fldChar w:fldCharType="separate"/>
      </w:r>
      <w:r w:rsidRPr="00F85CF8">
        <w:rPr>
          <w:rFonts w:cs="Times New Roman"/>
        </w:rPr>
        <w:t>(TMB; Kristensen et al., 2016)</w:t>
      </w:r>
      <w:r>
        <w:fldChar w:fldCharType="end"/>
      </w:r>
      <w:r>
        <w:t>. The p</w:t>
      </w:r>
      <w:r>
        <w:rPr>
          <w:rFonts w:eastAsiaTheme="minorEastAsia"/>
        </w:rPr>
        <w:t>opulations dynamics model</w:t>
      </w:r>
      <w:r w:rsidRPr="002211F1">
        <w:rPr>
          <w:rFonts w:eastAsiaTheme="minorEastAsia"/>
        </w:rPr>
        <w:t xml:space="preserve"> </w:t>
      </w:r>
      <w:r>
        <w:rPr>
          <w:rFonts w:eastAsiaTheme="minorEastAsia"/>
        </w:rPr>
        <w:t>is initialized in an unfished state, assuming a monthly recruitment pattern</w:t>
      </w:r>
      <w:r w:rsidRPr="00DB0C03">
        <w:rPr>
          <w:rFonts w:eastAsiaTheme="minorEastAsia"/>
        </w:rPr>
        <w:t xml:space="preserve"> </w:t>
      </w:r>
      <w:r>
        <w:rPr>
          <w:rFonts w:eastAsiaTheme="minorEastAsia"/>
        </w:rPr>
        <w:t xml:space="preserve">and no process error on the recruitment deviations (Equations 1-3, </w:t>
      </w:r>
      <w:r w:rsidR="00D639A9">
        <w:rPr>
          <w:rFonts w:eastAsiaTheme="minorEastAsia"/>
        </w:rPr>
        <w:t>Table S1-1</w:t>
      </w:r>
      <w:r>
        <w:rPr>
          <w:rFonts w:eastAsiaTheme="minorEastAsia"/>
        </w:rPr>
        <w:t xml:space="preserve">). The age-structure of the unfished population in the initial time-step (month = 1) is generated by assigning the expected relative recruitment for the first month (e.g., January;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m=1</m:t>
            </m:r>
          </m:sub>
          <m:sup>
            <m:r>
              <w:rPr>
                <w:rFonts w:ascii="Cambria Math" w:eastAsiaTheme="minorEastAsia" w:hAnsi="Cambria Math"/>
              </w:rPr>
              <m:t>0</m:t>
            </m:r>
          </m:sup>
        </m:sSubSup>
      </m:oMath>
      <w:r>
        <w:rPr>
          <w:rFonts w:eastAsiaTheme="minorEastAsia"/>
        </w:rPr>
        <w:t>) to the initial age-0 age-class. The remaining age-classes (1 to maximum age (</w:t>
      </w:r>
      <w:proofErr w:type="spellStart"/>
      <w:r w:rsidRPr="005D3B15">
        <w:rPr>
          <w:rFonts w:eastAsiaTheme="minorEastAsia"/>
          <w:i/>
        </w:rPr>
        <w:t>a</w:t>
      </w:r>
      <w:r w:rsidRPr="005D3B15">
        <w:rPr>
          <w:rFonts w:eastAsiaTheme="minorEastAsia"/>
          <w:vertAlign w:val="subscript"/>
        </w:rPr>
        <w:t>max</w:t>
      </w:r>
      <w:proofErr w:type="spellEnd"/>
      <w:r>
        <w:rPr>
          <w:rFonts w:eastAsiaTheme="minorEastAsia"/>
        </w:rPr>
        <w:t>)) are then populated by applying the cumulative natural mortality (</w:t>
      </w:r>
      <w:r>
        <w:rPr>
          <w:rFonts w:eastAsiaTheme="minorEastAsia"/>
          <w:i/>
        </w:rPr>
        <w:t>M</w:t>
      </w:r>
      <w:r>
        <w:rPr>
          <w:rFonts w:eastAsiaTheme="minorEastAsia"/>
        </w:rPr>
        <w:t>) and the product of the cumulative post-spawning mortality (</w:t>
      </w:r>
      <m:oMath>
        <m:r>
          <w:rPr>
            <w:rFonts w:ascii="Cambria Math" w:eastAsiaTheme="minorEastAsia" w:hAnsi="Cambria Math"/>
          </w:rPr>
          <m:t>φ)</m:t>
        </m:r>
      </m:oMath>
      <w:r>
        <w:rPr>
          <w:rFonts w:eastAsiaTheme="minorEastAsia"/>
        </w:rPr>
        <w:t xml:space="preserve"> to the original expected recruitment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r>
          <w:rPr>
            <w:rFonts w:ascii="Cambria Math" w:eastAsiaTheme="minorEastAsia" w:hAnsi="Cambria Math"/>
          </w:rPr>
          <m:t>)</m:t>
        </m:r>
      </m:oMath>
      <w:r>
        <w:rPr>
          <w:rFonts w:eastAsiaTheme="minorEastAsia"/>
        </w:rPr>
        <w:t xml:space="preserve"> for each age-class (Equation 1, </w:t>
      </w:r>
      <w:r w:rsidR="00D639A9">
        <w:rPr>
          <w:rFonts w:eastAsiaTheme="minorEastAsia"/>
        </w:rPr>
        <w:t>Table S1-1</w:t>
      </w:r>
      <w:r>
        <w:rPr>
          <w:rFonts w:eastAsiaTheme="minorEastAsia"/>
        </w:rPr>
        <w:t xml:space="preserve">), where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oMath>
      <w:r>
        <w:rPr>
          <w:rFonts w:eastAsiaTheme="minorEastAsia"/>
        </w:rPr>
        <w:t xml:space="preserve"> is the expected fraction of mean annual recruitment for month </w:t>
      </w:r>
      <w:r>
        <w:rPr>
          <w:rFonts w:eastAsiaTheme="minorEastAsia"/>
          <w:i/>
        </w:rPr>
        <w:t>m</w:t>
      </w:r>
      <w:r>
        <w:rPr>
          <w:rFonts w:eastAsiaTheme="minorEastAsia"/>
        </w:rPr>
        <w:t xml:space="preserve">, where </w:t>
      </w:r>
      <w:r>
        <w:rPr>
          <w:rFonts w:eastAsiaTheme="minorEastAsia"/>
          <w:i/>
        </w:rPr>
        <w:t>m</w:t>
      </w:r>
      <w:r>
        <w:rPr>
          <w:rFonts w:eastAsiaTheme="minorEastAsia"/>
        </w:rPr>
        <w:t xml:space="preserve"> is the index corresponding with the calendar month (1 – 12) for the initial recruitment for each age-class</w:t>
      </w:r>
      <w:r w:rsidRPr="00B869FF">
        <w:rPr>
          <w:rFonts w:eastAsiaTheme="minorEastAsia"/>
        </w:rPr>
        <w:t xml:space="preserve"> </w:t>
      </w:r>
      <w:r>
        <w:rPr>
          <w:rFonts w:eastAsiaTheme="minorEastAsia"/>
        </w:rPr>
        <w:t xml:space="preserve">(Equation 2; see </w:t>
      </w:r>
      <w:r w:rsidR="00D639A9">
        <w:rPr>
          <w:rFonts w:eastAsiaTheme="minorEastAsia"/>
        </w:rPr>
        <w:t xml:space="preserve">Table S1-3 </w:t>
      </w:r>
      <w:r>
        <w:rPr>
          <w:rFonts w:eastAsiaTheme="minorEastAsia"/>
        </w:rPr>
        <w:t>for a definition of all symbols). Then the unfished population in the remaining 11 months of the unfished initial year were populated with the usual recursive equation</w:t>
      </w:r>
      <w:r w:rsidRPr="005C0EA9">
        <w:rPr>
          <w:rFonts w:eastAsiaTheme="minorEastAsia"/>
        </w:rPr>
        <w:t xml:space="preserve"> </w:t>
      </w:r>
      <w:r>
        <w:rPr>
          <w:rFonts w:eastAsiaTheme="minorEastAsia"/>
        </w:rPr>
        <w:t xml:space="preserve">(Equation 3; </w:t>
      </w:r>
      <w:r w:rsidR="00D639A9">
        <w:rPr>
          <w:rFonts w:eastAsiaTheme="minorEastAsia"/>
        </w:rPr>
        <w:t>Table S1-1</w:t>
      </w:r>
      <w:r>
        <w:rPr>
          <w:rFonts w:eastAsiaTheme="minorEastAsia"/>
        </w:rPr>
        <w:t xml:space="preserve">). </w:t>
      </w:r>
    </w:p>
    <w:p w:rsidR="004170E7" w:rsidRPr="002C2DF1" w:rsidRDefault="004170E7" w:rsidP="004170E7">
      <w:pPr>
        <w:rPr>
          <w:rFonts w:eastAsiaTheme="minorEastAsia"/>
        </w:rPr>
      </w:pPr>
      <w:r>
        <w:rPr>
          <w:rFonts w:eastAsiaTheme="minorEastAsia"/>
        </w:rPr>
        <w:t>An equilibrium fished population was then generated by applying an initial equilibrium fishing mortality (</w:t>
      </w:r>
      <w:proofErr w:type="spellStart"/>
      <w:r w:rsidRPr="00EB6058">
        <w:rPr>
          <w:rFonts w:eastAsiaTheme="minorEastAsia"/>
          <w:i/>
        </w:rPr>
        <w:t>F</w:t>
      </w:r>
      <w:r w:rsidRPr="00EB6058">
        <w:rPr>
          <w:rFonts w:eastAsiaTheme="minorEastAsia"/>
          <w:vertAlign w:val="subscript"/>
        </w:rPr>
        <w:t>init</w:t>
      </w:r>
      <w:proofErr w:type="spellEnd"/>
      <w:r>
        <w:rPr>
          <w:rFonts w:eastAsiaTheme="minorEastAsia"/>
        </w:rPr>
        <w:t xml:space="preserve">) to the equilibrium unfished population (Equations 5-7, </w:t>
      </w:r>
      <w:r w:rsidR="00D639A9">
        <w:rPr>
          <w:rFonts w:eastAsiaTheme="minorEastAsia"/>
        </w:rPr>
        <w:t>Table S1-1</w:t>
      </w:r>
      <w:r>
        <w:rPr>
          <w:rFonts w:eastAsiaTheme="minorEastAsia"/>
        </w:rPr>
        <w:t>). This was done by iterating the model over 48 time-steps (enough to reach equilibrium for a short-lived species) using a recursive equation where the expected recruitment to age-0 for each month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m:t>
        </m:r>
      </m:oMath>
      <w:r>
        <w:rPr>
          <w:rFonts w:eastAsiaTheme="minorEastAsia"/>
        </w:rPr>
        <w:t xml:space="preserve"> was calculated from a Beverton-Holt stock recruitment function, and the spawning biomass calculated in the middle of each time-step (Equations 8 -12, </w:t>
      </w:r>
      <w:r w:rsidR="00D639A9">
        <w:rPr>
          <w:rFonts w:eastAsiaTheme="minorEastAsia"/>
        </w:rPr>
        <w:t>Table S1-1</w:t>
      </w:r>
      <w:r>
        <w:rPr>
          <w:rFonts w:eastAsiaTheme="minorEastAsia"/>
        </w:rPr>
        <w:t xml:space="preserve">). </w:t>
      </w:r>
      <w:proofErr w:type="spellStart"/>
      <w:r w:rsidRPr="00EB6058">
        <w:rPr>
          <w:rFonts w:eastAsiaTheme="minorEastAsia"/>
          <w:i/>
        </w:rPr>
        <w:t>F</w:t>
      </w:r>
      <w:r w:rsidRPr="00EB6058">
        <w:rPr>
          <w:rFonts w:eastAsiaTheme="minorEastAsia"/>
          <w:vertAlign w:val="subscript"/>
        </w:rPr>
        <w:t>init</w:t>
      </w:r>
      <w:proofErr w:type="spellEnd"/>
      <w:r>
        <w:rPr>
          <w:rFonts w:eastAsiaTheme="minorEastAsia"/>
        </w:rPr>
        <w:t xml:space="preserve"> is calculated as the mean of the time-series of estimated fishing mortality. This assumes that the initial fished population is an equilibrium state with respect to fishing mortality. </w:t>
      </w:r>
    </w:p>
    <w:p w:rsidR="004170E7" w:rsidRDefault="004170E7" w:rsidP="004170E7">
      <w:pPr>
        <w:rPr>
          <w:rFonts w:eastAsiaTheme="minorEastAsia"/>
        </w:rPr>
      </w:pPr>
      <w:r>
        <w:rPr>
          <w:rFonts w:eastAsiaTheme="minorEastAsia"/>
        </w:rPr>
        <w:t xml:space="preserve">Next, the population dynamics were calculated for the fished population for all the time-steps in the model (Equations 13 -15, </w:t>
      </w:r>
      <w:r w:rsidR="00D639A9">
        <w:rPr>
          <w:rFonts w:eastAsiaTheme="minorEastAsia"/>
        </w:rPr>
        <w:t>Table S1-1</w:t>
      </w:r>
      <w:r>
        <w:rPr>
          <w:rFonts w:eastAsiaTheme="minorEastAsia"/>
        </w:rPr>
        <w:t xml:space="preserve">). Catch-at-age was calculated in the middle of each time-step, assuming half of the natural- and post-spawning mortality for that month had </w:t>
      </w:r>
      <w:r>
        <w:rPr>
          <w:rFonts w:eastAsiaTheme="minorEastAsia"/>
        </w:rPr>
        <w:lastRenderedPageBreak/>
        <w:t xml:space="preserve">occurred, and then summed over ages and multiplied by mean weight-at-age to generate a time-series of catch biomass by month (Equations 16 -17, </w:t>
      </w:r>
      <w:r w:rsidR="00D639A9">
        <w:rPr>
          <w:rFonts w:eastAsiaTheme="minorEastAsia"/>
        </w:rPr>
        <w:t>Table S1-1</w:t>
      </w:r>
      <w:r>
        <w:rPr>
          <w:rFonts w:eastAsiaTheme="minorEastAsia"/>
        </w:rPr>
        <w:t xml:space="preserve">). Total and vulnerable biomass were calculated for each month (Equations 18 -19, </w:t>
      </w:r>
      <w:r w:rsidR="00D639A9">
        <w:rPr>
          <w:rFonts w:eastAsiaTheme="minorEastAsia"/>
        </w:rPr>
        <w:t>Table S1-1</w:t>
      </w:r>
      <w:r>
        <w:rPr>
          <w:rFonts w:eastAsiaTheme="minorEastAsia"/>
        </w:rPr>
        <w:t>). The spawning potential rate was calculated for each monthly time-step by dividing the eggs-per-recruit</w:t>
      </w:r>
      <w:r w:rsidRPr="004204EE">
        <w:rPr>
          <w:rFonts w:eastAsiaTheme="minorEastAsia"/>
        </w:rPr>
        <w:t xml:space="preserve"> </w:t>
      </w:r>
      <w:r>
        <w:rPr>
          <w:rFonts w:eastAsiaTheme="minorEastAsia"/>
        </w:rPr>
        <w:t xml:space="preserve">expected lifetime egg production of a fished cohort in a given time-step by the expected lifetime egg production for an unfished cohort (Equations 20 – 22, </w:t>
      </w:r>
      <w:r w:rsidR="00D639A9">
        <w:rPr>
          <w:rFonts w:eastAsiaTheme="minorEastAsia"/>
        </w:rPr>
        <w:t>Table S1-1</w:t>
      </w:r>
      <w:r>
        <w:rPr>
          <w:rFonts w:eastAsiaTheme="minorEastAsia"/>
        </w:rPr>
        <w:t xml:space="preserve">). </w:t>
      </w:r>
    </w:p>
    <w:p w:rsidR="004170E7" w:rsidRDefault="004170E7" w:rsidP="004170E7">
      <w:pPr>
        <w:rPr>
          <w:rFonts w:eastAsiaTheme="minorEastAsia"/>
        </w:rPr>
      </w:pPr>
      <w:r>
        <w:rPr>
          <w:rFonts w:eastAsiaTheme="minorEastAsia"/>
        </w:rPr>
        <w:t xml:space="preserve">The predicted proportion of catch (in numbers) in each weight class in each time-step was calculated assuming weight-at-age was log-normally distributed with a constant standard deviation for all ages and months (Equations 23 – 25, </w:t>
      </w:r>
      <w:r w:rsidR="00D639A9">
        <w:rPr>
          <w:rFonts w:eastAsiaTheme="minorEastAsia"/>
        </w:rPr>
        <w:t>Table S1-1</w:t>
      </w:r>
      <w:r>
        <w:rPr>
          <w:rFonts w:eastAsiaTheme="minorEastAsia"/>
        </w:rPr>
        <w:t xml:space="preserve">). Finally, the predicted index of fishing effort </w:t>
      </w:r>
      <m:oMath>
        <m:d>
          <m:dPr>
            <m:ctrlPr>
              <w:rPr>
                <w:rFonts w:ascii="Cambria Math" w:hAnsi="Cambria Math"/>
              </w:rPr>
            </m:ctrlPr>
          </m:dPr>
          <m:e>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pred</m:t>
                </m:r>
              </m:sup>
            </m:sSubSup>
          </m:e>
        </m:d>
      </m:oMath>
      <w:r>
        <w:rPr>
          <w:rFonts w:eastAsiaTheme="minorEastAsia"/>
        </w:rPr>
        <w:t xml:space="preserve">, predicted index of abundance </w:t>
      </w:r>
      <m:oMath>
        <m:d>
          <m:dPr>
            <m:ctrlPr>
              <w:rPr>
                <w:rFonts w:ascii="Cambria Math" w:hAnsi="Cambria Math"/>
              </w:rPr>
            </m:ctrlPr>
          </m:dPr>
          <m:e>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pred</m:t>
                </m:r>
              </m:sup>
            </m:sSubSup>
          </m:e>
        </m:d>
      </m:oMath>
      <w:r>
        <w:rPr>
          <w:rFonts w:eastAsiaTheme="minorEastAsia"/>
        </w:rPr>
        <w:t xml:space="preserve">, and predicted index of catch </w:t>
      </w:r>
      <m:oMath>
        <m:d>
          <m:dPr>
            <m:ctrlPr>
              <w:rPr>
                <w:rFonts w:ascii="Cambria Math" w:hAnsi="Cambria Math"/>
              </w:rPr>
            </m:ctrlPr>
          </m:dPr>
          <m:e>
            <m:sSubSup>
              <m:sSubSupPr>
                <m:ctrlPr>
                  <w:rPr>
                    <w:rFonts w:ascii="Cambria Math" w:hAnsi="Cambria Math"/>
                  </w:rPr>
                </m:ctrlPr>
              </m:sSubSupPr>
              <m:e>
                <m:r>
                  <w:rPr>
                    <w:rFonts w:ascii="Cambria Math" w:hAnsi="Cambria Math"/>
                  </w:rPr>
                  <m:t>CB</m:t>
                </m:r>
              </m:e>
              <m:sub>
                <m:r>
                  <w:rPr>
                    <w:rFonts w:ascii="Cambria Math" w:hAnsi="Cambria Math"/>
                  </w:rPr>
                  <m:t>t</m:t>
                </m:r>
              </m:sub>
              <m:sup>
                <m:r>
                  <m:rPr>
                    <m:nor/>
                  </m:rPr>
                  <m:t>pred</m:t>
                </m:r>
              </m:sup>
            </m:sSubSup>
          </m:e>
        </m:d>
      </m:oMath>
      <w:r>
        <w:rPr>
          <w:rFonts w:eastAsiaTheme="minorEastAsia"/>
        </w:rPr>
        <w:t xml:space="preserve"> were calculated by dividing the monthly fishing mortality, monthly vulnerable biomass, and monthly catch biomass by their respective mean values over the entire time-series (Equations 25 – 27, </w:t>
      </w:r>
      <w:r w:rsidR="00D639A9">
        <w:rPr>
          <w:rFonts w:eastAsiaTheme="minorEastAsia"/>
        </w:rPr>
        <w:t>Table S1-1</w:t>
      </w:r>
      <w:r>
        <w:rPr>
          <w:rFonts w:eastAsiaTheme="minorEastAsia"/>
        </w:rPr>
        <w:t>).</w:t>
      </w:r>
    </w:p>
    <w:p w:rsidR="004170E7" w:rsidRDefault="004170E7" w:rsidP="004170E7">
      <w:r>
        <w:t xml:space="preserve">The joint negative log-likelihood </w:t>
      </w:r>
      <m:oMath>
        <m:d>
          <m:dPr>
            <m:ctrlPr>
              <w:rPr>
                <w:rFonts w:ascii="Cambria Math" w:hAnsi="Cambria Math"/>
                <w:i/>
              </w:rPr>
            </m:ctrlPr>
          </m:dPr>
          <m:e>
            <m:sSub>
              <m:sSubPr>
                <m:ctrlPr>
                  <w:rPr>
                    <w:rFonts w:ascii="Cambria Math" w:hAnsi="Cambria Math"/>
                    <w:i/>
                  </w:rPr>
                </m:ctrlPr>
              </m:sSubPr>
              <m:e>
                <m:r>
                  <w:rPr>
                    <w:rFonts w:ascii="Cambria Math" w:hAnsi="Cambria Math"/>
                  </w:rPr>
                  <m:t>NLL</m:t>
                </m:r>
              </m:e>
              <m:sub>
                <m:r>
                  <m:rPr>
                    <m:nor/>
                  </m:rPr>
                  <w:rPr>
                    <w:rFonts w:ascii="Cambria Math" w:hAnsi="Cambria Math"/>
                  </w:rPr>
                  <m:t>total</m:t>
                </m:r>
              </m:sub>
            </m:sSub>
          </m:e>
        </m:d>
      </m:oMath>
      <w:r>
        <w:t xml:space="preserve"> was calculated as the sum of the negative log-likelihoods of the weight composition data (multinomial with a user-defined effective sample size; Equation 29, </w:t>
      </w:r>
      <w:r w:rsidR="00D639A9">
        <w:t>Table S1-2</w:t>
      </w:r>
      <w:r>
        <w:t xml:space="preserve">) and the negative log-likelihoods of the effort, catch, and abundance indices, if they exist (log-normal; Equations 30 – 32, </w:t>
      </w:r>
      <w:r w:rsidR="00D639A9">
        <w:t>Table S1-2</w:t>
      </w:r>
      <w:r>
        <w:t xml:space="preserve">), plus the negative log-likelihood of the recruitment deviations (log-normal; Equation 33, </w:t>
      </w:r>
      <w:r w:rsidR="00D639A9">
        <w:t>Table S1-2</w:t>
      </w:r>
      <w:r>
        <w:t xml:space="preserve">) and the optional penalty terms (described below; Equations 34 – 35, </w:t>
      </w:r>
      <w:r w:rsidR="00D639A9">
        <w:t>Table S1-2</w:t>
      </w:r>
      <w:r>
        <w:t xml:space="preserve">). </w:t>
      </w:r>
    </w:p>
    <w:p w:rsidR="004170E7" w:rsidRDefault="004170E7" w:rsidP="004170E7">
      <w:r>
        <w:t xml:space="preserve">The recruitment deviations in each time-step can be treated as random effects, with the standard deviation of the distribution estimated as a fixed effect. However, this can lead to model instability and poor estimation performance, and consequently the default behavior of the model is to estimate the recruitment deviations using a penalized likelihood with a user-specified standard deviation. </w:t>
      </w:r>
    </w:p>
    <w:p w:rsidR="004170E7" w:rsidRDefault="004170E7" w:rsidP="004170E7">
      <w:pPr>
        <w:rPr>
          <w:rFonts w:eastAsiaTheme="minorEastAsia"/>
        </w:rPr>
      </w:pPr>
      <w:r>
        <w:t xml:space="preserve">An option was included for </w:t>
      </w:r>
      <w:r w:rsidRPr="006927D6">
        <w:t>random-walk</w:t>
      </w:r>
      <w:r>
        <w:t xml:space="preserve"> penalties for both the monthly estimates of fishing mortality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e>
        </m:d>
      </m:oMath>
      <w:r>
        <w:rPr>
          <w:rFonts w:eastAsiaTheme="minorEastAsia"/>
        </w:rPr>
        <w:t xml:space="preserve">, and the fraction of expected annual recruitment in each calendar month </w:t>
      </w:r>
      <m:oMath>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e>
        </m:d>
      </m:oMath>
      <w:r>
        <w:rPr>
          <w:rFonts w:eastAsiaTheme="minorEastAsia"/>
        </w:rPr>
        <w:t xml:space="preserve">. These penalties shrink estimates of </w:t>
      </w:r>
      <w:r w:rsidRPr="006927D6">
        <w:rPr>
          <w:rFonts w:eastAsiaTheme="minorEastAsia"/>
          <w:i/>
        </w:rPr>
        <w:t>F</w:t>
      </w:r>
      <w:r>
        <w:rPr>
          <w:rFonts w:eastAsiaTheme="minorEastAsia"/>
        </w:rPr>
        <w:t xml:space="preserve"> in month </w:t>
      </w:r>
      <w:r>
        <w:rPr>
          <w:rFonts w:eastAsiaTheme="minorEastAsia"/>
          <w:i/>
        </w:rPr>
        <w:t>t</w:t>
      </w:r>
      <w:r w:rsidRPr="006927D6">
        <w:rPr>
          <w:rFonts w:eastAsiaTheme="minorEastAsia"/>
        </w:rPr>
        <w:t>+1</w:t>
      </w:r>
      <w:r>
        <w:rPr>
          <w:rFonts w:eastAsiaTheme="minorEastAsia"/>
          <w:i/>
        </w:rPr>
        <w:t xml:space="preserve"> </w:t>
      </w:r>
      <w:r>
        <w:rPr>
          <w:rFonts w:eastAsiaTheme="minorEastAsia"/>
        </w:rPr>
        <w:t xml:space="preserve">towards the estimate in month </w:t>
      </w:r>
      <w:r>
        <w:rPr>
          <w:rFonts w:eastAsiaTheme="minorEastAsia"/>
          <w:i/>
        </w:rPr>
        <w:t>t</w:t>
      </w:r>
      <w:r>
        <w:rPr>
          <w:rFonts w:eastAsiaTheme="minorEastAsia"/>
        </w:rPr>
        <w:t xml:space="preserve">, and the estimate of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oMath>
      <w:r>
        <w:rPr>
          <w:rFonts w:eastAsiaTheme="minorEastAsia"/>
        </w:rPr>
        <w:t xml:space="preserve"> in month </w:t>
      </w:r>
      <w:r>
        <w:rPr>
          <w:rFonts w:eastAsiaTheme="minorEastAsia"/>
          <w:i/>
        </w:rPr>
        <w:t>m+1</w:t>
      </w:r>
      <w:r>
        <w:rPr>
          <w:rFonts w:eastAsiaTheme="minorEastAsia"/>
        </w:rPr>
        <w:t xml:space="preserve"> to the estimate in month </w:t>
      </w:r>
      <w:r>
        <w:rPr>
          <w:rFonts w:eastAsiaTheme="minorEastAsia"/>
          <w:i/>
        </w:rPr>
        <w:t>m</w:t>
      </w:r>
      <w:r>
        <w:rPr>
          <w:rFonts w:eastAsiaTheme="minorEastAsia"/>
        </w:rPr>
        <w:t xml:space="preserve"> (for </w:t>
      </w:r>
      <w:r>
        <w:rPr>
          <w:rFonts w:eastAsiaTheme="minorEastAsia"/>
          <w:i/>
        </w:rPr>
        <w:t>m=</w:t>
      </w:r>
      <w:r>
        <w:rPr>
          <w:rFonts w:eastAsiaTheme="minorEastAsia"/>
        </w:rPr>
        <w:t xml:space="preserve">1 the random walk penalty is calculated from </w:t>
      </w:r>
      <w:r>
        <w:rPr>
          <w:rFonts w:eastAsiaTheme="minorEastAsia"/>
          <w:i/>
        </w:rPr>
        <w:t>m=</w:t>
      </w:r>
      <w:r>
        <w:rPr>
          <w:rFonts w:eastAsiaTheme="minorEastAsia"/>
        </w:rPr>
        <w:t xml:space="preserve">12), and prevent large inter-monthly changes in these values.  </w:t>
      </w:r>
    </w:p>
    <w:p w:rsidR="004170E7" w:rsidRDefault="004170E7" w:rsidP="004170E7">
      <w:pPr>
        <w:rPr>
          <w:rFonts w:eastAsiaTheme="minorEastAsia"/>
        </w:rPr>
      </w:pPr>
      <w:r>
        <w:rPr>
          <w:rFonts w:eastAsiaTheme="minorEastAsia"/>
        </w:rPr>
        <w:lastRenderedPageBreak/>
        <w:t xml:space="preserve">A HARA (hyperbolic absolute risk aversion) model </w:t>
      </w:r>
      <w:r>
        <w:rPr>
          <w:rFonts w:eastAsiaTheme="minorEastAsia"/>
        </w:rPr>
        <w:fldChar w:fldCharType="begin"/>
      </w:r>
      <w:r>
        <w:rPr>
          <w:rFonts w:eastAsiaTheme="minorEastAsia"/>
        </w:rPr>
        <w:instrText xml:space="preserve"> ADDIN ZOTERO_ITEM CSL_CITATION {"citationID":"o4NTJc6C","properties":{"formattedCitation":"(Mendelssohn, 1982)","plainCitation":"(Mendelssohn, 1982)","noteIndex":0},"citationItems":[{"id":797,"uris":["http://zotero.org/users/2712903/items/EDJ2CEW9"],"itemData":{"id":797,"type":"article-journal","container-title":"Canadian Journal of Fisheries and Aquatic Sciences","DOI":"10.1139/f82-166","ISSN":"0706-652X","issue":"9","journalAbbreviation":"Can. J. Fish. Aquat. Sci.","note":"publisher: NRC Research Press","page":"1252-1257","source":"cdnsciencepub.com (Atypon)","title":"Discount Factors and Risk Aversion in Managing Random Fish Populations","volume":"39","author":[{"family":"Mendelssohn","given":"Roy"}],"issued":{"date-parts":[["1982"]]}}}],"schema":"https://github.com/citation-style-language/schema/raw/master/csl-citation.json"} </w:instrText>
      </w:r>
      <w:r>
        <w:rPr>
          <w:rFonts w:eastAsiaTheme="minorEastAsia"/>
        </w:rPr>
        <w:fldChar w:fldCharType="separate"/>
      </w:r>
      <w:r w:rsidRPr="000B47E3">
        <w:rPr>
          <w:rFonts w:cs="Times New Roman"/>
        </w:rPr>
        <w:t>(Mendelssohn, 1982)</w:t>
      </w:r>
      <w:r>
        <w:rPr>
          <w:rFonts w:eastAsiaTheme="minorEastAsia"/>
        </w:rPr>
        <w:fldChar w:fldCharType="end"/>
      </w:r>
      <w:r>
        <w:rPr>
          <w:rFonts w:eastAsiaTheme="minorEastAsia"/>
        </w:rPr>
        <w:t xml:space="preserve"> was used to calculate the pattern in monthly fishing mortality that results in the highest utility. This model </w:t>
      </w:r>
      <w:r>
        <w:t xml:space="preserve">follows the same structure as the assessment model, with the exception that there was no process error on recruitment </w:t>
      </w:r>
      <m:oMath>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=0</m:t>
            </m:r>
          </m:e>
        </m:d>
      </m:oMath>
      <w:r>
        <w:rPr>
          <w:rFonts w:eastAsiaTheme="minorEastAsia"/>
        </w:rPr>
        <w:t>, and the model was run until the population was in equilibrium.</w:t>
      </w:r>
    </w:p>
    <w:p w:rsidR="004170E7" w:rsidRDefault="004170E7" w:rsidP="004170E7">
      <w:pPr>
        <w:rPr>
          <w:rFonts w:eastAsiaTheme="minorEastAsia"/>
        </w:rPr>
      </w:pPr>
      <w:r>
        <w:rPr>
          <w:rFonts w:eastAsiaTheme="minorEastAsia"/>
        </w:rPr>
        <w:t xml:space="preserve">Relative annual utility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e>
        </m:d>
      </m:oMath>
      <w:r>
        <w:rPr>
          <w:rFonts w:eastAsiaTheme="minorEastAsia"/>
        </w:rPr>
        <w:t xml:space="preserve"> was calculated using the HARA model of the form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r>
          <w:rPr>
            <w:rFonts w:ascii="Cambria Math" w:hAnsi="Cambria Math"/>
          </w:rPr>
          <m:t>=</m:t>
        </m:r>
        <m:nary>
          <m:naryPr>
            <m:chr m:val="∑"/>
            <m:limLoc m:val="subSup"/>
            <m:ctrlPr>
              <w:rPr>
                <w:rFonts w:ascii="Cambria Math" w:hAnsi="Cambria Math"/>
                <w:i/>
              </w:rPr>
            </m:ctrlPr>
          </m:naryPr>
          <m:sub>
            <m:r>
              <w:rPr>
                <w:rFonts w:ascii="Cambria Math" w:hAnsi="Cambria Math"/>
              </w:rPr>
              <m:t>m=1</m:t>
            </m:r>
          </m:sub>
          <m:sup>
            <m:r>
              <w:rPr>
                <w:rFonts w:ascii="Cambria Math" w:hAnsi="Cambria Math"/>
              </w:rPr>
              <m:t>12</m:t>
            </m:r>
          </m:sup>
          <m:e>
            <m:sSup>
              <m:sSupPr>
                <m:ctrlPr>
                  <w:rPr>
                    <w:rFonts w:ascii="Cambria Math" w:hAnsi="Cambria Math"/>
                    <w:i/>
                  </w:rPr>
                </m:ctrlPr>
              </m:sSupPr>
              <m:e>
                <m:sSub>
                  <m:sSubPr>
                    <m:ctrlPr>
                      <w:rPr>
                        <w:rFonts w:ascii="Cambria Math" w:hAnsi="Cambria Math"/>
                        <w:i/>
                      </w:rPr>
                    </m:ctrlPr>
                  </m:sSubPr>
                  <m:e>
                    <m:r>
                      <w:rPr>
                        <w:rFonts w:ascii="Cambria Math" w:hAnsi="Cambria Math"/>
                      </w:rPr>
                      <m:t>CB</m:t>
                    </m:r>
                  </m:e>
                  <m:sub>
                    <m:r>
                      <w:rPr>
                        <w:rFonts w:ascii="Cambria Math" w:hAnsi="Cambria Math"/>
                      </w:rPr>
                      <m:t>m</m:t>
                    </m:r>
                  </m:sub>
                </m:sSub>
              </m:e>
              <m:sup>
                <m:r>
                  <w:rPr>
                    <w:rFonts w:ascii="Cambria Math" w:hAnsi="Cambria Math"/>
                  </w:rPr>
                  <m:t>λ</m:t>
                </m:r>
              </m:sup>
            </m:sSup>
          </m:e>
        </m:nary>
      </m:oMath>
      <w:r>
        <w:rPr>
          <w:rFonts w:eastAsiaTheme="minorEastAsia"/>
        </w:rPr>
        <w:t xml:space="preserve">, </w:t>
      </w:r>
      <w:r>
        <w:t xml:space="preserve">where </w:t>
      </w:r>
      <m:oMath>
        <m:r>
          <w:rPr>
            <w:rFonts w:ascii="Cambria Math" w:hAnsi="Cambria Math"/>
          </w:rPr>
          <m:t xml:space="preserve">λ </m:t>
        </m:r>
      </m:oMath>
      <w:r>
        <w:rPr>
          <w:rFonts w:eastAsiaTheme="minorEastAsia"/>
        </w:rPr>
        <w:t xml:space="preserve">is a measure of the relative degree of risk aversion, and </w:t>
      </w:r>
      <w:r w:rsidRPr="00F30383">
        <w:rPr>
          <w:rFonts w:eastAsiaTheme="minorEastAsia"/>
          <w:i/>
        </w:rPr>
        <w:t>m</w:t>
      </w:r>
      <w:r>
        <w:rPr>
          <w:rFonts w:eastAsiaTheme="minorEastAsia"/>
        </w:rPr>
        <w:t xml:space="preserve"> is the calendar month (i.e., 1 – 12) in year </w:t>
      </w:r>
      <w:r>
        <w:rPr>
          <w:rFonts w:eastAsiaTheme="minorEastAsia"/>
          <w:i/>
        </w:rPr>
        <w:t>y</w:t>
      </w:r>
      <w:r>
        <w:rPr>
          <w:rFonts w:eastAsiaTheme="minorEastAsia"/>
        </w:rPr>
        <w:t xml:space="preserve">. </w:t>
      </w:r>
    </w:p>
    <w:p w:rsidR="004170E7" w:rsidRDefault="004170E7" w:rsidP="004170E7">
      <w:pPr>
        <w:rPr>
          <w:rFonts w:eastAsiaTheme="minorEastAsia"/>
        </w:rPr>
      </w:pPr>
      <w:r>
        <w:rPr>
          <w:rFonts w:eastAsiaTheme="minorEastAsia"/>
        </w:rPr>
        <w:t xml:space="preserve">The optimization model predicts the average fishing mortality for each calendar month that corresponds with the highest utility </w:t>
      </w:r>
      <m:oMath>
        <m:d>
          <m:dPr>
            <m:ctrlPr>
              <w:rPr>
                <w:rFonts w:ascii="Cambria Math" w:eastAsiaTheme="minorEastAsia" w:hAnsi="Cambria Math"/>
                <w:i/>
              </w:rPr>
            </m:ctrlPr>
          </m:dPr>
          <m:e>
            <m:sSubSup>
              <m:sSubSupPr>
                <m:ctrlPr>
                  <w:rPr>
                    <w:rFonts w:ascii="Cambria Math" w:eastAsiaTheme="minorEastAsia" w:hAnsi="Cambria Math"/>
                    <w:i/>
                  </w:rPr>
                </m:ctrlPr>
              </m:sSubSupPr>
              <m:e>
                <m:r>
                  <m:rPr>
                    <m:nor/>
                  </m:rPr>
                  <w:rPr>
                    <w:rFonts w:ascii="Cambria Math" w:eastAsiaTheme="minorEastAsia" w:hAnsi="Cambria Math"/>
                  </w:rPr>
                  <m:t>F</m:t>
                </m:r>
              </m:e>
              <m:sub>
                <m:r>
                  <w:rPr>
                    <w:rFonts w:ascii="Cambria Math" w:eastAsiaTheme="minorEastAsia" w:hAnsi="Cambria Math"/>
                  </w:rPr>
                  <m:t>m</m:t>
                </m:r>
              </m:sub>
              <m:sup>
                <m:r>
                  <m:rPr>
                    <m:nor/>
                  </m:rPr>
                  <w:rPr>
                    <w:rFonts w:ascii="Cambria Math" w:eastAsiaTheme="minorEastAsia" w:hAnsi="Cambria Math"/>
                  </w:rPr>
                  <m:t>opt</m:t>
                </m:r>
              </m:sup>
            </m:sSubSup>
          </m:e>
        </m:d>
      </m:oMath>
      <w:r>
        <w:rPr>
          <w:rFonts w:eastAsiaTheme="minorEastAsia"/>
        </w:rPr>
        <w:t xml:space="preserve">; analogous to the </w:t>
      </w:r>
      <w:r w:rsidRPr="00D01143">
        <w:rPr>
          <w:rFonts w:eastAsiaTheme="minorEastAsia"/>
          <w:i/>
        </w:rPr>
        <w:t>F</w:t>
      </w:r>
      <w:r w:rsidRPr="00A80C9C">
        <w:rPr>
          <w:rFonts w:eastAsiaTheme="minorEastAsia"/>
          <w:vertAlign w:val="subscript"/>
        </w:rPr>
        <w:t>MSY</w:t>
      </w:r>
      <w:r>
        <w:rPr>
          <w:rFonts w:eastAsiaTheme="minorEastAsia"/>
        </w:rPr>
        <w:t xml:space="preserve"> metric often used as a reference point. Using this information together with the estimated selectivity-at-age schedule, and the user-defined life-history parameters, the optimal spawning potential ratio </w:t>
      </w:r>
      <m:oMath>
        <m:d>
          <m:dPr>
            <m:ctrlPr>
              <w:rPr>
                <w:rFonts w:ascii="Cambria Math" w:eastAsiaTheme="minorEastAsia" w:hAnsi="Cambria Math"/>
                <w:i/>
              </w:rPr>
            </m:ctrlPr>
          </m:dPr>
          <m:e>
            <m:sSubSup>
              <m:sSubSupPr>
                <m:ctrlPr>
                  <w:rPr>
                    <w:rFonts w:ascii="Cambria Math" w:eastAsiaTheme="minorEastAsia" w:hAnsi="Cambria Math"/>
                    <w:i/>
                  </w:rPr>
                </m:ctrlPr>
              </m:sSubSupPr>
              <m:e>
                <m:r>
                  <m:rPr>
                    <m:nor/>
                  </m:rPr>
                  <w:rPr>
                    <w:rFonts w:ascii="Cambria Math" w:eastAsiaTheme="minorEastAsia" w:hAnsi="Cambria Math"/>
                  </w:rPr>
                  <m:t>SPR</m:t>
                </m:r>
              </m:e>
              <m:sub>
                <m:r>
                  <w:rPr>
                    <w:rFonts w:ascii="Cambria Math" w:eastAsiaTheme="minorEastAsia" w:hAnsi="Cambria Math"/>
                  </w:rPr>
                  <m:t>m</m:t>
                </m:r>
              </m:sub>
              <m:sup>
                <m:r>
                  <m:rPr>
                    <m:nor/>
                  </m:rPr>
                  <w:rPr>
                    <w:rFonts w:ascii="Cambria Math" w:eastAsiaTheme="minorEastAsia" w:hAnsi="Cambria Math"/>
                  </w:rPr>
                  <m:t>opt</m:t>
                </m:r>
              </m:sup>
            </m:sSubSup>
          </m:e>
        </m:d>
      </m:oMath>
      <w:r>
        <w:rPr>
          <w:rFonts w:eastAsiaTheme="minorEastAsia"/>
        </w:rPr>
        <w:t xml:space="preserve"> was calculated for each calendar month.</w:t>
      </w:r>
    </w:p>
    <w:p w:rsidR="004170E7" w:rsidRDefault="004170E7" w:rsidP="004170E7">
      <w:pPr>
        <w:rPr>
          <w:rFonts w:eastAsiaTheme="minorEastAsia"/>
        </w:rPr>
      </w:pPr>
      <w:r>
        <w:rPr>
          <w:rFonts w:eastAsiaTheme="minorEastAsia"/>
        </w:rPr>
        <w:t xml:space="preserve">If there is no seasonal pattern in recruitment, the HARA model will recommend the same average fishing mortality for each month of the year. However, if there is a seasonal recruitment pattern, the recommended monthly pattern in fishing effort from the HARA model will depend on the value of the </w:t>
      </w:r>
      <m:oMath>
        <m:r>
          <w:rPr>
            <w:rFonts w:ascii="Cambria Math" w:hAnsi="Cambria Math"/>
          </w:rPr>
          <m:t>λ</m:t>
        </m:r>
      </m:oMath>
      <w:r>
        <w:rPr>
          <w:rFonts w:eastAsiaTheme="minorEastAsia"/>
        </w:rPr>
        <w:t xml:space="preserve"> parameter. When </w:t>
      </w:r>
      <m:oMath>
        <m:r>
          <w:rPr>
            <w:rFonts w:ascii="Cambria Math" w:hAnsi="Cambria Math"/>
          </w:rPr>
          <m:t>λ=1</m:t>
        </m:r>
      </m:oMath>
      <w:r>
        <w:rPr>
          <w:rFonts w:eastAsiaTheme="minorEastAsia"/>
        </w:rPr>
        <w:t>,</w:t>
      </w:r>
      <w:r w:rsidRPr="005C310A">
        <w:rPr>
          <w:rFonts w:eastAsiaTheme="minorEastAsia"/>
        </w:rPr>
        <w:t xml:space="preserve"> </w:t>
      </w:r>
      <w:r>
        <w:rPr>
          <w:rFonts w:eastAsiaTheme="minorEastAsia"/>
        </w:rPr>
        <w:t xml:space="preserve">the utility is the same whether catch is all taken in one month or spread out evenly throughout the year, and </w:t>
      </w:r>
      <m:oMath>
        <m:r>
          <w:rPr>
            <w:rFonts w:ascii="Cambria Math" w:hAnsi="Cambria Math"/>
          </w:rPr>
          <m:t>U</m:t>
        </m:r>
      </m:oMath>
      <w:r>
        <w:rPr>
          <w:rFonts w:eastAsiaTheme="minorEastAsia"/>
        </w:rPr>
        <w:t xml:space="preserve"> is simply the total annual catch corresponding with conventional maximum sustainable yield. When </w:t>
      </w:r>
      <m:oMath>
        <m:r>
          <w:rPr>
            <w:rFonts w:ascii="Cambria Math" w:eastAsiaTheme="minorEastAsia" w:hAnsi="Cambria Math"/>
          </w:rPr>
          <m:t>0&lt;</m:t>
        </m:r>
        <m:r>
          <w:rPr>
            <w:rFonts w:ascii="Cambria Math" w:hAnsi="Cambria Math"/>
          </w:rPr>
          <m:t>λ&lt;1</m:t>
        </m:r>
      </m:oMath>
      <w:r>
        <w:rPr>
          <w:rFonts w:eastAsiaTheme="minorEastAsia"/>
        </w:rPr>
        <w:t xml:space="preserve">, the marginal utility of each unit of catch decreases as the total catch increases, and utility is higher when the catches are more evenly distributed throughout the year. </w:t>
      </w:r>
    </w:p>
    <w:p w:rsidR="004170E7" w:rsidRDefault="004170E7" w:rsidP="004170E7">
      <w:pPr>
        <w:rPr>
          <w:rFonts w:eastAsiaTheme="minorEastAsia"/>
        </w:rPr>
      </w:pPr>
      <w:r>
        <w:rPr>
          <w:rFonts w:eastAsiaTheme="minorEastAsia"/>
        </w:rPr>
        <w:t>For example, with a seasonal recruitment pattern where most of the recruitment occurs in the middle of the year (</w:t>
      </w:r>
      <w:r>
        <w:rPr>
          <w:rFonts w:eastAsiaTheme="minorEastAsia"/>
        </w:rPr>
        <w:fldChar w:fldCharType="begin"/>
      </w:r>
      <w:r>
        <w:rPr>
          <w:rFonts w:eastAsiaTheme="minorEastAsia"/>
        </w:rPr>
        <w:instrText xml:space="preserve"> REF _Ref139632909 \h </w:instrText>
      </w:r>
      <w:r>
        <w:rPr>
          <w:rFonts w:eastAsiaTheme="minorEastAsia"/>
        </w:rPr>
      </w:r>
      <w:r>
        <w:rPr>
          <w:rFonts w:eastAsiaTheme="minorEastAsia"/>
        </w:rPr>
        <w:fldChar w:fldCharType="separate"/>
      </w:r>
      <w:r>
        <w:t xml:space="preserve">Figure </w:t>
      </w:r>
      <w:r>
        <w:rPr>
          <w:noProof/>
        </w:rPr>
        <w:t>2</w:t>
      </w:r>
      <w:r>
        <w:noBreakHyphen/>
      </w:r>
      <w:r>
        <w:rPr>
          <w:noProof/>
        </w:rPr>
        <w:t>1</w:t>
      </w:r>
      <w:r>
        <w:rPr>
          <w:rFonts w:eastAsiaTheme="minorEastAsia"/>
        </w:rPr>
        <w:fldChar w:fldCharType="end"/>
      </w:r>
      <w:r w:rsidR="00E0481C">
        <w:rPr>
          <w:rFonts w:eastAsiaTheme="minorEastAsia"/>
        </w:rPr>
        <w:t xml:space="preserve"> or Figure S1-1)</w:t>
      </w:r>
      <w:r>
        <w:rPr>
          <w:rFonts w:eastAsiaTheme="minorEastAsia"/>
        </w:rPr>
        <w:t xml:space="preserve">, the HARA model will recommend two discrete pulses in fishing effort, and a corresponding pattern in catch, when </w:t>
      </w:r>
      <m:oMath>
        <m:r>
          <w:rPr>
            <w:rFonts w:ascii="Cambria Math" w:hAnsi="Cambria Math"/>
          </w:rPr>
          <m:t>λ=1</m:t>
        </m:r>
      </m:oMath>
      <w:r>
        <w:rPr>
          <w:rFonts w:eastAsiaTheme="minorEastAsia"/>
        </w:rPr>
        <w:t xml:space="preserve"> (</w:t>
      </w:r>
      <w:r>
        <w:rPr>
          <w:rFonts w:eastAsiaTheme="minorEastAsia"/>
        </w:rPr>
        <w:fldChar w:fldCharType="begin"/>
      </w:r>
      <w:r>
        <w:rPr>
          <w:rFonts w:eastAsiaTheme="minorEastAsia"/>
        </w:rPr>
        <w:instrText xml:space="preserve"> REF _Ref139632956 \h </w:instrText>
      </w:r>
      <w:r>
        <w:rPr>
          <w:rFonts w:eastAsiaTheme="minorEastAsia"/>
        </w:rPr>
      </w:r>
      <w:r>
        <w:rPr>
          <w:rFonts w:eastAsiaTheme="minorEastAsia"/>
        </w:rPr>
        <w:fldChar w:fldCharType="separate"/>
      </w:r>
      <w:r>
        <w:t xml:space="preserve">Figure </w:t>
      </w:r>
      <w:r>
        <w:rPr>
          <w:noProof/>
        </w:rPr>
        <w:t>2</w:t>
      </w:r>
      <w:r>
        <w:noBreakHyphen/>
      </w:r>
      <w:r>
        <w:rPr>
          <w:noProof/>
        </w:rPr>
        <w:t>2</w:t>
      </w:r>
      <w:r>
        <w:rPr>
          <w:rFonts w:eastAsiaTheme="minorEastAsia"/>
        </w:rPr>
        <w:fldChar w:fldCharType="end"/>
      </w:r>
      <w:r w:rsidR="00E0481C">
        <w:rPr>
          <w:rFonts w:eastAsiaTheme="minorEastAsia"/>
        </w:rPr>
        <w:t xml:space="preserve"> or Figure S1-2</w:t>
      </w:r>
      <w:r>
        <w:rPr>
          <w:rFonts w:eastAsiaTheme="minorEastAsia"/>
        </w:rPr>
        <w:t xml:space="preserve">, right column). As the value of the </w:t>
      </w:r>
      <m:oMath>
        <m:r>
          <w:rPr>
            <w:rFonts w:ascii="Cambria Math" w:hAnsi="Cambria Math"/>
          </w:rPr>
          <m:t>λ</m:t>
        </m:r>
      </m:oMath>
      <w:r>
        <w:rPr>
          <w:rFonts w:eastAsiaTheme="minorEastAsia"/>
        </w:rPr>
        <w:t xml:space="preserve"> parameter decreases (i.e., increased risk aversion), the HARA model recommends a more stable pattern in fishing effort throughout the year (</w:t>
      </w:r>
      <w:r>
        <w:rPr>
          <w:rFonts w:eastAsiaTheme="minorEastAsia"/>
        </w:rPr>
        <w:fldChar w:fldCharType="begin"/>
      </w:r>
      <w:r>
        <w:rPr>
          <w:rFonts w:eastAsiaTheme="minorEastAsia"/>
        </w:rPr>
        <w:instrText xml:space="preserve"> REF _Ref139632956 \h </w:instrText>
      </w:r>
      <w:r>
        <w:rPr>
          <w:rFonts w:eastAsiaTheme="minorEastAsia"/>
        </w:rPr>
      </w:r>
      <w:r>
        <w:rPr>
          <w:rFonts w:eastAsiaTheme="minorEastAsia"/>
        </w:rPr>
        <w:fldChar w:fldCharType="separate"/>
      </w:r>
      <w:r>
        <w:t xml:space="preserve">Figure </w:t>
      </w:r>
      <w:r>
        <w:rPr>
          <w:noProof/>
        </w:rPr>
        <w:t>2</w:t>
      </w:r>
      <w:r>
        <w:noBreakHyphen/>
      </w:r>
      <w:r>
        <w:rPr>
          <w:noProof/>
        </w:rPr>
        <w:t>2</w:t>
      </w:r>
      <w:r>
        <w:rPr>
          <w:rFonts w:eastAsiaTheme="minorEastAsia"/>
        </w:rPr>
        <w:fldChar w:fldCharType="end"/>
      </w:r>
      <w:r w:rsidR="00E0481C">
        <w:rPr>
          <w:rFonts w:eastAsiaTheme="minorEastAsia"/>
        </w:rPr>
        <w:t xml:space="preserve"> or Figure S1-2</w:t>
      </w:r>
      <w:r>
        <w:rPr>
          <w:rFonts w:eastAsiaTheme="minorEastAsia"/>
        </w:rPr>
        <w:t xml:space="preserve">). In this example at least, the total annual catch with </w:t>
      </w:r>
      <m:oMath>
        <m:r>
          <w:rPr>
            <w:rFonts w:ascii="Cambria Math" w:hAnsi="Cambria Math"/>
          </w:rPr>
          <m:t>λ&lt;1</m:t>
        </m:r>
      </m:oMath>
      <w:r>
        <w:rPr>
          <w:rFonts w:eastAsiaTheme="minorEastAsia"/>
        </w:rPr>
        <w:t xml:space="preserve"> are only marginally lower than the maximum sustainable yield (</w:t>
      </w:r>
      <m:oMath>
        <m:r>
          <w:rPr>
            <w:rFonts w:ascii="Cambria Math" w:hAnsi="Cambria Math"/>
          </w:rPr>
          <m:t>λ=1)</m:t>
        </m:r>
      </m:oMath>
      <w:r>
        <w:rPr>
          <w:rFonts w:eastAsiaTheme="minorEastAsia"/>
        </w:rPr>
        <w:t>, but there is considerably less variation in fishing effort and catches throughout the year (</w:t>
      </w:r>
      <w:r>
        <w:rPr>
          <w:rFonts w:eastAsiaTheme="minorEastAsia"/>
        </w:rPr>
        <w:fldChar w:fldCharType="begin"/>
      </w:r>
      <w:r>
        <w:rPr>
          <w:rFonts w:eastAsiaTheme="minorEastAsia"/>
        </w:rPr>
        <w:instrText xml:space="preserve"> REF _Ref139632956 \h </w:instrText>
      </w:r>
      <w:r>
        <w:rPr>
          <w:rFonts w:eastAsiaTheme="minorEastAsia"/>
        </w:rPr>
      </w:r>
      <w:r>
        <w:rPr>
          <w:rFonts w:eastAsiaTheme="minorEastAsia"/>
        </w:rPr>
        <w:fldChar w:fldCharType="separate"/>
      </w:r>
      <w:r>
        <w:t xml:space="preserve">Figure </w:t>
      </w:r>
      <w:r>
        <w:rPr>
          <w:noProof/>
        </w:rPr>
        <w:t>2</w:t>
      </w:r>
      <w:r>
        <w:noBreakHyphen/>
      </w:r>
      <w:r>
        <w:rPr>
          <w:noProof/>
        </w:rPr>
        <w:t>2</w:t>
      </w:r>
      <w:r>
        <w:rPr>
          <w:rFonts w:eastAsiaTheme="minorEastAsia"/>
        </w:rPr>
        <w:fldChar w:fldCharType="end"/>
      </w:r>
      <w:r w:rsidR="00E0481C">
        <w:rPr>
          <w:rFonts w:eastAsiaTheme="minorEastAsia"/>
        </w:rPr>
        <w:t xml:space="preserve"> or Figure S1-2</w:t>
      </w:r>
      <w:r>
        <w:rPr>
          <w:rFonts w:eastAsiaTheme="minorEastAsia"/>
        </w:rPr>
        <w:t xml:space="preserve">). </w:t>
      </w:r>
    </w:p>
    <w:p w:rsidR="004170E7" w:rsidRDefault="004170E7" w:rsidP="004170E7">
      <w:pPr>
        <w:rPr>
          <w:rFonts w:eastAsiaTheme="minorEastAsia"/>
        </w:rPr>
      </w:pPr>
      <w:r>
        <w:rPr>
          <w:rFonts w:eastAsiaTheme="minorEastAsia"/>
        </w:rPr>
        <w:lastRenderedPageBreak/>
        <w:t xml:space="preserve">The appropriate value for  </w:t>
      </w:r>
      <m:oMath>
        <m:r>
          <w:rPr>
            <w:rFonts w:ascii="Cambria Math" w:hAnsi="Cambria Math"/>
          </w:rPr>
          <m:t>λ</m:t>
        </m:r>
      </m:oMath>
      <w:r>
        <w:rPr>
          <w:rFonts w:eastAsiaTheme="minorEastAsia"/>
        </w:rPr>
        <w:t xml:space="preserve"> can be determined by interviews with fishers and other stakeholders in the fishery. The HARA model can also be modified to account for other aspects of the fishery system. For example, if the value of the catch is not linearly related to total catch weight (e.g., value is a function of size) the equation for </w:t>
      </w:r>
      <m:oMath>
        <m:r>
          <w:rPr>
            <w:rFonts w:ascii="Cambria Math" w:eastAsiaTheme="minorEastAsia" w:hAnsi="Cambria Math"/>
          </w:rPr>
          <m:t>U</m:t>
        </m:r>
      </m:oMath>
      <w:r>
        <w:rPr>
          <w:rFonts w:eastAsiaTheme="minorEastAsia"/>
        </w:rPr>
        <w:t xml:space="preserve"> can be modified to include the relative value of the size classes of the catch. Additionally, if fishers choose not to operate in certain months of the year, due to weather conditions or other constraints, the HARA model can be modified to account for this in the calculation of the optimal monthly pattern in fishing effort.</w:t>
      </w:r>
    </w:p>
    <w:p w:rsidR="004170E7" w:rsidRDefault="004170E7" w:rsidP="004170E7">
      <w:pPr>
        <w:rPr>
          <w:rFonts w:eastAsiaTheme="minorEastAsia"/>
        </w:rPr>
      </w:pPr>
    </w:p>
    <w:p w:rsidR="004170E7" w:rsidRDefault="004170E7" w:rsidP="004170E7">
      <w:pPr>
        <w:keepNext/>
        <w:jc w:val="center"/>
      </w:pPr>
      <w:r>
        <w:rPr>
          <w:rFonts w:eastAsiaTheme="minorEastAsia"/>
          <w:noProof/>
        </w:rPr>
        <w:drawing>
          <wp:inline distT="0" distB="0" distL="0" distR="0" wp14:anchorId="20FD97F2" wp14:editId="3BBAD637">
            <wp:extent cx="2579348" cy="1934511"/>
            <wp:effectExtent l="0" t="0" r="0" b="8890"/>
            <wp:docPr id="2" name="Picture 2" descr="C:\Users\User\AppData\Local\Microsoft\Windows\INetCache\Content.Word\Recrui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Recruitmen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8478" cy="1941359"/>
                    </a:xfrm>
                    <a:prstGeom prst="rect">
                      <a:avLst/>
                    </a:prstGeom>
                    <a:noFill/>
                    <a:ln>
                      <a:noFill/>
                    </a:ln>
                  </pic:spPr>
                </pic:pic>
              </a:graphicData>
            </a:graphic>
          </wp:inline>
        </w:drawing>
      </w:r>
    </w:p>
    <w:p w:rsidR="004170E7" w:rsidRDefault="004170E7" w:rsidP="004170E7">
      <w:pPr>
        <w:pStyle w:val="Caption"/>
      </w:pPr>
      <w:bookmarkStart w:id="2" w:name="_Ref139632909"/>
      <w:bookmarkStart w:id="3" w:name="_Toc145585786"/>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2"/>
      <w:r>
        <w:t>.</w:t>
      </w:r>
      <w:r w:rsidR="008D724B">
        <w:t xml:space="preserve"> or </w:t>
      </w:r>
      <w:r w:rsidR="00E0481C">
        <w:t xml:space="preserve">Figure S1-1. </w:t>
      </w:r>
      <w:r>
        <w:t>An example of a seasonal recruitment pattern.</w:t>
      </w:r>
      <w:bookmarkEnd w:id="3"/>
    </w:p>
    <w:p w:rsidR="004170E7" w:rsidRDefault="004170E7" w:rsidP="004170E7"/>
    <w:p w:rsidR="004170E7" w:rsidRDefault="004170E7" w:rsidP="004170E7">
      <w:pPr>
        <w:keepNext/>
      </w:pPr>
      <w:r>
        <w:rPr>
          <w:noProof/>
        </w:rPr>
        <w:lastRenderedPageBreak/>
        <w:drawing>
          <wp:inline distT="0" distB="0" distL="0" distR="0" wp14:anchorId="09B8BCE9" wp14:editId="0F33E601">
            <wp:extent cx="5943600" cy="2975610"/>
            <wp:effectExtent l="0" t="0" r="0" b="0"/>
            <wp:docPr id="1573412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75610"/>
                    </a:xfrm>
                    <a:prstGeom prst="rect">
                      <a:avLst/>
                    </a:prstGeom>
                    <a:noFill/>
                    <a:ln>
                      <a:noFill/>
                    </a:ln>
                  </pic:spPr>
                </pic:pic>
              </a:graphicData>
            </a:graphic>
          </wp:inline>
        </w:drawing>
      </w:r>
    </w:p>
    <w:p w:rsidR="004170E7" w:rsidRPr="009A2CE2" w:rsidRDefault="004170E7" w:rsidP="004170E7">
      <w:pPr>
        <w:pStyle w:val="Caption"/>
        <w:sectPr w:rsidR="004170E7" w:rsidRPr="009A2CE2" w:rsidSect="002C2DF1">
          <w:pgSz w:w="12240" w:h="15840"/>
          <w:pgMar w:top="1440" w:right="1440" w:bottom="1440" w:left="1440" w:header="720" w:footer="720" w:gutter="0"/>
          <w:cols w:space="720"/>
          <w:docGrid w:linePitch="360"/>
        </w:sectPr>
      </w:pPr>
      <w:bookmarkStart w:id="4" w:name="_Ref139632956"/>
      <w:bookmarkStart w:id="5" w:name="_Toc145585787"/>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4"/>
      <w:r>
        <w:t xml:space="preserve">. </w:t>
      </w:r>
      <w:r w:rsidR="00E0481C">
        <w:t>or Figure S1-2</w:t>
      </w:r>
      <w:r w:rsidR="00CC447D">
        <w:t xml:space="preserve">. </w:t>
      </w:r>
      <w:r>
        <w:t>The HARA model prediction for the optimal relative monthly catch (top row) and fishing effort (bottom row) for five values of the risk aversion parameter (columns). The values in the top row indicate the catch relative to the catch with a risk aversion value of 1, equivalent to a conventional maximum sustainable yield calculation (right column).</w:t>
      </w:r>
      <w:bookmarkEnd w:id="5"/>
      <w:r>
        <w:t xml:space="preserve"> </w:t>
      </w:r>
    </w:p>
    <w:p w:rsidR="004170E7" w:rsidRDefault="004170E7" w:rsidP="004170E7">
      <w:pPr>
        <w:pStyle w:val="Caption"/>
        <w:keepNext/>
      </w:pPr>
      <w:bookmarkStart w:id="6" w:name="_Ref132289779"/>
      <w:bookmarkStart w:id="7" w:name="_Toc143691726"/>
      <w:r>
        <w:lastRenderedPageBreak/>
        <w:t xml:space="preserve">Table </w:t>
      </w:r>
      <w:r w:rsidR="00D639A9">
        <w:t>S1</w:t>
      </w:r>
      <w:r>
        <w:noBreakHyphen/>
      </w:r>
      <w:r>
        <w:fldChar w:fldCharType="begin"/>
      </w:r>
      <w:r>
        <w:instrText xml:space="preserve"> SEQ Table \* ARABIC \s 1 </w:instrText>
      </w:r>
      <w:r>
        <w:fldChar w:fldCharType="separate"/>
      </w:r>
      <w:r>
        <w:rPr>
          <w:noProof/>
        </w:rPr>
        <w:t>1</w:t>
      </w:r>
      <w:r>
        <w:rPr>
          <w:noProof/>
        </w:rPr>
        <w:fldChar w:fldCharType="end"/>
      </w:r>
      <w:bookmarkEnd w:id="6"/>
      <w:r>
        <w:t>. Equations for the population dynamics of the unfished and the fished populations.</w:t>
      </w:r>
      <w:bookmarkEnd w:id="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5664"/>
        <w:gridCol w:w="436"/>
      </w:tblGrid>
      <w:tr w:rsidR="004170E7" w:rsidTr="00EB5065">
        <w:trPr>
          <w:tblHeader/>
        </w:trPr>
        <w:tc>
          <w:tcPr>
            <w:tcW w:w="6840" w:type="dxa"/>
            <w:tcBorders>
              <w:top w:val="single" w:sz="4" w:space="0" w:color="auto"/>
              <w:bottom w:val="single" w:sz="4" w:space="0" w:color="auto"/>
            </w:tcBorders>
          </w:tcPr>
          <w:p w:rsidR="004170E7" w:rsidRPr="004C130B" w:rsidRDefault="004170E7" w:rsidP="00EB5065">
            <w:pPr>
              <w:rPr>
                <w:b/>
              </w:rPr>
            </w:pPr>
            <w:r w:rsidRPr="004C130B">
              <w:rPr>
                <w:b/>
              </w:rPr>
              <w:t>Equation</w:t>
            </w:r>
          </w:p>
        </w:tc>
        <w:tc>
          <w:tcPr>
            <w:tcW w:w="5664" w:type="dxa"/>
            <w:tcBorders>
              <w:top w:val="single" w:sz="4" w:space="0" w:color="auto"/>
              <w:bottom w:val="single" w:sz="4" w:space="0" w:color="auto"/>
            </w:tcBorders>
          </w:tcPr>
          <w:p w:rsidR="004170E7" w:rsidRPr="004C130B" w:rsidRDefault="004170E7" w:rsidP="00EB5065">
            <w:pPr>
              <w:rPr>
                <w:b/>
              </w:rPr>
            </w:pPr>
            <w:r w:rsidRPr="004C130B">
              <w:rPr>
                <w:b/>
              </w:rPr>
              <w:t>Description</w:t>
            </w:r>
          </w:p>
        </w:tc>
        <w:tc>
          <w:tcPr>
            <w:tcW w:w="0" w:type="auto"/>
            <w:tcBorders>
              <w:bottom w:val="single" w:sz="4" w:space="0" w:color="auto"/>
            </w:tcBorders>
          </w:tcPr>
          <w:p w:rsidR="004170E7" w:rsidRDefault="004170E7" w:rsidP="00EB5065"/>
        </w:tc>
      </w:tr>
      <w:tr w:rsidR="004170E7" w:rsidTr="00EB5065">
        <w:tc>
          <w:tcPr>
            <w:tcW w:w="6840" w:type="dxa"/>
            <w:tcBorders>
              <w:top w:val="single" w:sz="4" w:space="0" w:color="auto"/>
            </w:tcBorders>
          </w:tcPr>
          <w:p w:rsidR="004170E7" w:rsidRPr="004C130B" w:rsidRDefault="004170E7" w:rsidP="00EB5065">
            <w:pPr>
              <w:rPr>
                <w:rFonts w:eastAsia="Calibri" w:cs="Times New Roman"/>
                <w:i/>
              </w:rPr>
            </w:pPr>
            <w:r>
              <w:rPr>
                <w:rFonts w:eastAsia="Calibri" w:cs="Times New Roman"/>
                <w:i/>
              </w:rPr>
              <w:t xml:space="preserve">Equilibrium </w:t>
            </w:r>
            <w:r w:rsidRPr="004C130B">
              <w:rPr>
                <w:rFonts w:eastAsia="Calibri" w:cs="Times New Roman"/>
                <w:i/>
              </w:rPr>
              <w:t xml:space="preserve">Unfished </w:t>
            </w:r>
            <w:r>
              <w:rPr>
                <w:rFonts w:eastAsia="Calibri" w:cs="Times New Roman"/>
                <w:i/>
              </w:rPr>
              <w:t>Population</w:t>
            </w:r>
            <w:r w:rsidRPr="004C130B">
              <w:rPr>
                <w:rFonts w:eastAsia="Calibri" w:cs="Times New Roman"/>
                <w:i/>
              </w:rPr>
              <w:t xml:space="preserve"> Dynamics</w:t>
            </w:r>
          </w:p>
        </w:tc>
        <w:tc>
          <w:tcPr>
            <w:tcW w:w="5664" w:type="dxa"/>
            <w:tcBorders>
              <w:top w:val="single" w:sz="4" w:space="0" w:color="auto"/>
              <w:bottom w:val="nil"/>
            </w:tcBorders>
          </w:tcPr>
          <w:p w:rsidR="004170E7" w:rsidRDefault="004170E7" w:rsidP="00EB5065">
            <w:pPr>
              <w:jc w:val="center"/>
            </w:pPr>
          </w:p>
        </w:tc>
        <w:tc>
          <w:tcPr>
            <w:tcW w:w="0" w:type="auto"/>
            <w:tcBorders>
              <w:top w:val="single" w:sz="4" w:space="0" w:color="auto"/>
              <w:bottom w:val="nil"/>
            </w:tcBorders>
          </w:tcPr>
          <w:p w:rsidR="004170E7" w:rsidRDefault="004170E7" w:rsidP="00EB5065">
            <w:pPr>
              <w:jc w:val="center"/>
            </w:pPr>
          </w:p>
        </w:tc>
      </w:tr>
      <w:tr w:rsidR="004170E7" w:rsidTr="00EB5065">
        <w:tc>
          <w:tcPr>
            <w:tcW w:w="6840" w:type="dxa"/>
          </w:tcPr>
          <w:p w:rsidR="004170E7" w:rsidRPr="00732712" w:rsidRDefault="00000000" w:rsidP="00EB5065">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a,t=1</m:t>
                    </m:r>
                  </m:sub>
                  <m:sup>
                    <m:r>
                      <m:rPr>
                        <m:nor/>
                      </m:rPr>
                      <w:rPr>
                        <w:rFonts w:ascii="Cambria Math" w:eastAsiaTheme="minorEastAsia" w:hAnsi="Cambria Math"/>
                      </w:rPr>
                      <m:t>unfished_eq</m:t>
                    </m:r>
                  </m:sup>
                </m:sSubSup>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t=1</m:t>
                              </m:r>
                            </m:sub>
                            <m:sup>
                              <m:r>
                                <w:rPr>
                                  <w:rFonts w:ascii="Cambria Math" w:eastAsiaTheme="minorEastAsia" w:hAnsi="Cambria Math"/>
                                </w:rPr>
                                <m:t>0</m:t>
                              </m:r>
                            </m:sup>
                          </m:sSubSup>
                        </m:e>
                        <m:e>
                          <m:r>
                            <w:rPr>
                              <w:rFonts w:ascii="Cambria Math" w:eastAsiaTheme="minorEastAsia" w:hAnsi="Cambria Math"/>
                            </w:rPr>
                            <m:t>a=0</m:t>
                          </m:r>
                        </m:e>
                      </m:m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i=o</m:t>
                                      </m:r>
                                    </m:sub>
                                    <m:sup>
                                      <m:r>
                                        <w:rPr>
                                          <w:rFonts w:ascii="Cambria Math" w:eastAsiaTheme="minorEastAsia" w:hAnsi="Cambria Math"/>
                                        </w:rPr>
                                        <m:t>a-1</m:t>
                                      </m:r>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e>
                                  </m:nary>
                                </m:e>
                              </m:d>
                            </m:sup>
                          </m:sSup>
                          <m:nary>
                            <m:naryPr>
                              <m:chr m:val="∏"/>
                              <m:limLoc m:val="undOvr"/>
                              <m:ctrlPr>
                                <w:rPr>
                                  <w:rFonts w:ascii="Cambria Math" w:eastAsiaTheme="minorEastAsia" w:hAnsi="Cambria Math"/>
                                  <w:i/>
                                </w:rPr>
                              </m:ctrlPr>
                            </m:naryPr>
                            <m:sub>
                              <m:r>
                                <w:rPr>
                                  <w:rFonts w:ascii="Cambria Math" w:eastAsiaTheme="minorEastAsia" w:hAnsi="Cambria Math"/>
                                </w:rPr>
                                <m:t>i=0</m:t>
                              </m:r>
                            </m:sub>
                            <m:sup>
                              <m:r>
                                <w:rPr>
                                  <w:rFonts w:ascii="Cambria Math" w:eastAsiaTheme="minorEastAsia" w:hAnsi="Cambria Math"/>
                                </w:rPr>
                                <m:t>a-1</m:t>
                              </m:r>
                            </m:sup>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e>
                              </m:d>
                            </m:e>
                          </m:nary>
                        </m:e>
                        <m:e>
                          <m:r>
                            <w:rPr>
                              <w:rFonts w:ascii="Cambria Math" w:eastAsiaTheme="minorEastAsia" w:hAnsi="Cambria Math"/>
                            </w:rPr>
                            <m:t>0&lt;a</m:t>
                          </m:r>
                        </m:e>
                      </m:mr>
                    </m:m>
                    <m:r>
                      <w:rPr>
                        <w:rFonts w:ascii="Cambria Math" w:eastAsiaTheme="minorEastAsia" w:hAnsi="Cambria Math"/>
                      </w:rPr>
                      <m:t xml:space="preserve"> </m:t>
                    </m:r>
                  </m:e>
                </m:d>
              </m:oMath>
            </m:oMathPara>
          </w:p>
        </w:tc>
        <w:tc>
          <w:tcPr>
            <w:tcW w:w="5664" w:type="dxa"/>
            <w:tcBorders>
              <w:top w:val="nil"/>
            </w:tcBorders>
          </w:tcPr>
          <w:p w:rsidR="004170E7" w:rsidRDefault="004170E7" w:rsidP="00EB5065">
            <w:r>
              <w:t>Unfished age-structure for first time-step in initialized model</w:t>
            </w:r>
          </w:p>
        </w:tc>
        <w:tc>
          <w:tcPr>
            <w:tcW w:w="0" w:type="auto"/>
            <w:tcBorders>
              <w:top w:val="nil"/>
            </w:tcBorders>
          </w:tcPr>
          <w:p w:rsidR="004170E7" w:rsidRDefault="004170E7" w:rsidP="00EB5065">
            <w:pPr>
              <w:jc w:val="center"/>
            </w:pPr>
            <w:r>
              <w:fldChar w:fldCharType="begin"/>
            </w:r>
            <w:r>
              <w:instrText xml:space="preserve"> SEQ Equation \* ARABIC </w:instrText>
            </w:r>
            <w:r>
              <w:fldChar w:fldCharType="separate"/>
            </w:r>
            <w:r>
              <w:rPr>
                <w:noProof/>
              </w:rPr>
              <w:t>1</w:t>
            </w:r>
            <w:r>
              <w:rPr>
                <w:noProof/>
              </w:rPr>
              <w:fldChar w:fldCharType="end"/>
            </w:r>
          </w:p>
        </w:tc>
      </w:tr>
      <w:tr w:rsidR="004170E7" w:rsidTr="00EB5065">
        <w:tc>
          <w:tcPr>
            <w:tcW w:w="6840" w:type="dxa"/>
          </w:tcPr>
          <w:p w:rsidR="004170E7" w:rsidRDefault="004170E7" w:rsidP="00EB5065">
            <m:oMathPara>
              <m:oMath>
                <m:r>
                  <w:rPr>
                    <w:rFonts w:ascii="Cambria Math" w:eastAsiaTheme="minorEastAsia" w:hAnsi="Cambria Math"/>
                  </w:rPr>
                  <m:t>m=</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 xml:space="preserve">a </m:t>
                              </m:r>
                              <m:r>
                                <m:rPr>
                                  <m:nor/>
                                </m:rPr>
                                <w:rPr>
                                  <w:rFonts w:ascii="Cambria Math" w:eastAsiaTheme="minorEastAsia" w:hAnsi="Cambria Math"/>
                                </w:rPr>
                                <m:t>mod</m:t>
                              </m:r>
                              <m:r>
                                <w:rPr>
                                  <w:rFonts w:ascii="Cambria Math" w:eastAsiaTheme="minorEastAsia" w:hAnsi="Cambria Math"/>
                                </w:rPr>
                                <m:t xml:space="preserve"> 12</m:t>
                              </m:r>
                            </m:e>
                          </m:d>
                          <m:r>
                            <w:rPr>
                              <w:rFonts w:ascii="Cambria Math" w:eastAsiaTheme="minorEastAsia" w:hAnsi="Cambria Math"/>
                            </w:rPr>
                            <m:t>+1</m:t>
                          </m:r>
                        </m:e>
                        <m:e>
                          <m:r>
                            <w:rPr>
                              <w:rFonts w:ascii="Cambria Math" w:eastAsiaTheme="minorEastAsia" w:hAnsi="Cambria Math"/>
                            </w:rPr>
                            <m:t xml:space="preserve">a </m:t>
                          </m:r>
                          <m:r>
                            <m:rPr>
                              <m:nor/>
                            </m:rPr>
                            <w:rPr>
                              <w:rFonts w:ascii="Cambria Math" w:eastAsiaTheme="minorEastAsia" w:hAnsi="Cambria Math"/>
                            </w:rPr>
                            <m:t>mod</m:t>
                          </m:r>
                          <m:r>
                            <w:rPr>
                              <w:rFonts w:ascii="Cambria Math" w:eastAsiaTheme="minorEastAsia" w:hAnsi="Cambria Math"/>
                            </w:rPr>
                            <m:t xml:space="preserve"> 12=0</m:t>
                          </m:r>
                        </m:e>
                      </m:mr>
                      <m:m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 xml:space="preserve">a </m:t>
                              </m:r>
                              <m:r>
                                <m:rPr>
                                  <m:nor/>
                                </m:rPr>
                                <w:rPr>
                                  <w:rFonts w:ascii="Cambria Math" w:eastAsiaTheme="minorEastAsia" w:hAnsi="Cambria Math"/>
                                </w:rPr>
                                <m:t>mod</m:t>
                              </m:r>
                              <m:r>
                                <w:rPr>
                                  <w:rFonts w:ascii="Cambria Math" w:eastAsiaTheme="minorEastAsia" w:hAnsi="Cambria Math"/>
                                </w:rPr>
                                <m:t xml:space="preserve"> 12</m:t>
                              </m:r>
                            </m:e>
                          </m:d>
                          <m:r>
                            <w:rPr>
                              <w:rFonts w:ascii="Cambria Math" w:eastAsiaTheme="minorEastAsia" w:hAnsi="Cambria Math"/>
                            </w:rPr>
                            <m:t>+13</m:t>
                          </m:r>
                        </m:e>
                        <m:e>
                          <m:r>
                            <w:rPr>
                              <w:rFonts w:ascii="Cambria Math" w:eastAsiaTheme="minorEastAsia" w:hAnsi="Cambria Math"/>
                            </w:rPr>
                            <m:t xml:space="preserve">0&lt;a </m:t>
                          </m:r>
                          <m:r>
                            <m:rPr>
                              <m:nor/>
                            </m:rPr>
                            <w:rPr>
                              <w:rFonts w:ascii="Cambria Math" w:eastAsiaTheme="minorEastAsia" w:hAnsi="Cambria Math"/>
                            </w:rPr>
                            <m:t>mod</m:t>
                          </m:r>
                          <m:r>
                            <w:rPr>
                              <w:rFonts w:ascii="Cambria Math" w:eastAsiaTheme="minorEastAsia" w:hAnsi="Cambria Math"/>
                            </w:rPr>
                            <m:t xml:space="preserve"> 12</m:t>
                          </m:r>
                        </m:e>
                      </m:mr>
                    </m:m>
                    <m:r>
                      <w:rPr>
                        <w:rFonts w:ascii="Cambria Math" w:eastAsiaTheme="minorEastAsia" w:hAnsi="Cambria Math"/>
                      </w:rPr>
                      <m:t xml:space="preserve"> </m:t>
                    </m:r>
                  </m:e>
                </m:d>
              </m:oMath>
            </m:oMathPara>
          </w:p>
        </w:tc>
        <w:tc>
          <w:tcPr>
            <w:tcW w:w="5664" w:type="dxa"/>
          </w:tcPr>
          <w:p w:rsidR="004170E7" w:rsidRDefault="004170E7" w:rsidP="00EB5065">
            <w:r>
              <w:t>Calendar month index for the initial time-step (month 1) for the unfished population</w:t>
            </w:r>
          </w:p>
        </w:tc>
        <w:tc>
          <w:tcPr>
            <w:tcW w:w="0" w:type="auto"/>
          </w:tcPr>
          <w:p w:rsidR="004170E7" w:rsidRDefault="004170E7" w:rsidP="00EB5065">
            <w:r>
              <w:fldChar w:fldCharType="begin"/>
            </w:r>
            <w:r>
              <w:instrText xml:space="preserve"> SEQ Equation \* ARABIC </w:instrText>
            </w:r>
            <w:r>
              <w:fldChar w:fldCharType="separate"/>
            </w:r>
            <w:r>
              <w:rPr>
                <w:noProof/>
              </w:rPr>
              <w:t>2</w:t>
            </w:r>
            <w:r>
              <w:rPr>
                <w:noProof/>
              </w:rPr>
              <w:fldChar w:fldCharType="end"/>
            </w:r>
          </w:p>
        </w:tc>
      </w:tr>
      <w:tr w:rsidR="004170E7" w:rsidTr="00EB5065">
        <w:tc>
          <w:tcPr>
            <w:tcW w:w="6840" w:type="dxa"/>
          </w:tcPr>
          <w:p w:rsidR="004170E7" w:rsidRDefault="00000000" w:rsidP="00EB5065">
            <m:oMathPara>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a,t</m:t>
                    </m:r>
                  </m:sub>
                  <m:sup>
                    <m:r>
                      <m:rPr>
                        <m:nor/>
                      </m:rPr>
                      <w:rPr>
                        <w:rFonts w:ascii="Cambria Math" w:eastAsiaTheme="minorEastAsia" w:hAnsi="Cambria Math"/>
                      </w:rPr>
                      <m:t>unfished_eq</m:t>
                    </m:r>
                  </m:sup>
                </m:sSubSup>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t</m:t>
                              </m:r>
                            </m:sub>
                            <m:sup>
                              <m:r>
                                <w:rPr>
                                  <w:rFonts w:ascii="Cambria Math" w:eastAsiaTheme="minorEastAsia" w:hAnsi="Cambria Math"/>
                                </w:rPr>
                                <m:t>0</m:t>
                              </m:r>
                            </m:sup>
                          </m:sSubSup>
                        </m:e>
                        <m:e>
                          <m:r>
                            <w:rPr>
                              <w:rFonts w:ascii="Cambria Math" w:eastAsiaTheme="minorEastAsia" w:hAnsi="Cambria Math"/>
                            </w:rPr>
                            <m:t>a=0, 1&lt;t≤12</m:t>
                          </m:r>
                        </m:e>
                      </m:mr>
                      <m:mr>
                        <m:e>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a-1,t-1</m:t>
                              </m:r>
                            </m:sub>
                            <m:sup>
                              <m:r>
                                <m:rPr>
                                  <m:nor/>
                                </m:rPr>
                                <w:rPr>
                                  <w:rFonts w:ascii="Cambria Math" w:eastAsiaTheme="minorEastAsia" w:hAnsi="Cambria Math"/>
                                </w:rPr>
                                <m:t>unfished_eq</m:t>
                              </m:r>
                            </m:sup>
                          </m:sSub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a-1</m:t>
                                  </m:r>
                                </m:sub>
                              </m:sSub>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e>
                        <m:e>
                          <m:r>
                            <w:rPr>
                              <w:rFonts w:ascii="Cambria Math" w:eastAsiaTheme="minorEastAsia" w:hAnsi="Cambria Math"/>
                            </w:rPr>
                            <m:t>a&gt;1, 1&lt;t≤12</m:t>
                          </m:r>
                        </m:e>
                      </m:mr>
                    </m:m>
                    <m:r>
                      <w:rPr>
                        <w:rFonts w:ascii="Cambria Math" w:eastAsiaTheme="minorEastAsia" w:hAnsi="Cambria Math"/>
                      </w:rPr>
                      <m:t xml:space="preserve"> </m:t>
                    </m:r>
                  </m:e>
                </m:d>
              </m:oMath>
            </m:oMathPara>
          </w:p>
        </w:tc>
        <w:tc>
          <w:tcPr>
            <w:tcW w:w="5664" w:type="dxa"/>
          </w:tcPr>
          <w:p w:rsidR="004170E7" w:rsidRDefault="004170E7" w:rsidP="00EB5065">
            <w:r>
              <w:t>Age-structure of unfished population in months 2-12 for the initialized population</w:t>
            </w:r>
          </w:p>
        </w:tc>
        <w:tc>
          <w:tcPr>
            <w:tcW w:w="0" w:type="auto"/>
          </w:tcPr>
          <w:p w:rsidR="004170E7" w:rsidRDefault="004170E7" w:rsidP="00EB5065">
            <w:r>
              <w:fldChar w:fldCharType="begin"/>
            </w:r>
            <w:r>
              <w:instrText xml:space="preserve"> SEQ Equation \* ARABIC </w:instrText>
            </w:r>
            <w:r>
              <w:fldChar w:fldCharType="separate"/>
            </w:r>
            <w:r>
              <w:rPr>
                <w:noProof/>
              </w:rPr>
              <w:t>3</w:t>
            </w:r>
            <w:r>
              <w:rPr>
                <w:noProof/>
              </w:rPr>
              <w:fldChar w:fldCharType="end"/>
            </w:r>
          </w:p>
        </w:tc>
      </w:tr>
      <w:tr w:rsidR="004170E7" w:rsidTr="00EB5065">
        <w:tc>
          <w:tcPr>
            <w:tcW w:w="6840" w:type="dxa"/>
          </w:tcPr>
          <w:p w:rsidR="004170E7" w:rsidRPr="004C130B" w:rsidRDefault="004170E7" w:rsidP="00EB5065">
            <w:pPr>
              <w:rPr>
                <w:rFonts w:eastAsia="Calibri" w:cs="Times New Roman"/>
                <w:i/>
              </w:rPr>
            </w:pPr>
            <w:r>
              <w:rPr>
                <w:rFonts w:eastAsia="Calibri" w:cs="Times New Roman"/>
                <w:i/>
              </w:rPr>
              <w:t>Equilibrium F</w:t>
            </w:r>
            <w:r w:rsidRPr="004C130B">
              <w:rPr>
                <w:rFonts w:eastAsia="Calibri" w:cs="Times New Roman"/>
                <w:i/>
              </w:rPr>
              <w:t xml:space="preserve">ished </w:t>
            </w:r>
            <w:r>
              <w:rPr>
                <w:rFonts w:eastAsia="Calibri" w:cs="Times New Roman"/>
                <w:i/>
              </w:rPr>
              <w:t>Population</w:t>
            </w:r>
            <w:r w:rsidRPr="004C130B">
              <w:rPr>
                <w:rFonts w:eastAsia="Calibri" w:cs="Times New Roman"/>
                <w:i/>
              </w:rPr>
              <w:t xml:space="preserve"> Dynamics</w:t>
            </w: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Default="00000000" w:rsidP="00EB5065">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r>
                                      <w:rPr>
                                        <w:rFonts w:ascii="Cambria Math" w:eastAsiaTheme="minorEastAsia" w:hAnsi="Cambria Math"/>
                                      </w:rPr>
                                      <m:t>19</m:t>
                                    </m:r>
                                  </m:e>
                                </m:d>
                                <m:f>
                                  <m:fPr>
                                    <m:ctrlPr>
                                      <w:rPr>
                                        <w:rFonts w:ascii="Cambria Math" w:eastAsiaTheme="minorEastAsia" w:hAnsi="Cambria Math"/>
                                        <w:i/>
                                      </w:rPr>
                                    </m:ctrlPr>
                                  </m:fPr>
                                  <m:num>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50</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95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50</m:t>
                                        </m:r>
                                      </m:sub>
                                    </m:sSub>
                                  </m:den>
                                </m:f>
                              </m:e>
                            </m:func>
                          </m:e>
                        </m:d>
                      </m:sup>
                    </m:sSup>
                  </m:den>
                </m:f>
              </m:oMath>
            </m:oMathPara>
          </w:p>
        </w:tc>
        <w:tc>
          <w:tcPr>
            <w:tcW w:w="5664" w:type="dxa"/>
          </w:tcPr>
          <w:p w:rsidR="004170E7" w:rsidRDefault="004170E7" w:rsidP="00EB5065">
            <w:r>
              <w:t>Logistic selectivity-at-age schedule</w:t>
            </w:r>
          </w:p>
        </w:tc>
        <w:tc>
          <w:tcPr>
            <w:tcW w:w="0" w:type="auto"/>
          </w:tcPr>
          <w:p w:rsidR="004170E7" w:rsidRDefault="004170E7" w:rsidP="00EB5065">
            <w:r>
              <w:fldChar w:fldCharType="begin"/>
            </w:r>
            <w:r>
              <w:instrText xml:space="preserve"> SEQ Equation \* ARABIC </w:instrText>
            </w:r>
            <w:r>
              <w:fldChar w:fldCharType="separate"/>
            </w:r>
            <w:r>
              <w:rPr>
                <w:noProof/>
              </w:rPr>
              <w:t>4</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sub>
                  <m:sup>
                    <m:r>
                      <m:rPr>
                        <m:nor/>
                      </m:rPr>
                      <w:rPr>
                        <w:rFonts w:ascii="Cambria Math" w:eastAsiaTheme="minorEastAsia" w:hAnsi="Cambria Math"/>
                      </w:rPr>
                      <m:t>init</m:t>
                    </m:r>
                  </m:sup>
                </m:sSubSup>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+S</m:t>
                    </m:r>
                  </m:e>
                  <m:sub>
                    <m:r>
                      <w:rPr>
                        <w:rFonts w:ascii="Cambria Math" w:eastAsiaTheme="minorEastAsia" w:hAnsi="Cambria Math"/>
                      </w:rPr>
                      <m:t>a</m:t>
                    </m:r>
                  </m:sub>
                </m:sSub>
                <m:sSup>
                  <m:sSupPr>
                    <m:ctrlPr>
                      <w:rPr>
                        <w:rFonts w:ascii="Cambria Math" w:eastAsiaTheme="minorEastAsia" w:hAnsi="Cambria Math"/>
                        <w:i/>
                      </w:rPr>
                    </m:ctrlPr>
                  </m:sSupPr>
                  <m:e>
                    <m:r>
                      <w:rPr>
                        <w:rFonts w:ascii="Cambria Math" w:eastAsiaTheme="minorEastAsia" w:hAnsi="Cambria Math"/>
                      </w:rPr>
                      <m:t>F</m:t>
                    </m:r>
                  </m:e>
                  <m:sup>
                    <m:r>
                      <m:rPr>
                        <m:nor/>
                      </m:rPr>
                      <w:rPr>
                        <w:rFonts w:ascii="Cambria Math" w:eastAsiaTheme="minorEastAsia" w:hAnsi="Cambria Math"/>
                      </w:rPr>
                      <m:t>init</m:t>
                    </m:r>
                  </m:sup>
                </m:sSup>
              </m:oMath>
            </m:oMathPara>
          </w:p>
        </w:tc>
        <w:tc>
          <w:tcPr>
            <w:tcW w:w="5664" w:type="dxa"/>
          </w:tcPr>
          <w:p w:rsidR="004170E7" w:rsidRDefault="004170E7" w:rsidP="00EB5065">
            <w:r>
              <w:t xml:space="preserve">Total mortality-at-age before the initial fished time-step </w:t>
            </w:r>
          </w:p>
        </w:tc>
        <w:tc>
          <w:tcPr>
            <w:tcW w:w="0" w:type="auto"/>
          </w:tcPr>
          <w:p w:rsidR="004170E7" w:rsidRDefault="004170E7" w:rsidP="00EB5065">
            <w:r>
              <w:fldChar w:fldCharType="begin"/>
            </w:r>
            <w:r>
              <w:instrText xml:space="preserve"> SEQ Equation \* ARABIC </w:instrText>
            </w:r>
            <w:r>
              <w:fldChar w:fldCharType="separate"/>
            </w:r>
            <w:r>
              <w:rPr>
                <w:noProof/>
              </w:rPr>
              <w:t>5</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a,t=1</m:t>
                    </m:r>
                  </m:sub>
                  <m:sup>
                    <m:r>
                      <m:rPr>
                        <m:nor/>
                      </m:rPr>
                      <w:rPr>
                        <w:rFonts w:ascii="Cambria Math" w:eastAsiaTheme="minorEastAsia" w:hAnsi="Cambria Math"/>
                      </w:rPr>
                      <m:t>fished_eq</m:t>
                    </m:r>
                  </m:sup>
                </m:sSubSup>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m=1</m:t>
                              </m:r>
                            </m:sub>
                            <m:sup>
                              <m:r>
                                <w:rPr>
                                  <w:rFonts w:ascii="Cambria Math" w:eastAsiaTheme="minorEastAsia" w:hAnsi="Cambria Math"/>
                                </w:rPr>
                                <m:t>0</m:t>
                              </m:r>
                            </m:sup>
                          </m:sSubSup>
                          <m:ctrlPr>
                            <w:rPr>
                              <w:rFonts w:ascii="Cambria Math" w:eastAsia="Cambria Math" w:hAnsi="Cambria Math" w:cs="Cambria Math"/>
                              <w:i/>
                            </w:rPr>
                          </m:ctrlPr>
                        </m:e>
                        <m:e>
                          <m:r>
                            <w:rPr>
                              <w:rFonts w:ascii="Cambria Math" w:eastAsia="Cambria Math" w:hAnsi="Cambria Math" w:cs="Cambria Math"/>
                            </w:rPr>
                            <m:t>a=0</m:t>
                          </m:r>
                          <m:ctrlPr>
                            <w:rPr>
                              <w:rFonts w:ascii="Cambria Math" w:eastAsia="Cambria Math" w:hAnsi="Cambria Math" w:cs="Cambria Math"/>
                              <w:i/>
                            </w:rPr>
                          </m:ctrlPr>
                        </m:e>
                      </m:mr>
                      <m:mr>
                        <m:e>
                          <m:sSubSup>
                            <m:sSubSupPr>
                              <m:ctrlPr>
                                <w:rPr>
                                  <w:rFonts w:ascii="Cambria Math" w:eastAsiaTheme="minorEastAsia" w:hAnsi="Cambria Math"/>
                                  <w:i/>
                                  <w:iCs/>
                                  <w:szCs w:val="18"/>
                                </w:rPr>
                              </m:ctrlPr>
                            </m:sSubSupPr>
                            <m:e>
                              <m:r>
                                <w:rPr>
                                  <w:rFonts w:ascii="Cambria Math" w:eastAsiaTheme="minorEastAsia" w:hAnsi="Cambria Math"/>
                                </w:rPr>
                                <m:t>N</m:t>
                              </m:r>
                            </m:e>
                            <m:sub>
                              <m:r>
                                <w:rPr>
                                  <w:rFonts w:ascii="Cambria Math" w:eastAsiaTheme="minorEastAsia" w:hAnsi="Cambria Math"/>
                                </w:rPr>
                                <m:t>a-1,m=12</m:t>
                              </m:r>
                            </m:sub>
                            <m:sup>
                              <m:r>
                                <m:rPr>
                                  <m:nor/>
                                </m:rPr>
                                <w:rPr>
                                  <w:rFonts w:ascii="Cambria Math" w:eastAsiaTheme="minorEastAsia" w:hAnsi="Cambria Math"/>
                                </w:rPr>
                                <m:t>unfished_eq</m:t>
                              </m:r>
                            </m:sup>
                          </m:sSubSup>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a-1</m:t>
                                      </m:r>
                                    </m:sub>
                                    <m:sup>
                                      <m:r>
                                        <m:rPr>
                                          <m:nor/>
                                        </m:rPr>
                                        <w:rPr>
                                          <w:rFonts w:ascii="Cambria Math" w:eastAsiaTheme="minorEastAsia" w:hAnsi="Cambria Math"/>
                                        </w:rPr>
                                        <m:t>init</m:t>
                                      </m:r>
                                    </m:sup>
                                  </m:sSubSup>
                                </m:e>
                              </m:d>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ctrlPr>
                            <w:rPr>
                              <w:rFonts w:ascii="Cambria Math" w:eastAsia="Cambria Math" w:hAnsi="Cambria Math" w:cs="Cambria Math"/>
                              <w:i/>
                            </w:rPr>
                          </m:ctrlPr>
                        </m:e>
                        <m:e>
                          <m:r>
                            <w:rPr>
                              <w:rFonts w:ascii="Cambria Math" w:eastAsia="Cambria Math" w:hAnsi="Cambria Math" w:cs="Cambria Math"/>
                            </w:rPr>
                            <m:t>a&gt;0</m:t>
                          </m:r>
                        </m:e>
                      </m:mr>
                    </m:m>
                  </m:e>
                </m:d>
              </m:oMath>
            </m:oMathPara>
          </w:p>
        </w:tc>
        <w:tc>
          <w:tcPr>
            <w:tcW w:w="5664" w:type="dxa"/>
          </w:tcPr>
          <w:p w:rsidR="004170E7" w:rsidRDefault="004170E7" w:rsidP="00EB5065">
            <w:r>
              <w:t>Equilibrium fished age-structure for first time-step in initialized model</w:t>
            </w:r>
          </w:p>
        </w:tc>
        <w:tc>
          <w:tcPr>
            <w:tcW w:w="0" w:type="auto"/>
          </w:tcPr>
          <w:p w:rsidR="004170E7" w:rsidRDefault="004170E7" w:rsidP="00EB5065">
            <w:r>
              <w:fldChar w:fldCharType="begin"/>
            </w:r>
            <w:r>
              <w:instrText xml:space="preserve"> SEQ Equation \* ARABIC </w:instrText>
            </w:r>
            <w:r>
              <w:fldChar w:fldCharType="separate"/>
            </w:r>
            <w:r>
              <w:rPr>
                <w:noProof/>
              </w:rPr>
              <w:t>6</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a,t</m:t>
                    </m:r>
                  </m:sub>
                  <m:sup>
                    <m:r>
                      <m:rPr>
                        <m:nor/>
                      </m:rPr>
                      <w:rPr>
                        <w:rFonts w:ascii="Cambria Math" w:eastAsiaTheme="minorEastAsia" w:hAnsi="Cambria Math"/>
                      </w:rPr>
                      <m:t>fished_eq</m:t>
                    </m:r>
                  </m:sup>
                </m:sSubSup>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e>
                          <m:r>
                            <w:rPr>
                              <w:rFonts w:ascii="Cambria Math" w:eastAsiaTheme="minorEastAsia" w:hAnsi="Cambria Math"/>
                            </w:rPr>
                            <m:t>a=0, 1&lt;t≤12</m:t>
                          </m:r>
                        </m:e>
                      </m:mr>
                      <m:mr>
                        <m:e>
                          <m:sSubSup>
                            <m:sSubSupPr>
                              <m:ctrlPr>
                                <w:rPr>
                                  <w:rFonts w:ascii="Cambria Math" w:eastAsiaTheme="minorEastAsia" w:hAnsi="Cambria Math"/>
                                  <w:i/>
                                  <w:iCs/>
                                  <w:szCs w:val="18"/>
                                </w:rPr>
                              </m:ctrlPr>
                            </m:sSubSupPr>
                            <m:e>
                              <m:r>
                                <w:rPr>
                                  <w:rFonts w:ascii="Cambria Math" w:eastAsiaTheme="minorEastAsia" w:hAnsi="Cambria Math"/>
                                </w:rPr>
                                <m:t>N</m:t>
                              </m:r>
                            </m:e>
                            <m:sub>
                              <m:r>
                                <w:rPr>
                                  <w:rFonts w:ascii="Cambria Math" w:eastAsiaTheme="minorEastAsia" w:hAnsi="Cambria Math"/>
                                </w:rPr>
                                <m:t>a-1,t-1</m:t>
                              </m:r>
                            </m:sub>
                            <m:sup>
                              <m:r>
                                <m:rPr>
                                  <m:nor/>
                                </m:rPr>
                                <w:rPr>
                                  <w:rFonts w:ascii="Cambria Math" w:eastAsiaTheme="minorEastAsia" w:hAnsi="Cambria Math"/>
                                </w:rPr>
                                <m:t>fished_eq</m:t>
                              </m:r>
                            </m:sup>
                          </m:sSubSup>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a-1</m:t>
                                      </m:r>
                                    </m:sub>
                                    <m:sup>
                                      <m:r>
                                        <m:rPr>
                                          <m:nor/>
                                        </m:rPr>
                                        <w:rPr>
                                          <w:rFonts w:ascii="Cambria Math" w:eastAsiaTheme="minorEastAsia" w:hAnsi="Cambria Math"/>
                                        </w:rPr>
                                        <m:t>init</m:t>
                                      </m:r>
                                    </m:sup>
                                  </m:sSubSup>
                                </m:e>
                              </m:d>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e>
                        <m:e>
                          <m:r>
                            <w:rPr>
                              <w:rFonts w:ascii="Cambria Math" w:eastAsiaTheme="minorEastAsia" w:hAnsi="Cambria Math"/>
                            </w:rPr>
                            <m:t>a&gt;1, 1&lt;t≤12</m:t>
                          </m:r>
                        </m:e>
                      </m:mr>
                    </m:m>
                    <m:r>
                      <w:rPr>
                        <w:rFonts w:ascii="Cambria Math" w:eastAsiaTheme="minorEastAsia" w:hAnsi="Cambria Math"/>
                      </w:rPr>
                      <m:t xml:space="preserve"> </m:t>
                    </m:r>
                  </m:e>
                </m:d>
              </m:oMath>
            </m:oMathPara>
          </w:p>
        </w:tc>
        <w:tc>
          <w:tcPr>
            <w:tcW w:w="5664" w:type="dxa"/>
          </w:tcPr>
          <w:p w:rsidR="004170E7" w:rsidRDefault="004170E7" w:rsidP="00EB5065">
            <w:r>
              <w:t>Age-structure of fished population for months 2-12 for the initialized population</w:t>
            </w:r>
          </w:p>
        </w:tc>
        <w:tc>
          <w:tcPr>
            <w:tcW w:w="0" w:type="auto"/>
          </w:tcPr>
          <w:p w:rsidR="004170E7" w:rsidRDefault="004170E7" w:rsidP="00EB5065">
            <w:r>
              <w:fldChar w:fldCharType="begin"/>
            </w:r>
            <w:r>
              <w:instrText xml:space="preserve"> SEQ Equation \* ARABIC </w:instrText>
            </w:r>
            <w:r>
              <w:fldChar w:fldCharType="separate"/>
            </w:r>
            <w:r>
              <w:rPr>
                <w:noProof/>
              </w:rPr>
              <w:t>7</w:t>
            </w:r>
            <w:r>
              <w:rPr>
                <w:noProof/>
              </w:rPr>
              <w:fldChar w:fldCharType="end"/>
            </w:r>
          </w:p>
        </w:tc>
      </w:tr>
      <w:tr w:rsidR="004170E7" w:rsidTr="00EB5065">
        <w:tc>
          <w:tcPr>
            <w:tcW w:w="6840" w:type="dxa"/>
          </w:tcPr>
          <w:p w:rsidR="004170E7" w:rsidRDefault="004170E7" w:rsidP="00EB5065">
            <w:pPr>
              <w:rPr>
                <w:rFonts w:eastAsia="Calibri" w:cs="Times New Roman"/>
              </w:rPr>
            </w:pP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Pr="00A12693" w:rsidRDefault="004170E7" w:rsidP="00EB5065">
            <w:pPr>
              <w:rPr>
                <w:rFonts w:eastAsia="Calibri" w:cs="Times New Roman"/>
              </w:rPr>
            </w:pPr>
            <w:r>
              <w:rPr>
                <w:rFonts w:eastAsia="Calibri" w:cs="Times New Roman"/>
                <w:i/>
              </w:rPr>
              <w:t>Recruitment</w:t>
            </w:r>
            <w:r w:rsidRPr="004C130B">
              <w:rPr>
                <w:rFonts w:eastAsia="Calibri" w:cs="Times New Roman"/>
                <w:i/>
              </w:rPr>
              <w:t xml:space="preserve"> Dynamics</w:t>
            </w: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r>
                      <w:rPr>
                        <w:rFonts w:ascii="Cambria Math" w:eastAsiaTheme="minorEastAsia" w:hAnsi="Cambria Math"/>
                      </w:rPr>
                      <m:t>h</m:t>
                    </m:r>
                    <m:sSub>
                      <m:sSubPr>
                        <m:ctrlPr>
                          <w:rPr>
                            <w:rFonts w:ascii="Cambria Math" w:eastAsiaTheme="minorEastAsia" w:hAnsi="Cambria Math"/>
                            <w:i/>
                          </w:rPr>
                        </m:ctrlPr>
                      </m:sSubPr>
                      <m:e>
                        <m:r>
                          <m:rPr>
                            <m:nor/>
                          </m:rPr>
                          <w:rPr>
                            <w:rFonts w:ascii="Cambria Math" w:eastAsiaTheme="minorEastAsia" w:hAnsi="Cambria Math"/>
                          </w:rPr>
                          <m:t>SB</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m:t>
                        </m:r>
                      </m:sub>
                      <m:sup>
                        <m:r>
                          <w:rPr>
                            <w:rFonts w:ascii="Cambria Math" w:eastAsiaTheme="minorEastAsia" w:hAnsi="Cambria Math"/>
                          </w:rPr>
                          <m:t>0</m:t>
                        </m:r>
                      </m:sup>
                    </m:sSubSup>
                    <m:d>
                      <m:dPr>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rPr>
                          <m:t>h</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m:t>
                        </m:r>
                        <m:r>
                          <w:rPr>
                            <w:rFonts w:ascii="Cambria Math" w:eastAsiaTheme="minorEastAsia" w:hAnsi="Cambria Math"/>
                          </w:rPr>
                          <m:t>h-</m:t>
                        </m:r>
                        <m:r>
                          <w:rPr>
                            <w:rFonts w:ascii="Cambria Math" w:eastAsiaTheme="minorEastAsia" w:hAnsi="Cambria Math"/>
                          </w:rPr>
                          <m:t>1</m:t>
                        </m:r>
                      </m:e>
                    </m:d>
                    <m:sSub>
                      <m:sSubPr>
                        <m:ctrlPr>
                          <w:rPr>
                            <w:rFonts w:ascii="Cambria Math" w:eastAsiaTheme="minorEastAsia" w:hAnsi="Cambria Math"/>
                            <w:i/>
                          </w:rPr>
                        </m:ctrlPr>
                      </m:sSubPr>
                      <m:e>
                        <m:r>
                          <m:rPr>
                            <m:nor/>
                          </m:rPr>
                          <w:rPr>
                            <w:rFonts w:ascii="Cambria Math" w:eastAsiaTheme="minorEastAsia" w:hAnsi="Cambria Math"/>
                          </w:rPr>
                          <m:t>SB</m:t>
                        </m:r>
                      </m:e>
                      <m:sub>
                        <m:r>
                          <w:rPr>
                            <w:rFonts w:ascii="Cambria Math" w:eastAsiaTheme="minorEastAsia" w:hAnsi="Cambria Math"/>
                          </w:rPr>
                          <m:t>t</m:t>
                        </m:r>
                      </m:sub>
                    </m:sSub>
                  </m:den>
                </m:f>
              </m:oMath>
            </m:oMathPara>
          </w:p>
        </w:tc>
        <w:tc>
          <w:tcPr>
            <w:tcW w:w="5664" w:type="dxa"/>
          </w:tcPr>
          <w:p w:rsidR="004170E7" w:rsidRPr="00885A77" w:rsidRDefault="004170E7" w:rsidP="00EB5065">
            <w:pPr>
              <w:rPr>
                <w:i/>
              </w:rPr>
            </w:pPr>
            <w:proofErr w:type="spellStart"/>
            <w:r>
              <w:t>Beverton</w:t>
            </w:r>
            <w:proofErr w:type="spellEnd"/>
            <w:r>
              <w:t xml:space="preserve">-Holt stock-recruit relationship for recruits to age-0 in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8</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eastAsiaTheme="minorEastAsia" w:hAnsi="Cambria Math"/>
                        <w:i/>
                      </w:rPr>
                    </m:ctrlPr>
                  </m:sSubSupPr>
                  <m:e>
                    <m:r>
                      <w:rPr>
                        <w:rFonts w:ascii="Cambria Math" w:eastAsiaTheme="minorEastAsia" w:hAnsi="Cambria Math"/>
                      </w:rPr>
                      <m:t>SB</m:t>
                    </m:r>
                  </m:e>
                  <m:sub>
                    <m:r>
                      <w:rPr>
                        <w:rFonts w:ascii="Cambria Math" w:eastAsiaTheme="minorEastAsia" w:hAnsi="Cambria Math"/>
                      </w:rPr>
                      <m:t>t</m:t>
                    </m:r>
                  </m:sub>
                  <m:sup>
                    <m:r>
                      <m:rPr>
                        <m:nor/>
                      </m:rPr>
                      <w:rPr>
                        <w:rFonts w:ascii="Cambria Math" w:eastAsiaTheme="minorEastAsia" w:hAnsi="Cambria Math"/>
                      </w:rPr>
                      <m:t>fished_eq</m:t>
                    </m:r>
                  </m:sup>
                </m:sSubSup>
                <m:r>
                  <w:rPr>
                    <w:rFonts w:ascii="Cambria Math" w:eastAsiaTheme="minorEastAsia" w:hAnsi="Cambria Math"/>
                  </w:rPr>
                  <m:t>=</m:t>
                </m:r>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a</m:t>
                        </m:r>
                      </m:sub>
                      <m:sup/>
                      <m:e>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a,t</m:t>
                            </m:r>
                          </m:sub>
                          <m:sup>
                            <m:r>
                              <m:rPr>
                                <m:nor/>
                              </m:rPr>
                              <w:rPr>
                                <w:rFonts w:ascii="Cambria Math" w:eastAsiaTheme="minorEastAsia" w:hAnsi="Cambria Math"/>
                              </w:rPr>
                              <m:t>fished_eq</m:t>
                            </m:r>
                          </m:sup>
                        </m:sSubSup>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e>
                    </m:nary>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F</m:t>
                            </m:r>
                          </m:e>
                          <m:sup>
                            <m:r>
                              <m:rPr>
                                <m:nor/>
                              </m:rPr>
                              <w:rPr>
                                <w:rFonts w:ascii="Cambria Math" w:eastAsiaTheme="minorEastAsia" w:hAnsi="Cambria Math"/>
                              </w:rPr>
                              <m:t>init</m:t>
                            </m:r>
                          </m:sup>
                        </m:sSup>
                      </m:num>
                      <m:den>
                        <m:r>
                          <w:rPr>
                            <w:rFonts w:ascii="Cambria Math" w:eastAsiaTheme="minorEastAsia" w:hAnsi="Cambria Math"/>
                          </w:rPr>
                          <m:t>2</m:t>
                        </m:r>
                      </m:den>
                    </m:f>
                  </m:sup>
                </m:sSup>
              </m:oMath>
            </m:oMathPara>
          </w:p>
        </w:tc>
        <w:tc>
          <w:tcPr>
            <w:tcW w:w="5664" w:type="dxa"/>
          </w:tcPr>
          <w:p w:rsidR="004170E7" w:rsidRPr="00BA2878" w:rsidRDefault="004170E7" w:rsidP="00EB5065">
            <w:r>
              <w:t xml:space="preserve">Spawning biomass in the middle of time-step </w:t>
            </w:r>
            <w:r>
              <w:rPr>
                <w:i/>
              </w:rPr>
              <w:t xml:space="preserve">t </w:t>
            </w:r>
            <w:r>
              <w:t>for initial equilibrium fished population</w:t>
            </w:r>
          </w:p>
        </w:tc>
        <w:tc>
          <w:tcPr>
            <w:tcW w:w="0" w:type="auto"/>
          </w:tcPr>
          <w:p w:rsidR="004170E7" w:rsidRDefault="004170E7" w:rsidP="00EB5065">
            <w:r>
              <w:fldChar w:fldCharType="begin"/>
            </w:r>
            <w:r>
              <w:instrText xml:space="preserve"> SEQ Equation \* ARABIC </w:instrText>
            </w:r>
            <w:r>
              <w:fldChar w:fldCharType="separate"/>
            </w:r>
            <w:r>
              <w:rPr>
                <w:noProof/>
              </w:rPr>
              <w:t>9</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r>
                                      <w:rPr>
                                        <w:rFonts w:ascii="Cambria Math" w:eastAsiaTheme="minorEastAsia" w:hAnsi="Cambria Math"/>
                                      </w:rPr>
                                      <m:t>19</m:t>
                                    </m:r>
                                  </m:e>
                                </m:d>
                                <m:f>
                                  <m:fPr>
                                    <m:ctrlPr>
                                      <w:rPr>
                                        <w:rFonts w:ascii="Cambria Math" w:eastAsiaTheme="minorEastAsia" w:hAnsi="Cambria Math"/>
                                        <w:i/>
                                      </w:rPr>
                                    </m:ctrlPr>
                                  </m:fPr>
                                  <m:num>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50</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95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50</m:t>
                                        </m:r>
                                      </m:sub>
                                    </m:sSub>
                                  </m:den>
                                </m:f>
                              </m:e>
                            </m:func>
                          </m:e>
                        </m:d>
                      </m:sup>
                    </m:sSup>
                  </m:den>
                </m:f>
              </m:oMath>
            </m:oMathPara>
          </w:p>
        </w:tc>
        <w:tc>
          <w:tcPr>
            <w:tcW w:w="5664" w:type="dxa"/>
          </w:tcPr>
          <w:p w:rsidR="004170E7" w:rsidRDefault="004170E7" w:rsidP="00EB5065">
            <w:r>
              <w:t>Logistic maturity-at-age schedule</w:t>
            </w:r>
          </w:p>
        </w:tc>
        <w:tc>
          <w:tcPr>
            <w:tcW w:w="0" w:type="auto"/>
          </w:tcPr>
          <w:p w:rsidR="004170E7" w:rsidRDefault="004170E7" w:rsidP="00EB5065">
            <w:r>
              <w:fldChar w:fldCharType="begin"/>
            </w:r>
            <w:r>
              <w:instrText xml:space="preserve"> SEQ Equation \* ARABIC </w:instrText>
            </w:r>
            <w:r>
              <w:fldChar w:fldCharType="separate"/>
            </w:r>
            <w:r>
              <w:rPr>
                <w:noProof/>
              </w:rPr>
              <w:t>10</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a</m:t>
                    </m:r>
                  </m:sub>
                  <m:sup/>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e>
                </m:nary>
              </m:oMath>
            </m:oMathPara>
          </w:p>
        </w:tc>
        <w:tc>
          <w:tcPr>
            <w:tcW w:w="5664" w:type="dxa"/>
          </w:tcPr>
          <w:p w:rsidR="004170E7" w:rsidRDefault="004170E7" w:rsidP="00EB5065">
            <w:r>
              <w:t>Unfished spawning output per-recruit</w:t>
            </w:r>
          </w:p>
        </w:tc>
        <w:tc>
          <w:tcPr>
            <w:tcW w:w="0" w:type="auto"/>
          </w:tcPr>
          <w:p w:rsidR="004170E7" w:rsidRDefault="004170E7" w:rsidP="00EB5065">
            <w:r>
              <w:fldChar w:fldCharType="begin"/>
            </w:r>
            <w:r>
              <w:instrText xml:space="preserve"> SEQ Equation \* ARABIC </w:instrText>
            </w:r>
            <w:r>
              <w:fldChar w:fldCharType="separate"/>
            </w:r>
            <w:r>
              <w:rPr>
                <w:noProof/>
              </w:rPr>
              <w:t>11</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a</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a=0</m:t>
                          </m:r>
                        </m:e>
                      </m:mr>
                      <m:m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a-1</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a-1</m:t>
                                  </m:r>
                                </m:sub>
                              </m:sSub>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e>
                        <m:e>
                          <m:r>
                            <w:rPr>
                              <w:rFonts w:ascii="Cambria Math" w:eastAsiaTheme="minorEastAsia" w:hAnsi="Cambria Math"/>
                            </w:rPr>
                            <m:t>0&lt;a</m:t>
                          </m:r>
                        </m:e>
                      </m:mr>
                    </m:m>
                  </m:e>
                </m:d>
              </m:oMath>
            </m:oMathPara>
          </w:p>
        </w:tc>
        <w:tc>
          <w:tcPr>
            <w:tcW w:w="5664" w:type="dxa"/>
          </w:tcPr>
          <w:p w:rsidR="004170E7" w:rsidRDefault="004170E7" w:rsidP="00EB5065">
            <w:r>
              <w:t xml:space="preserve">Survival to age </w:t>
            </w:r>
            <w:r>
              <w:rPr>
                <w:i/>
              </w:rPr>
              <w:t xml:space="preserve">a </w:t>
            </w:r>
            <w:r>
              <w:t>for unfished cohort</w:t>
            </w:r>
          </w:p>
        </w:tc>
        <w:tc>
          <w:tcPr>
            <w:tcW w:w="0" w:type="auto"/>
          </w:tcPr>
          <w:p w:rsidR="004170E7" w:rsidRDefault="004170E7" w:rsidP="00EB5065">
            <w:r>
              <w:fldChar w:fldCharType="begin"/>
            </w:r>
            <w:r>
              <w:instrText xml:space="preserve"> SEQ Equation \* ARABIC </w:instrText>
            </w:r>
            <w:r>
              <w:fldChar w:fldCharType="separate"/>
            </w:r>
            <w:r>
              <w:rPr>
                <w:noProof/>
              </w:rPr>
              <w:t>12</w:t>
            </w:r>
            <w:r>
              <w:rPr>
                <w:noProof/>
              </w:rPr>
              <w:fldChar w:fldCharType="end"/>
            </w:r>
          </w:p>
        </w:tc>
      </w:tr>
      <w:tr w:rsidR="004170E7" w:rsidTr="00EB5065">
        <w:tc>
          <w:tcPr>
            <w:tcW w:w="6840" w:type="dxa"/>
          </w:tcPr>
          <w:p w:rsidR="004170E7" w:rsidRDefault="004170E7" w:rsidP="00EB5065">
            <w:pPr>
              <w:rPr>
                <w:rFonts w:eastAsia="Calibri" w:cs="Times New Roman"/>
              </w:rPr>
            </w:pPr>
            <w:r>
              <w:rPr>
                <w:rFonts w:eastAsia="Calibri" w:cs="Times New Roman"/>
                <w:i/>
              </w:rPr>
              <w:t>F</w:t>
            </w:r>
            <w:r w:rsidRPr="004C130B">
              <w:rPr>
                <w:rFonts w:eastAsia="Calibri" w:cs="Times New Roman"/>
                <w:i/>
              </w:rPr>
              <w:t xml:space="preserve">ished </w:t>
            </w:r>
            <w:r>
              <w:rPr>
                <w:rFonts w:eastAsia="Calibri" w:cs="Times New Roman"/>
                <w:i/>
              </w:rPr>
              <w:t>Population</w:t>
            </w:r>
            <w:r w:rsidRPr="004C130B">
              <w:rPr>
                <w:rFonts w:eastAsia="Calibri" w:cs="Times New Roman"/>
                <w:i/>
              </w:rPr>
              <w:t xml:space="preserve"> Dynamics</w:t>
            </w: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Default="00000000" w:rsidP="00EB5065">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a,t</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t</m:t>
                              </m:r>
                            </m:sub>
                          </m:sSub>
                          <m:ctrlPr>
                            <w:rPr>
                              <w:rFonts w:ascii="Cambria Math" w:eastAsia="Cambria Math" w:hAnsi="Cambria Math" w:cs="Cambria Math"/>
                              <w:i/>
                            </w:rPr>
                          </m:ctrlPr>
                        </m:e>
                        <m:e>
                          <m:r>
                            <w:rPr>
                              <w:rFonts w:ascii="Cambria Math" w:eastAsia="Cambria Math" w:hAnsi="Cambria Math" w:cs="Cambria Math"/>
                            </w:rPr>
                            <m:t>a=0</m:t>
                          </m:r>
                          <m:ctrlPr>
                            <w:rPr>
                              <w:rFonts w:ascii="Cambria Math" w:eastAsia="Cambria Math" w:hAnsi="Cambria Math" w:cs="Cambria Math"/>
                              <w:i/>
                            </w:rPr>
                          </m:ctrlPr>
                        </m:e>
                      </m:mr>
                      <m:mr>
                        <m:e>
                          <m:sSubSup>
                            <m:sSubSupPr>
                              <m:ctrlPr>
                                <w:rPr>
                                  <w:rFonts w:ascii="Cambria Math" w:eastAsiaTheme="minorEastAsia" w:hAnsi="Cambria Math"/>
                                  <w:i/>
                                  <w:iCs/>
                                  <w:szCs w:val="18"/>
                                </w:rPr>
                              </m:ctrlPr>
                            </m:sSubSupPr>
                            <m:e>
                              <m:r>
                                <w:rPr>
                                  <w:rFonts w:ascii="Cambria Math" w:eastAsiaTheme="minorEastAsia" w:hAnsi="Cambria Math"/>
                                </w:rPr>
                                <m:t>N</m:t>
                              </m:r>
                            </m:e>
                            <m:sub>
                              <m:r>
                                <w:rPr>
                                  <w:rFonts w:ascii="Cambria Math" w:eastAsiaTheme="minorEastAsia" w:hAnsi="Cambria Math"/>
                                </w:rPr>
                                <m:t>a-1,m=12</m:t>
                              </m:r>
                            </m:sub>
                            <m:sup>
                              <m:r>
                                <m:rPr>
                                  <m:nor/>
                                </m:rPr>
                                <w:rPr>
                                  <w:rFonts w:ascii="Cambria Math" w:eastAsiaTheme="minorEastAsia" w:hAnsi="Cambria Math"/>
                                </w:rPr>
                                <m:t>fished_eq</m:t>
                              </m:r>
                            </m:sup>
                          </m:sSubSup>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a-1</m:t>
                                      </m:r>
                                    </m:sub>
                                    <m:sup>
                                      <m:r>
                                        <m:rPr>
                                          <m:nor/>
                                        </m:rPr>
                                        <w:rPr>
                                          <w:rFonts w:ascii="Cambria Math" w:eastAsiaTheme="minorEastAsia" w:hAnsi="Cambria Math"/>
                                        </w:rPr>
                                        <m:t>init</m:t>
                                      </m:r>
                                    </m:sup>
                                  </m:sSubSup>
                                </m:e>
                              </m:d>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ctrlPr>
                            <w:rPr>
                              <w:rFonts w:ascii="Cambria Math" w:eastAsia="Cambria Math" w:hAnsi="Cambria Math" w:cs="Cambria Math"/>
                              <w:i/>
                            </w:rPr>
                          </m:ctrlPr>
                        </m:e>
                        <m:e>
                          <m:r>
                            <w:rPr>
                              <w:rFonts w:ascii="Cambria Math" w:eastAsia="Cambria Math" w:hAnsi="Cambria Math" w:cs="Cambria Math"/>
                            </w:rPr>
                            <m:t>a&gt;0, t=1</m:t>
                          </m:r>
                          <m:ctrlPr>
                            <w:rPr>
                              <w:rFonts w:ascii="Cambria Math" w:eastAsia="Cambria Math" w:hAnsi="Cambria Math" w:cs="Cambria Math"/>
                              <w:i/>
                            </w:rPr>
                          </m:ctrlPr>
                        </m:e>
                      </m:mr>
                      <m:m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a-1,t-1</m:t>
                                  </m:r>
                                </m:sub>
                              </m:sSub>
                              <m:r>
                                <w:rPr>
                                  <w:rFonts w:ascii="Cambria Math" w:eastAsiaTheme="minorEastAsia" w:hAnsi="Cambria Math"/>
                                </w:rPr>
                                <m:t>e</m:t>
                              </m:r>
                            </m:e>
                            <m:sup>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a-1</m:t>
                                      </m:r>
                                    </m:sub>
                                  </m:sSub>
                                  <m:r>
                                    <w:rPr>
                                      <w:rFonts w:ascii="Cambria Math" w:eastAsiaTheme="minorEastAsia" w:hAnsi="Cambria Math"/>
                                    </w:rPr>
                                    <m:t>,t-1</m:t>
                                  </m:r>
                                </m:e>
                              </m:d>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e>
                        <m:e>
                          <m:r>
                            <w:rPr>
                              <w:rFonts w:ascii="Cambria Math" w:eastAsiaTheme="minorEastAsia" w:hAnsi="Cambria Math"/>
                            </w:rPr>
                            <m:t>0&lt;a, t&gt;1</m:t>
                          </m:r>
                        </m:e>
                      </m:mr>
                    </m:m>
                  </m:e>
                </m:d>
              </m:oMath>
            </m:oMathPara>
          </w:p>
        </w:tc>
        <w:tc>
          <w:tcPr>
            <w:tcW w:w="5664" w:type="dxa"/>
          </w:tcPr>
          <w:p w:rsidR="004170E7" w:rsidRDefault="004170E7" w:rsidP="00EB5065">
            <w:r>
              <w:t>Population dynamics for fished population</w:t>
            </w:r>
          </w:p>
        </w:tc>
        <w:tc>
          <w:tcPr>
            <w:tcW w:w="0" w:type="auto"/>
          </w:tcPr>
          <w:p w:rsidR="004170E7" w:rsidRDefault="004170E7" w:rsidP="00EB5065">
            <w:r>
              <w:fldChar w:fldCharType="begin"/>
            </w:r>
            <w:r>
              <w:instrText xml:space="preserve"> SEQ Equation \* ARABIC </w:instrText>
            </w:r>
            <w:r>
              <w:fldChar w:fldCharType="separate"/>
            </w:r>
            <w:r>
              <w:rPr>
                <w:noProof/>
              </w:rPr>
              <w:t>13</w:t>
            </w:r>
            <w:r>
              <w:rPr>
                <w:noProof/>
              </w:rPr>
              <w:fldChar w:fldCharType="end"/>
            </w:r>
          </w:p>
        </w:tc>
      </w:tr>
      <w:tr w:rsidR="004170E7" w:rsidTr="00EB5065">
        <w:tc>
          <w:tcPr>
            <w:tcW w:w="6840" w:type="dxa"/>
          </w:tcPr>
          <w:p w:rsidR="004170E7" w:rsidRDefault="00000000" w:rsidP="00EB5065">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a,t</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oMath>
            </m:oMathPara>
          </w:p>
        </w:tc>
        <w:tc>
          <w:tcPr>
            <w:tcW w:w="5664" w:type="dxa"/>
          </w:tcPr>
          <w:p w:rsidR="004170E7" w:rsidRDefault="004170E7" w:rsidP="00EB5065">
            <w:r>
              <w:t>Total mortality-at-age in the fished time-steps</w:t>
            </w:r>
          </w:p>
        </w:tc>
        <w:tc>
          <w:tcPr>
            <w:tcW w:w="0" w:type="auto"/>
          </w:tcPr>
          <w:p w:rsidR="004170E7" w:rsidRDefault="004170E7" w:rsidP="00EB5065">
            <w:r>
              <w:fldChar w:fldCharType="begin"/>
            </w:r>
            <w:r>
              <w:instrText xml:space="preserve"> SEQ Equation \* ARABIC </w:instrText>
            </w:r>
            <w:r>
              <w:fldChar w:fldCharType="separate"/>
            </w:r>
            <w:r>
              <w:rPr>
                <w:noProof/>
              </w:rPr>
              <w:t>14</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SB</m:t>
                    </m:r>
                  </m:e>
                  <m:sub>
                    <m:r>
                      <w:rPr>
                        <w:rFonts w:ascii="Cambria Math" w:eastAsiaTheme="minorEastAsia" w:hAnsi="Cambria Math"/>
                      </w:rPr>
                      <m:t>t</m:t>
                    </m:r>
                  </m:sub>
                </m:sSub>
                <m:r>
                  <w:rPr>
                    <w:rFonts w:ascii="Cambria Math" w:eastAsiaTheme="minorEastAsia" w:hAnsi="Cambria Math"/>
                  </w:rPr>
                  <m:t>=</m:t>
                </m:r>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a</m:t>
                        </m:r>
                      </m:sub>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a,t</m:t>
                            </m:r>
                          </m:sub>
                        </m:s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e>
                    </m:nary>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num>
                      <m:den>
                        <m:r>
                          <w:rPr>
                            <w:rFonts w:ascii="Cambria Math" w:eastAsiaTheme="minorEastAsia" w:hAnsi="Cambria Math"/>
                          </w:rPr>
                          <m:t>2</m:t>
                        </m:r>
                      </m:den>
                    </m:f>
                  </m:sup>
                </m:sSup>
              </m:oMath>
            </m:oMathPara>
          </w:p>
        </w:tc>
        <w:tc>
          <w:tcPr>
            <w:tcW w:w="5664" w:type="dxa"/>
          </w:tcPr>
          <w:p w:rsidR="004170E7" w:rsidRDefault="004170E7" w:rsidP="00EB5065">
            <w:r>
              <w:t xml:space="preserve">Spawning biomass in the middle of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15</w:t>
            </w:r>
            <w:r>
              <w:rPr>
                <w:noProof/>
              </w:rPr>
              <w:fldChar w:fldCharType="end"/>
            </w:r>
          </w:p>
        </w:tc>
      </w:tr>
      <w:tr w:rsidR="004170E7" w:rsidTr="00EB5065">
        <w:tc>
          <w:tcPr>
            <w:tcW w:w="6840" w:type="dxa"/>
          </w:tcPr>
          <w:p w:rsidR="004170E7" w:rsidRDefault="004170E7" w:rsidP="00EB5065">
            <w:pPr>
              <w:rPr>
                <w:rFonts w:eastAsia="Calibri" w:cs="Times New Roman"/>
              </w:rPr>
            </w:pP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a,t</m:t>
                    </m:r>
                  </m:sub>
                </m:sSub>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m:t>
                            </m:r>
                          </m:sub>
                        </m:sSub>
                        <m:r>
                          <w:rPr>
                            <w:rFonts w:ascii="Cambria Math" w:eastAsiaTheme="minorEastAsia" w:hAnsi="Cambria Math"/>
                          </w:rPr>
                          <m:t>/2</m:t>
                        </m:r>
                      </m:sup>
                    </m:sSup>
                  </m:e>
                </m:d>
                <m:d>
                  <m:dPr>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sup>
                    </m:sSup>
                  </m:e>
                </m:d>
              </m:oMath>
            </m:oMathPara>
          </w:p>
        </w:tc>
        <w:tc>
          <w:tcPr>
            <w:tcW w:w="5664" w:type="dxa"/>
          </w:tcPr>
          <w:p w:rsidR="004170E7" w:rsidRDefault="004170E7" w:rsidP="00EB5065">
            <w:r>
              <w:t xml:space="preserve">Catch-at-age </w:t>
            </w:r>
            <w:proofErr w:type="spellStart"/>
            <w:r>
              <w:rPr>
                <w:i/>
              </w:rPr>
              <w:t>a</w:t>
            </w:r>
            <w:proofErr w:type="spellEnd"/>
            <w:r>
              <w:t xml:space="preserve"> in middle of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16</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CB</m:t>
                    </m:r>
                  </m:e>
                  <m:sub>
                    <m:r>
                      <w:rPr>
                        <w:rFonts w:ascii="Cambria Math" w:eastAsiaTheme="minorEastAsia" w:hAnsi="Cambria Math"/>
                      </w:rPr>
                      <m:t>t</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a</m:t>
                    </m:r>
                  </m:sub>
                  <m:sup>
                    <m:sSub>
                      <m:sSubPr>
                        <m:ctrlPr>
                          <w:rPr>
                            <w:rFonts w:ascii="Cambria Math" w:eastAsiaTheme="minorEastAsia" w:hAnsi="Cambria Math"/>
                            <w:i/>
                          </w:rPr>
                        </m:ctrlPr>
                      </m:sSubPr>
                      <m:e>
                        <m:r>
                          <w:rPr>
                            <w:rFonts w:ascii="Cambria Math" w:eastAsiaTheme="minorEastAsia" w:hAnsi="Cambria Math"/>
                          </w:rPr>
                          <m:t>a</m:t>
                        </m:r>
                      </m:e>
                      <m:sub>
                        <m:r>
                          <m:rPr>
                            <m:nor/>
                          </m:rPr>
                          <w:rPr>
                            <w:rFonts w:ascii="Cambria Math" w:eastAsiaTheme="minorEastAsia" w:hAnsi="Cambria Math"/>
                          </w:rPr>
                          <m:t>max</m:t>
                        </m:r>
                      </m:sub>
                    </m:s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a,t</m:t>
                        </m:r>
                      </m:sub>
                    </m:s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e>
                </m:nary>
              </m:oMath>
            </m:oMathPara>
          </w:p>
        </w:tc>
        <w:tc>
          <w:tcPr>
            <w:tcW w:w="5664" w:type="dxa"/>
          </w:tcPr>
          <w:p w:rsidR="004170E7" w:rsidRDefault="004170E7" w:rsidP="00EB5065">
            <w:r>
              <w:t xml:space="preserve">Total catch biomass in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17</w:t>
            </w:r>
            <w:r>
              <w:rPr>
                <w:noProof/>
              </w:rPr>
              <w:fldChar w:fldCharType="end"/>
            </w:r>
          </w:p>
        </w:tc>
      </w:tr>
      <w:tr w:rsidR="004170E7" w:rsidTr="00EB5065">
        <w:tc>
          <w:tcPr>
            <w:tcW w:w="6840" w:type="dxa"/>
          </w:tcPr>
          <w:p w:rsidR="004170E7" w:rsidRDefault="00000000" w:rsidP="00EB5065">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t</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a</m:t>
                    </m:r>
                  </m:sub>
                  <m:sup>
                    <m:sSub>
                      <m:sSubPr>
                        <m:ctrlPr>
                          <w:rPr>
                            <w:rFonts w:ascii="Cambria Math" w:eastAsiaTheme="minorEastAsia" w:hAnsi="Cambria Math"/>
                            <w:i/>
                          </w:rPr>
                        </m:ctrlPr>
                      </m:sSubPr>
                      <m:e>
                        <m:r>
                          <w:rPr>
                            <w:rFonts w:ascii="Cambria Math" w:eastAsiaTheme="minorEastAsia" w:hAnsi="Cambria Math"/>
                          </w:rPr>
                          <m:t>a</m:t>
                        </m:r>
                      </m:e>
                      <m:sub>
                        <m:r>
                          <m:rPr>
                            <m:nor/>
                          </m:rPr>
                          <w:rPr>
                            <w:rFonts w:ascii="Cambria Math" w:eastAsiaTheme="minorEastAsia" w:hAnsi="Cambria Math"/>
                          </w:rPr>
                          <m:t>max</m:t>
                        </m:r>
                      </m:sub>
                    </m:sSub>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a,t</m:t>
                        </m:r>
                      </m:sub>
                    </m:sSub>
                  </m:e>
                </m:nary>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oMath>
            </m:oMathPara>
          </w:p>
        </w:tc>
        <w:tc>
          <w:tcPr>
            <w:tcW w:w="5664" w:type="dxa"/>
          </w:tcPr>
          <w:p w:rsidR="004170E7" w:rsidRPr="000642DC" w:rsidRDefault="004170E7" w:rsidP="00EB5065">
            <w:r>
              <w:t xml:space="preserve">Total biomass in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18</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VB</m:t>
                    </m:r>
                  </m:e>
                  <m:sub>
                    <m:r>
                      <w:rPr>
                        <w:rFonts w:ascii="Cambria Math" w:eastAsiaTheme="minorEastAsia" w:hAnsi="Cambria Math"/>
                      </w:rPr>
                      <m:t>t</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a</m:t>
                    </m:r>
                  </m:sub>
                  <m:sup>
                    <m:sSub>
                      <m:sSubPr>
                        <m:ctrlPr>
                          <w:rPr>
                            <w:rFonts w:ascii="Cambria Math" w:eastAsiaTheme="minorEastAsia" w:hAnsi="Cambria Math"/>
                            <w:i/>
                          </w:rPr>
                        </m:ctrlPr>
                      </m:sSubPr>
                      <m:e>
                        <m:r>
                          <w:rPr>
                            <w:rFonts w:ascii="Cambria Math" w:eastAsiaTheme="minorEastAsia" w:hAnsi="Cambria Math"/>
                          </w:rPr>
                          <m:t>a</m:t>
                        </m:r>
                      </m:e>
                      <m:sub>
                        <m:r>
                          <m:rPr>
                            <m:nor/>
                          </m:rPr>
                          <w:rPr>
                            <w:rFonts w:ascii="Cambria Math" w:eastAsiaTheme="minorEastAsia" w:hAnsi="Cambria Math"/>
                          </w:rPr>
                          <m:t>max</m:t>
                        </m:r>
                      </m:sub>
                    </m:sSub>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a,t</m:t>
                        </m:r>
                      </m:sub>
                    </m:sSub>
                  </m:e>
                </m:nary>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oMath>
            </m:oMathPara>
          </w:p>
        </w:tc>
        <w:tc>
          <w:tcPr>
            <w:tcW w:w="5664" w:type="dxa"/>
          </w:tcPr>
          <w:p w:rsidR="004170E7" w:rsidRDefault="004170E7" w:rsidP="00EB5065">
            <w:r>
              <w:t xml:space="preserve">Vulnerable biomass in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19</w:t>
            </w:r>
            <w:r>
              <w:rPr>
                <w:noProof/>
              </w:rPr>
              <w:fldChar w:fldCharType="end"/>
            </w:r>
          </w:p>
        </w:tc>
      </w:tr>
      <w:tr w:rsidR="004170E7" w:rsidTr="00EB5065">
        <w:tc>
          <w:tcPr>
            <w:tcW w:w="6840" w:type="dxa"/>
          </w:tcPr>
          <w:p w:rsidR="004170E7" w:rsidRDefault="00000000" w:rsidP="00EB5065">
            <m:oMathPara>
              <m:oMath>
                <m:sSub>
                  <m:sSubPr>
                    <m:ctrlPr>
                      <w:rPr>
                        <w:rFonts w:ascii="Cambria Math" w:eastAsiaTheme="minorEastAsia" w:hAnsi="Cambria Math"/>
                        <w:i/>
                      </w:rPr>
                    </m:ctrlPr>
                  </m:sSubPr>
                  <m:e>
                    <m:r>
                      <m:rPr>
                        <m:nor/>
                      </m:rPr>
                      <w:rPr>
                        <w:rFonts w:ascii="Cambria Math" w:eastAsiaTheme="minorEastAsia" w:hAnsi="Cambria Math"/>
                      </w:rPr>
                      <m:t>SPR</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oMath>
            </m:oMathPara>
          </w:p>
        </w:tc>
        <w:tc>
          <w:tcPr>
            <w:tcW w:w="5664" w:type="dxa"/>
          </w:tcPr>
          <w:p w:rsidR="004170E7" w:rsidRPr="00433A34" w:rsidRDefault="004170E7" w:rsidP="00EB5065">
            <w:pPr>
              <w:rPr>
                <w:i/>
              </w:rPr>
            </w:pPr>
            <w:r>
              <w:t xml:space="preserve">Spawning potential ratio in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20</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a</m:t>
                    </m:r>
                  </m:sub>
                  <m:sup/>
                  <m:e>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a,t</m:t>
                        </m:r>
                      </m:sub>
                      <m:sup>
                        <m:r>
                          <w:rPr>
                            <w:rFonts w:ascii="Cambria Math" w:eastAsiaTheme="minorEastAsia" w:hAnsi="Cambria Math"/>
                          </w:rPr>
                          <m:t>F</m:t>
                        </m:r>
                      </m:sup>
                    </m:sSubSup>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m:t>
                        </m:r>
                      </m:sub>
                    </m:sSub>
                  </m:e>
                </m:nary>
              </m:oMath>
            </m:oMathPara>
          </w:p>
        </w:tc>
        <w:tc>
          <w:tcPr>
            <w:tcW w:w="5664" w:type="dxa"/>
          </w:tcPr>
          <w:p w:rsidR="004170E7" w:rsidRPr="00D8534A" w:rsidRDefault="004170E7" w:rsidP="00EB5065">
            <w:r>
              <w:rPr>
                <w:rFonts w:eastAsiaTheme="minorEastAsia"/>
              </w:rPr>
              <w:t>Expected lifetime egg production of a fished cohort</w:t>
            </w:r>
          </w:p>
        </w:tc>
        <w:tc>
          <w:tcPr>
            <w:tcW w:w="0" w:type="auto"/>
          </w:tcPr>
          <w:p w:rsidR="004170E7" w:rsidRDefault="004170E7" w:rsidP="00EB5065">
            <w:r>
              <w:fldChar w:fldCharType="begin"/>
            </w:r>
            <w:r>
              <w:instrText xml:space="preserve"> SEQ Equation \* ARABIC </w:instrText>
            </w:r>
            <w:r>
              <w:fldChar w:fldCharType="separate"/>
            </w:r>
            <w:r>
              <w:rPr>
                <w:noProof/>
              </w:rPr>
              <w:t>21</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a,t</m:t>
                    </m:r>
                  </m:sub>
                  <m:sup>
                    <m:r>
                      <w:rPr>
                        <w:rFonts w:ascii="Cambria Math" w:eastAsiaTheme="minorEastAsia" w:hAnsi="Cambria Math"/>
                      </w:rPr>
                      <m:t>F</m:t>
                    </m:r>
                  </m:sup>
                </m:sSubSup>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a=0</m:t>
                          </m:r>
                        </m:e>
                      </m:mr>
                      <m:m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a-1</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a-1,t</m:t>
                                  </m:r>
                                </m:sub>
                              </m:sSub>
                            </m:sup>
                          </m:sSup>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a-1</m:t>
                                  </m:r>
                                </m:sub>
                              </m:sSub>
                            </m:e>
                          </m:d>
                        </m:e>
                        <m:e>
                          <m:r>
                            <w:rPr>
                              <w:rFonts w:ascii="Cambria Math" w:eastAsiaTheme="minorEastAsia" w:hAnsi="Cambria Math"/>
                            </w:rPr>
                            <m:t>0&lt;a</m:t>
                          </m:r>
                        </m:e>
                      </m:mr>
                    </m:m>
                  </m:e>
                </m:d>
              </m:oMath>
            </m:oMathPara>
          </w:p>
        </w:tc>
        <w:tc>
          <w:tcPr>
            <w:tcW w:w="5664" w:type="dxa"/>
          </w:tcPr>
          <w:p w:rsidR="004170E7" w:rsidRPr="00D8534A" w:rsidRDefault="004170E7" w:rsidP="00EB5065">
            <w:pPr>
              <w:rPr>
                <w:i/>
              </w:rPr>
            </w:pPr>
            <w:r>
              <w:t xml:space="preserve">Survival to age </w:t>
            </w:r>
            <w:r>
              <w:rPr>
                <w:i/>
              </w:rPr>
              <w:t xml:space="preserve">a </w:t>
            </w:r>
            <w:r>
              <w:t>for fished cohort</w:t>
            </w:r>
          </w:p>
        </w:tc>
        <w:tc>
          <w:tcPr>
            <w:tcW w:w="0" w:type="auto"/>
          </w:tcPr>
          <w:p w:rsidR="004170E7" w:rsidRDefault="004170E7" w:rsidP="00EB5065">
            <w:r>
              <w:fldChar w:fldCharType="begin"/>
            </w:r>
            <w:r>
              <w:instrText xml:space="preserve"> SEQ Equation \* ARABIC </w:instrText>
            </w:r>
            <w:r>
              <w:fldChar w:fldCharType="separate"/>
            </w:r>
            <w:r>
              <w:rPr>
                <w:noProof/>
              </w:rPr>
              <w:t>22</w:t>
            </w:r>
            <w:r>
              <w:rPr>
                <w:noProof/>
              </w:rPr>
              <w:fldChar w:fldCharType="end"/>
            </w:r>
          </w:p>
        </w:tc>
      </w:tr>
      <w:tr w:rsidR="004170E7" w:rsidTr="00EB5065">
        <w:tc>
          <w:tcPr>
            <w:tcW w:w="6840" w:type="dxa"/>
          </w:tcPr>
          <w:p w:rsidR="004170E7" w:rsidRPr="004C7D79" w:rsidRDefault="004170E7" w:rsidP="00EB5065">
            <w:pPr>
              <w:rPr>
                <w:rFonts w:eastAsia="Calibri" w:cs="Times New Roman"/>
                <w:i/>
              </w:rPr>
            </w:pP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Default="004170E7" w:rsidP="00EB5065">
            <w:pPr>
              <w:rPr>
                <w:rFonts w:eastAsia="Calibri" w:cs="Times New Roman"/>
              </w:rPr>
            </w:pPr>
          </w:p>
        </w:tc>
        <w:tc>
          <w:tcPr>
            <w:tcW w:w="5664" w:type="dxa"/>
          </w:tcPr>
          <w:p w:rsidR="004170E7" w:rsidRDefault="004170E7" w:rsidP="00EB5065"/>
        </w:tc>
        <w:tc>
          <w:tcPr>
            <w:tcW w:w="0" w:type="auto"/>
          </w:tcPr>
          <w:p w:rsidR="004170E7" w:rsidRDefault="004170E7" w:rsidP="00EB5065"/>
        </w:tc>
      </w:tr>
      <w:tr w:rsidR="004170E7" w:rsidTr="00EB5065">
        <w:tc>
          <w:tcPr>
            <w:tcW w:w="6840" w:type="dxa"/>
          </w:tcPr>
          <w:p w:rsidR="004170E7" w:rsidRDefault="00000000" w:rsidP="00EB5065">
            <w:pPr>
              <w:rPr>
                <w:rFonts w:eastAsia="Calibri" w:cs="Times New Roman"/>
              </w:rPr>
            </w:pPr>
            <m:oMathPara>
              <m:oMath>
                <m:sSubSup>
                  <m:sSubSupPr>
                    <m:ctrlPr>
                      <w:rPr>
                        <w:rFonts w:ascii="Cambria Math" w:hAnsi="Cambria Math"/>
                        <w:i/>
                      </w:rPr>
                    </m:ctrlPr>
                  </m:sSubSupPr>
                  <m:e>
                    <m:r>
                      <w:rPr>
                        <w:rFonts w:ascii="Cambria Math" w:hAnsi="Cambria Math"/>
                      </w:rPr>
                      <m:t>p</m:t>
                    </m:r>
                  </m:e>
                  <m:sub>
                    <m:r>
                      <w:rPr>
                        <w:rFonts w:ascii="Cambria Math" w:hAnsi="Cambria Math"/>
                      </w:rPr>
                      <m:t>t,w</m:t>
                    </m:r>
                  </m:sub>
                  <m:sup>
                    <m:r>
                      <m:rPr>
                        <m:nor/>
                      </m:rPr>
                      <w:rPr>
                        <w:rFonts w:ascii="Cambria Math" w:hAnsi="Cambria Math"/>
                      </w:rPr>
                      <m:t>pred</m:t>
                    </m:r>
                  </m:sup>
                </m:sSubSup>
                <m:r>
                  <w:rPr>
                    <w:rFonts w:ascii="Cambria Math" w:hAnsi="Cambria Math"/>
                  </w:rPr>
                  <m:t>=</m:t>
                </m:r>
                <m:f>
                  <m:fPr>
                    <m:ctrlPr>
                      <w:rPr>
                        <w:rFonts w:ascii="Cambria Math"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a</m:t>
                        </m:r>
                      </m: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a,t</m:t>
                            </m:r>
                          </m:sub>
                        </m:sSub>
                      </m:e>
                    </m:nary>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a,w</m:t>
                        </m:r>
                      </m:sub>
                    </m:sSub>
                  </m:num>
                  <m:den>
                    <m:nary>
                      <m:naryPr>
                        <m:chr m:val="∑"/>
                        <m:limLoc m:val="undOvr"/>
                        <m:supHide m:val="1"/>
                        <m:ctrlPr>
                          <w:rPr>
                            <w:rFonts w:ascii="Cambria Math" w:hAnsi="Cambria Math"/>
                            <w:i/>
                          </w:rPr>
                        </m:ctrlPr>
                      </m:naryPr>
                      <m:sub>
                        <m:r>
                          <w:rPr>
                            <w:rFonts w:ascii="Cambria Math" w:hAnsi="Cambria Math"/>
                          </w:rPr>
                          <m:t>w</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a</m:t>
                            </m:r>
                          </m: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a,t</m:t>
                                </m:r>
                              </m:sub>
                            </m:sSub>
                          </m:e>
                        </m:nary>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a,w</m:t>
                            </m:r>
                          </m:sub>
                        </m:sSub>
                      </m:e>
                    </m:nary>
                  </m:den>
                </m:f>
              </m:oMath>
            </m:oMathPara>
          </w:p>
        </w:tc>
        <w:tc>
          <w:tcPr>
            <w:tcW w:w="5664" w:type="dxa"/>
          </w:tcPr>
          <w:p w:rsidR="004170E7" w:rsidRPr="0001193E" w:rsidRDefault="004170E7" w:rsidP="00EB5065">
            <w:pPr>
              <w:rPr>
                <w:i/>
              </w:rPr>
            </w:pPr>
            <w:r>
              <w:t xml:space="preserve">Predicted proportion of the catch (in numbers) in weight class </w:t>
            </w:r>
            <w:r>
              <w:rPr>
                <w:i/>
              </w:rPr>
              <w:t>w</w:t>
            </w:r>
            <w:r>
              <w:t xml:space="preserve"> in time-step </w:t>
            </w:r>
            <w:r>
              <w:rPr>
                <w:i/>
              </w:rPr>
              <w:t>t</w:t>
            </w:r>
          </w:p>
        </w:tc>
        <w:tc>
          <w:tcPr>
            <w:tcW w:w="0" w:type="auto"/>
          </w:tcPr>
          <w:p w:rsidR="004170E7" w:rsidRDefault="004170E7" w:rsidP="00EB5065">
            <w:r>
              <w:fldChar w:fldCharType="begin"/>
            </w:r>
            <w:r>
              <w:instrText xml:space="preserve"> SEQ Equation \* ARABIC </w:instrText>
            </w:r>
            <w:r>
              <w:fldChar w:fldCharType="separate"/>
            </w:r>
            <w:r>
              <w:rPr>
                <w:noProof/>
              </w:rPr>
              <w:t>23</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a</m:t>
                                      </m:r>
                                    </m:sub>
                                  </m:sSub>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m:t>
                                      </m:r>
                                    </m:sub>
                                    <m:sup>
                                      <m:r>
                                        <w:rPr>
                                          <w:rFonts w:ascii="Cambria Math" w:eastAsiaTheme="minorEastAsia" w:hAnsi="Cambria Math"/>
                                        </w:rPr>
                                        <m:t>w</m:t>
                                      </m:r>
                                    </m:sup>
                                  </m:sSubSup>
                                </m:den>
                              </m:f>
                            </m:e>
                          </m:d>
                        </m:e>
                        <m:e>
                          <m:r>
                            <w:rPr>
                              <w:rFonts w:ascii="Cambria Math" w:eastAsiaTheme="minorEastAsia" w:hAnsi="Cambria Math"/>
                            </w:rPr>
                            <m:t>i=1</m:t>
                          </m:r>
                        </m:e>
                      </m:mr>
                      <m:mr>
                        <m:e>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a</m:t>
                                      </m:r>
                                    </m:sub>
                                  </m:sSub>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m:t>
                                      </m:r>
                                    </m:sub>
                                    <m:sup>
                                      <m:r>
                                        <w:rPr>
                                          <w:rFonts w:ascii="Cambria Math" w:eastAsiaTheme="minorEastAsia" w:hAnsi="Cambria Math"/>
                                        </w:rPr>
                                        <m:t>w</m:t>
                                      </m:r>
                                    </m:sup>
                                  </m:sSubSup>
                                </m:den>
                              </m:f>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i-1</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a</m:t>
                                      </m:r>
                                    </m:sub>
                                  </m:sSub>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m:t>
                                      </m:r>
                                    </m:sub>
                                    <m:sup>
                                      <m:r>
                                        <w:rPr>
                                          <w:rFonts w:ascii="Cambria Math" w:eastAsiaTheme="minorEastAsia" w:hAnsi="Cambria Math"/>
                                        </w:rPr>
                                        <m:t>w</m:t>
                                      </m:r>
                                    </m:sup>
                                  </m:sSubSup>
                                </m:den>
                              </m:f>
                            </m:e>
                          </m:d>
                          <m:ctrlPr>
                            <w:rPr>
                              <w:rFonts w:ascii="Cambria Math" w:eastAsia="Cambria Math" w:hAnsi="Cambria Math" w:cs="Cambria Math"/>
                              <w:i/>
                            </w:rPr>
                          </m:ctrlPr>
                        </m:e>
                        <m:e>
                          <m:r>
                            <w:rPr>
                              <w:rFonts w:ascii="Cambria Math" w:eastAsia="Cambria Math" w:hAnsi="Cambria Math" w:cs="Cambria Math"/>
                            </w:rPr>
                            <m:t>1&lt;i&lt;I</m:t>
                          </m:r>
                          <m:ctrlPr>
                            <w:rPr>
                              <w:rFonts w:ascii="Cambria Math" w:eastAsia="Cambria Math" w:hAnsi="Cambria Math" w:cs="Cambria Math"/>
                              <w:i/>
                            </w:rPr>
                          </m:ctrlPr>
                        </m:e>
                      </m:mr>
                      <m:mr>
                        <m:e>
                          <m:r>
                            <w:rPr>
                              <w:rFonts w:ascii="Cambria Math" w:eastAsia="Cambria Math" w:hAnsi="Cambria Math" w:cs="Cambria Math"/>
                            </w:rPr>
                            <m:t>1-</m:t>
                          </m:r>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i-1</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a</m:t>
                                      </m:r>
                                    </m:sub>
                                  </m:sSub>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m:t>
                                      </m:r>
                                    </m:sub>
                                    <m:sup>
                                      <m:r>
                                        <w:rPr>
                                          <w:rFonts w:ascii="Cambria Math" w:eastAsiaTheme="minorEastAsia" w:hAnsi="Cambria Math"/>
                                        </w:rPr>
                                        <m:t>w</m:t>
                                      </m:r>
                                    </m:sup>
                                  </m:sSubSup>
                                </m:den>
                              </m:f>
                            </m:e>
                          </m:d>
                        </m:e>
                        <m:e>
                          <m:r>
                            <w:rPr>
                              <w:rFonts w:ascii="Cambria Math" w:eastAsiaTheme="minorEastAsia" w:hAnsi="Cambria Math"/>
                            </w:rPr>
                            <m:t>i=I</m:t>
                          </m:r>
                        </m:e>
                      </m:mr>
                    </m:m>
                  </m:e>
                </m:d>
              </m:oMath>
            </m:oMathPara>
          </w:p>
        </w:tc>
        <w:tc>
          <w:tcPr>
            <w:tcW w:w="5664" w:type="dxa"/>
          </w:tcPr>
          <w:p w:rsidR="004170E7" w:rsidRPr="0001193E" w:rsidRDefault="004170E7" w:rsidP="00EB5065">
            <w:pPr>
              <w:rPr>
                <w:i/>
              </w:rPr>
            </w:pPr>
            <w:r>
              <w:t xml:space="preserve">Probability of animals at age </w:t>
            </w:r>
            <w:r>
              <w:rPr>
                <w:i/>
              </w:rPr>
              <w:t xml:space="preserve">a </w:t>
            </w:r>
            <w:r>
              <w:t xml:space="preserve">to be in weight class </w:t>
            </w:r>
            <w:r>
              <w:rPr>
                <w:i/>
              </w:rPr>
              <w:t>w</w:t>
            </w:r>
          </w:p>
        </w:tc>
        <w:tc>
          <w:tcPr>
            <w:tcW w:w="0" w:type="auto"/>
          </w:tcPr>
          <w:p w:rsidR="004170E7" w:rsidRDefault="004170E7" w:rsidP="00EB5065">
            <w:r>
              <w:fldChar w:fldCharType="begin"/>
            </w:r>
            <w:r>
              <w:instrText xml:space="preserve"> SEQ Equation \* ARABIC </w:instrText>
            </w:r>
            <w:r>
              <w:fldChar w:fldCharType="separate"/>
            </w:r>
            <w:r>
              <w:rPr>
                <w:noProof/>
              </w:rPr>
              <w:t>24</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pred</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m:t>
                        </m:r>
                      </m:sub>
                    </m:sSub>
                  </m:den>
                </m:f>
              </m:oMath>
            </m:oMathPara>
          </w:p>
        </w:tc>
        <w:tc>
          <w:tcPr>
            <w:tcW w:w="5664" w:type="dxa"/>
          </w:tcPr>
          <w:p w:rsidR="004170E7" w:rsidRDefault="004170E7" w:rsidP="00EB5065">
            <w:r>
              <w:t>The predicted index of fishing effort</w:t>
            </w:r>
          </w:p>
        </w:tc>
        <w:tc>
          <w:tcPr>
            <w:tcW w:w="0" w:type="auto"/>
          </w:tcPr>
          <w:p w:rsidR="004170E7" w:rsidRDefault="004170E7" w:rsidP="00EB5065">
            <w:r>
              <w:fldChar w:fldCharType="begin"/>
            </w:r>
            <w:r>
              <w:instrText xml:space="preserve"> SEQ Equation \* ARABIC </w:instrText>
            </w:r>
            <w:r>
              <w:fldChar w:fldCharType="separate"/>
            </w:r>
            <w:r>
              <w:rPr>
                <w:noProof/>
              </w:rPr>
              <w:t>25</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pred</m:t>
                    </m:r>
                  </m:sup>
                </m:sSubSup>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Theme="minorEastAsia" w:hAnsi="Cambria Math"/>
                            <w:i/>
                          </w:rPr>
                        </m:ctrlPr>
                      </m:sSubPr>
                      <m:e>
                        <m:r>
                          <w:rPr>
                            <w:rFonts w:ascii="Cambria Math" w:eastAsiaTheme="minorEastAsia" w:hAnsi="Cambria Math"/>
                          </w:rPr>
                          <m:t>VB</m:t>
                        </m:r>
                      </m:e>
                      <m:sub>
                        <m:r>
                          <w:rPr>
                            <w:rFonts w:ascii="Cambria Math" w:eastAsiaTheme="minorEastAsia" w:hAnsi="Cambria Math"/>
                          </w:rPr>
                          <m:t>t</m:t>
                        </m:r>
                      </m:sub>
                    </m:sSub>
                  </m:num>
                  <m:den>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VB</m:t>
                            </m:r>
                          </m:e>
                        </m:acc>
                      </m:e>
                      <m:sub>
                        <m:r>
                          <w:rPr>
                            <w:rFonts w:ascii="Cambria Math" w:eastAsiaTheme="minorEastAsia" w:hAnsi="Cambria Math"/>
                          </w:rPr>
                          <m:t>t</m:t>
                        </m:r>
                      </m:sub>
                    </m:sSub>
                  </m:den>
                </m:f>
              </m:oMath>
            </m:oMathPara>
          </w:p>
        </w:tc>
        <w:tc>
          <w:tcPr>
            <w:tcW w:w="5664" w:type="dxa"/>
          </w:tcPr>
          <w:p w:rsidR="004170E7" w:rsidRDefault="004170E7" w:rsidP="00EB5065">
            <w:r>
              <w:t>The predicted index of abundance</w:t>
            </w:r>
          </w:p>
        </w:tc>
        <w:tc>
          <w:tcPr>
            <w:tcW w:w="0" w:type="auto"/>
          </w:tcPr>
          <w:p w:rsidR="004170E7" w:rsidRDefault="004170E7" w:rsidP="00EB5065">
            <w:r>
              <w:fldChar w:fldCharType="begin"/>
            </w:r>
            <w:r>
              <w:instrText xml:space="preserve"> SEQ Equation \* ARABIC </w:instrText>
            </w:r>
            <w:r>
              <w:fldChar w:fldCharType="separate"/>
            </w:r>
            <w:r>
              <w:rPr>
                <w:noProof/>
              </w:rPr>
              <w:t>26</w:t>
            </w:r>
            <w:r>
              <w:rPr>
                <w:noProof/>
              </w:rPr>
              <w:fldChar w:fldCharType="end"/>
            </w:r>
          </w:p>
        </w:tc>
      </w:tr>
      <w:tr w:rsidR="004170E7" w:rsidTr="00EB5065">
        <w:tc>
          <w:tcPr>
            <w:tcW w:w="6840" w:type="dxa"/>
          </w:tcPr>
          <w:p w:rsidR="004170E7"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CB</m:t>
                    </m:r>
                  </m:e>
                  <m:sub>
                    <m:r>
                      <w:rPr>
                        <w:rFonts w:ascii="Cambria Math" w:hAnsi="Cambria Math"/>
                      </w:rPr>
                      <m:t>t</m:t>
                    </m:r>
                  </m:sub>
                  <m:sup>
                    <m:r>
                      <m:rPr>
                        <m:nor/>
                      </m:rPr>
                      <m:t>pred</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CB</m:t>
                        </m:r>
                      </m:e>
                      <m:sub>
                        <m:r>
                          <w:rPr>
                            <w:rFonts w:ascii="Cambria Math" w:hAnsi="Cambria Math"/>
                          </w:rPr>
                          <m:t>t</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CB</m:t>
                            </m:r>
                          </m:e>
                        </m:acc>
                      </m:e>
                      <m:sub>
                        <m:r>
                          <w:rPr>
                            <w:rFonts w:ascii="Cambria Math" w:hAnsi="Cambria Math"/>
                          </w:rPr>
                          <m:t>t</m:t>
                        </m:r>
                      </m:sub>
                    </m:sSub>
                  </m:den>
                </m:f>
              </m:oMath>
            </m:oMathPara>
          </w:p>
        </w:tc>
        <w:tc>
          <w:tcPr>
            <w:tcW w:w="5664" w:type="dxa"/>
          </w:tcPr>
          <w:p w:rsidR="004170E7" w:rsidRDefault="004170E7" w:rsidP="00EB5065">
            <w:r>
              <w:t>The predicted index of catch</w:t>
            </w:r>
          </w:p>
        </w:tc>
        <w:tc>
          <w:tcPr>
            <w:tcW w:w="0" w:type="auto"/>
          </w:tcPr>
          <w:p w:rsidR="004170E7" w:rsidRDefault="004170E7" w:rsidP="00EB5065">
            <w:r>
              <w:fldChar w:fldCharType="begin"/>
            </w:r>
            <w:r>
              <w:instrText xml:space="preserve"> SEQ Equation \* ARABIC </w:instrText>
            </w:r>
            <w:r>
              <w:fldChar w:fldCharType="separate"/>
            </w:r>
            <w:r>
              <w:rPr>
                <w:noProof/>
              </w:rPr>
              <w:t>27</w:t>
            </w:r>
            <w:r>
              <w:rPr>
                <w:noProof/>
              </w:rPr>
              <w:fldChar w:fldCharType="end"/>
            </w:r>
          </w:p>
        </w:tc>
      </w:tr>
    </w:tbl>
    <w:p w:rsidR="004170E7" w:rsidRDefault="004170E7" w:rsidP="004170E7">
      <w:pPr>
        <w:rPr>
          <w:rFonts w:eastAsiaTheme="minorEastAsia"/>
        </w:rPr>
      </w:pPr>
    </w:p>
    <w:p w:rsidR="004170E7" w:rsidRDefault="004170E7" w:rsidP="004170E7">
      <w:bookmarkStart w:id="8" w:name="_Ref132289634"/>
    </w:p>
    <w:p w:rsidR="004170E7" w:rsidRDefault="004170E7" w:rsidP="004170E7">
      <w:bookmarkStart w:id="9" w:name="_Ref132635346"/>
      <w:r>
        <w:br w:type="page"/>
      </w:r>
    </w:p>
    <w:p w:rsidR="004170E7" w:rsidRDefault="004170E7" w:rsidP="004170E7">
      <w:pPr>
        <w:pStyle w:val="Caption"/>
        <w:sectPr w:rsidR="004170E7" w:rsidSect="00B246AC">
          <w:pgSz w:w="15840" w:h="12240" w:orient="landscape"/>
          <w:pgMar w:top="1440" w:right="1440" w:bottom="1440" w:left="1440" w:header="720" w:footer="720" w:gutter="0"/>
          <w:cols w:space="720"/>
          <w:docGrid w:linePitch="360"/>
        </w:sectPr>
      </w:pPr>
      <w:bookmarkStart w:id="10" w:name="_Ref132981029"/>
    </w:p>
    <w:p w:rsidR="004170E7" w:rsidRDefault="00D639A9" w:rsidP="004170E7">
      <w:pPr>
        <w:pStyle w:val="Caption"/>
        <w:keepNext/>
        <w:keepLines/>
      </w:pPr>
      <w:bookmarkStart w:id="11" w:name="_Toc143691727"/>
      <w:r>
        <w:lastRenderedPageBreak/>
        <w:t xml:space="preserve">Table S1-2 </w:t>
      </w:r>
      <w:r w:rsidR="004170E7">
        <w:t>The equations used to calculate the negative log-likelihood in the assessment model.</w:t>
      </w:r>
      <w:bookmarkEnd w:id="1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1980"/>
        <w:gridCol w:w="720"/>
      </w:tblGrid>
      <w:tr w:rsidR="004170E7" w:rsidTr="00EB5065">
        <w:trPr>
          <w:tblHeader/>
        </w:trPr>
        <w:tc>
          <w:tcPr>
            <w:tcW w:w="6660" w:type="dxa"/>
            <w:tcBorders>
              <w:top w:val="single" w:sz="4" w:space="0" w:color="auto"/>
              <w:bottom w:val="single" w:sz="4" w:space="0" w:color="auto"/>
            </w:tcBorders>
          </w:tcPr>
          <w:p w:rsidR="004170E7" w:rsidRPr="00A06FFC" w:rsidRDefault="004170E7" w:rsidP="00EB5065">
            <w:pPr>
              <w:pStyle w:val="NoSpacing"/>
              <w:rPr>
                <w:b/>
              </w:rPr>
            </w:pPr>
            <w:r w:rsidRPr="00A06FFC">
              <w:rPr>
                <w:b/>
              </w:rPr>
              <w:t>Equation</w:t>
            </w:r>
          </w:p>
        </w:tc>
        <w:tc>
          <w:tcPr>
            <w:tcW w:w="1980" w:type="dxa"/>
            <w:tcBorders>
              <w:top w:val="single" w:sz="4" w:space="0" w:color="auto"/>
              <w:bottom w:val="single" w:sz="4" w:space="0" w:color="auto"/>
            </w:tcBorders>
          </w:tcPr>
          <w:p w:rsidR="004170E7" w:rsidRPr="00A06FFC" w:rsidRDefault="004170E7" w:rsidP="00EB5065">
            <w:pPr>
              <w:pStyle w:val="NoSpacing"/>
              <w:rPr>
                <w:b/>
              </w:rPr>
            </w:pPr>
            <w:r w:rsidRPr="00A06FFC">
              <w:rPr>
                <w:b/>
              </w:rPr>
              <w:t>Description</w:t>
            </w:r>
          </w:p>
        </w:tc>
        <w:tc>
          <w:tcPr>
            <w:tcW w:w="720" w:type="dxa"/>
            <w:tcBorders>
              <w:top w:val="single" w:sz="4" w:space="0" w:color="auto"/>
              <w:bottom w:val="single" w:sz="4" w:space="0" w:color="auto"/>
            </w:tcBorders>
          </w:tcPr>
          <w:p w:rsidR="004170E7" w:rsidRDefault="004170E7" w:rsidP="00EB5065">
            <w:pPr>
              <w:pStyle w:val="NoSpacing"/>
            </w:pPr>
          </w:p>
        </w:tc>
      </w:tr>
      <w:tr w:rsidR="004170E7" w:rsidTr="00EB5065">
        <w:tc>
          <w:tcPr>
            <w:tcW w:w="6660" w:type="dxa"/>
            <w:tcBorders>
              <w:top w:val="single" w:sz="4" w:space="0" w:color="auto"/>
            </w:tcBorders>
          </w:tcPr>
          <w:p w:rsidR="004170E7" w:rsidRPr="00B4424C" w:rsidRDefault="00000000" w:rsidP="00EB5065">
            <w:pPr>
              <w:pStyle w:val="NoSpacing"/>
              <w:spacing w:after="120"/>
            </w:pPr>
            <m:oMathPara>
              <m:oMathParaPr>
                <m:jc m:val="left"/>
              </m:oMathParaPr>
              <m:oMath>
                <m:sSub>
                  <m:sSubPr>
                    <m:ctrlPr>
                      <w:rPr>
                        <w:rFonts w:ascii="Cambria Math" w:hAnsi="Cambria Math"/>
                        <w:i/>
                      </w:rPr>
                    </m:ctrlPr>
                  </m:sSubPr>
                  <m:e>
                    <m:r>
                      <w:rPr>
                        <w:rFonts w:ascii="Cambria Math" w:hAnsi="Cambria Math"/>
                      </w:rPr>
                      <m:t>NLL</m:t>
                    </m:r>
                  </m:e>
                  <m:sub>
                    <m:r>
                      <m:rPr>
                        <m:nor/>
                      </m:rP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NLL</m:t>
                    </m:r>
                  </m:e>
                  <m:sub>
                    <m:r>
                      <m:rPr>
                        <m:nor/>
                      </m:rPr>
                      <w:rPr>
                        <w:rFonts w:ascii="Cambria Math" w:hAnsi="Cambria Math"/>
                      </w:rPr>
                      <m:t>CAW</m:t>
                    </m:r>
                  </m:sub>
                </m:sSub>
                <m:r>
                  <w:rPr>
                    <w:rFonts w:ascii="Cambria Math" w:hAnsi="Cambria Math"/>
                  </w:rPr>
                  <m:t xml:space="preserve">+ </m:t>
                </m:r>
                <m:sSub>
                  <m:sSubPr>
                    <m:ctrlPr>
                      <w:rPr>
                        <w:rFonts w:ascii="Cambria Math" w:hAnsi="Cambria Math"/>
                        <w:i/>
                      </w:rPr>
                    </m:ctrlPr>
                  </m:sSubPr>
                  <m:e>
                    <m:r>
                      <w:rPr>
                        <w:rFonts w:ascii="Cambria Math" w:hAnsi="Cambria Math"/>
                      </w:rPr>
                      <m:t>NLL</m:t>
                    </m:r>
                  </m:e>
                  <m:sub>
                    <m:r>
                      <m:rPr>
                        <m:nor/>
                      </m:rPr>
                      <w:rPr>
                        <w:rFonts w:ascii="Cambria Math" w:hAnsi="Cambria Math"/>
                      </w:rPr>
                      <m:t>Effort</m:t>
                    </m:r>
                  </m:sub>
                </m:sSub>
                <m:r>
                  <w:rPr>
                    <w:rFonts w:ascii="Cambria Math" w:hAnsi="Cambria Math"/>
                  </w:rPr>
                  <m:t xml:space="preserve">+ </m:t>
                </m:r>
                <m:sSub>
                  <m:sSubPr>
                    <m:ctrlPr>
                      <w:rPr>
                        <w:rFonts w:ascii="Cambria Math" w:hAnsi="Cambria Math"/>
                        <w:i/>
                      </w:rPr>
                    </m:ctrlPr>
                  </m:sSubPr>
                  <m:e>
                    <m:r>
                      <w:rPr>
                        <w:rFonts w:ascii="Cambria Math" w:hAnsi="Cambria Math"/>
                      </w:rPr>
                      <m:t>NLL</m:t>
                    </m:r>
                  </m:e>
                  <m:sub>
                    <m:r>
                      <m:rPr>
                        <m:nor/>
                      </m:rPr>
                      <w:rPr>
                        <w:rFonts w:ascii="Cambria Math" w:hAnsi="Cambria Math"/>
                      </w:rPr>
                      <m:t>Catch</m:t>
                    </m:r>
                  </m:sub>
                </m:sSub>
                <m:r>
                  <w:rPr>
                    <w:rFonts w:ascii="Cambria Math" w:hAnsi="Cambria Math"/>
                  </w:rPr>
                  <m:t xml:space="preserve">+ </m:t>
                </m:r>
                <m:sSub>
                  <m:sSubPr>
                    <m:ctrlPr>
                      <w:rPr>
                        <w:rFonts w:ascii="Cambria Math" w:hAnsi="Cambria Math"/>
                        <w:i/>
                      </w:rPr>
                    </m:ctrlPr>
                  </m:sSubPr>
                  <m:e>
                    <m:r>
                      <w:rPr>
                        <w:rFonts w:ascii="Cambria Math" w:hAnsi="Cambria Math"/>
                      </w:rPr>
                      <m:t>NLL</m:t>
                    </m:r>
                  </m:e>
                  <m:sub>
                    <m:r>
                      <m:rPr>
                        <m:nor/>
                      </m:rPr>
                      <w:rPr>
                        <w:rFonts w:ascii="Cambria Math" w:hAnsi="Cambria Math"/>
                      </w:rPr>
                      <m:t>Ind</m:t>
                    </m:r>
                  </m:sub>
                </m:sSub>
                <m:r>
                  <w:rPr>
                    <w:rFonts w:ascii="Cambria Math" w:hAnsi="Cambria Math"/>
                  </w:rPr>
                  <m:t>+</m:t>
                </m:r>
                <m:sSub>
                  <m:sSubPr>
                    <m:ctrlPr>
                      <w:rPr>
                        <w:rFonts w:ascii="Cambria Math" w:hAnsi="Cambria Math"/>
                        <w:i/>
                      </w:rPr>
                    </m:ctrlPr>
                  </m:sSubPr>
                  <m:e>
                    <m:r>
                      <w:rPr>
                        <w:rFonts w:ascii="Cambria Math" w:hAnsi="Cambria Math"/>
                      </w:rPr>
                      <m:t>NLL</m:t>
                    </m:r>
                  </m:e>
                  <m:sub>
                    <m:r>
                      <m:rPr>
                        <m:nor/>
                      </m:rP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NLL</m:t>
                    </m:r>
                  </m:e>
                  <m:sub>
                    <m:sSub>
                      <m:sSubPr>
                        <m:ctrlPr>
                          <w:rPr>
                            <w:rFonts w:ascii="Cambria Math" w:hAnsi="Cambria Math"/>
                            <w:i/>
                          </w:rPr>
                        </m:ctrlPr>
                      </m:sSubPr>
                      <m:e>
                        <m:r>
                          <w:rPr>
                            <w:rFonts w:ascii="Cambria Math" w:hAnsi="Cambria Math"/>
                          </w:rPr>
                          <m:t>F</m:t>
                        </m:r>
                      </m:e>
                      <m:sub>
                        <m:r>
                          <w:rPr>
                            <w:rFonts w:ascii="Cambria Math" w:hAnsi="Cambria Math"/>
                          </w:rPr>
                          <m:t>t</m:t>
                        </m:r>
                      </m:sub>
                    </m:sSub>
                  </m:sub>
                </m:sSub>
                <m:r>
                  <w:rPr>
                    <w:rFonts w:ascii="Cambria Math" w:hAnsi="Cambria Math"/>
                  </w:rPr>
                  <m:t>+</m:t>
                </m:r>
                <m:sSub>
                  <m:sSubPr>
                    <m:ctrlPr>
                      <w:rPr>
                        <w:rFonts w:ascii="Cambria Math" w:hAnsi="Cambria Math"/>
                        <w:i/>
                      </w:rPr>
                    </m:ctrlPr>
                  </m:sSubPr>
                  <m:e>
                    <m:r>
                      <w:rPr>
                        <w:rFonts w:ascii="Cambria Math" w:hAnsi="Cambria Math"/>
                      </w:rPr>
                      <m:t>NLL</m:t>
                    </m:r>
                  </m:e>
                  <m:sub>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0</m:t>
                        </m:r>
                      </m:sup>
                    </m:sSubSup>
                  </m:sub>
                </m:sSub>
              </m:oMath>
            </m:oMathPara>
          </w:p>
        </w:tc>
        <w:tc>
          <w:tcPr>
            <w:tcW w:w="1980" w:type="dxa"/>
            <w:tcBorders>
              <w:top w:val="single" w:sz="4" w:space="0" w:color="auto"/>
            </w:tcBorders>
          </w:tcPr>
          <w:p w:rsidR="004170E7" w:rsidRDefault="004170E7" w:rsidP="00EB5065">
            <w:pPr>
              <w:pStyle w:val="NoSpacing"/>
              <w:spacing w:after="120"/>
            </w:pPr>
            <w:r>
              <w:t>Total joint negative log-likelihood</w:t>
            </w:r>
          </w:p>
        </w:tc>
        <w:tc>
          <w:tcPr>
            <w:tcW w:w="720" w:type="dxa"/>
            <w:tcBorders>
              <w:top w:val="single" w:sz="4" w:space="0" w:color="auto"/>
            </w:tcBorders>
          </w:tcPr>
          <w:p w:rsidR="004170E7" w:rsidRDefault="004170E7" w:rsidP="00EB5065">
            <w:pPr>
              <w:pStyle w:val="NoSpacing"/>
              <w:spacing w:after="120"/>
            </w:pPr>
            <w:r>
              <w:fldChar w:fldCharType="begin"/>
            </w:r>
            <w:r>
              <w:instrText xml:space="preserve"> SEQ Equation \* ARABIC </w:instrText>
            </w:r>
            <w:r>
              <w:fldChar w:fldCharType="separate"/>
            </w:r>
            <w:r>
              <w:rPr>
                <w:noProof/>
              </w:rPr>
              <w:t>28</w:t>
            </w:r>
            <w:r>
              <w:rPr>
                <w:noProof/>
              </w:rPr>
              <w:fldChar w:fldCharType="end"/>
            </w:r>
          </w:p>
        </w:tc>
      </w:tr>
      <w:tr w:rsidR="004170E7" w:rsidTr="00EB5065">
        <w:tc>
          <w:tcPr>
            <w:tcW w:w="6660" w:type="dxa"/>
          </w:tcPr>
          <w:p w:rsidR="004170E7" w:rsidRPr="00B4424C" w:rsidRDefault="00000000" w:rsidP="00EB5065">
            <w:pPr>
              <w:pStyle w:val="NoSpacing"/>
              <w:spacing w:after="120"/>
            </w:pPr>
            <m:oMathPara>
              <m:oMathParaPr>
                <m:jc m:val="left"/>
              </m:oMathParaPr>
              <m:oMath>
                <m:sSub>
                  <m:sSubPr>
                    <m:ctrlPr>
                      <w:rPr>
                        <w:rFonts w:ascii="Cambria Math" w:hAnsi="Cambria Math"/>
                        <w:i/>
                      </w:rPr>
                    </m:ctrlPr>
                  </m:sSubPr>
                  <m:e>
                    <m:r>
                      <w:rPr>
                        <w:rFonts w:ascii="Cambria Math" w:hAnsi="Cambria Math"/>
                      </w:rPr>
                      <m:t>NLL</m:t>
                    </m:r>
                  </m:e>
                  <m:sub>
                    <m:r>
                      <m:rPr>
                        <m:nor/>
                      </m:rPr>
                      <w:rPr>
                        <w:rFonts w:ascii="Cambria Math" w:hAnsi="Cambria Math"/>
                      </w:rPr>
                      <m:t>CAW</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t</m:t>
                    </m:r>
                  </m:sub>
                  <m:sup/>
                  <m:e>
                    <m:sSubSup>
                      <m:sSubSupPr>
                        <m:ctrlPr>
                          <w:rPr>
                            <w:rFonts w:ascii="Cambria Math" w:hAnsi="Cambria Math"/>
                            <w:i/>
                          </w:rPr>
                        </m:ctrlPr>
                      </m:sSubSupPr>
                      <m:e>
                        <m:r>
                          <w:rPr>
                            <w:rFonts w:ascii="Cambria Math" w:hAnsi="Cambria Math"/>
                          </w:rPr>
                          <m:t>ESS</m:t>
                        </m:r>
                      </m:e>
                      <m:sub>
                        <m:r>
                          <w:rPr>
                            <w:rFonts w:ascii="Cambria Math" w:hAnsi="Cambria Math"/>
                          </w:rPr>
                          <m:t>t</m:t>
                        </m:r>
                      </m:sub>
                      <m:sup>
                        <m:r>
                          <m:rPr>
                            <m:nor/>
                          </m:rPr>
                          <w:rPr>
                            <w:rFonts w:ascii="Cambria Math" w:hAnsi="Cambria Math"/>
                          </w:rPr>
                          <m:t>CAW</m:t>
                        </m:r>
                      </m:sup>
                    </m:sSubSup>
                    <m:nary>
                      <m:naryPr>
                        <m:chr m:val="∑"/>
                        <m:limLoc m:val="undOvr"/>
                        <m:supHide m:val="1"/>
                        <m:ctrlPr>
                          <w:rPr>
                            <w:rFonts w:ascii="Cambria Math" w:hAnsi="Cambria Math"/>
                            <w:i/>
                          </w:rPr>
                        </m:ctrlPr>
                      </m:naryPr>
                      <m:sub>
                        <m:r>
                          <w:rPr>
                            <w:rFonts w:ascii="Cambria Math" w:hAnsi="Cambria Math"/>
                          </w:rPr>
                          <m:t>w</m:t>
                        </m:r>
                      </m:sub>
                      <m:sup/>
                      <m:e>
                        <m:sSubSup>
                          <m:sSubSupPr>
                            <m:ctrlPr>
                              <w:rPr>
                                <w:rFonts w:ascii="Cambria Math" w:hAnsi="Cambria Math"/>
                                <w:i/>
                              </w:rPr>
                            </m:ctrlPr>
                          </m:sSubSupPr>
                          <m:e>
                            <m:r>
                              <w:rPr>
                                <w:rFonts w:ascii="Cambria Math" w:hAnsi="Cambria Math"/>
                              </w:rPr>
                              <m:t>p</m:t>
                            </m:r>
                          </m:e>
                          <m:sub>
                            <m:r>
                              <w:rPr>
                                <w:rFonts w:ascii="Cambria Math" w:hAnsi="Cambria Math"/>
                              </w:rPr>
                              <m:t>t,w</m:t>
                            </m:r>
                          </m:sub>
                          <m:sup>
                            <m:r>
                              <m:rPr>
                                <m:nor/>
                              </m:rPr>
                              <w:rPr>
                                <w:rFonts w:ascii="Cambria Math" w:hAnsi="Cambria Math"/>
                              </w:rPr>
                              <m:t>obs</m:t>
                            </m:r>
                          </m:sup>
                        </m:sSubSup>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t,w</m:t>
                                    </m:r>
                                  </m:sub>
                                  <m:sup>
                                    <m:r>
                                      <m:rPr>
                                        <m:nor/>
                                      </m:rPr>
                                      <w:rPr>
                                        <w:rFonts w:ascii="Cambria Math" w:hAnsi="Cambria Math"/>
                                      </w:rPr>
                                      <m:t>pred</m:t>
                                    </m:r>
                                  </m:sup>
                                </m:sSubSup>
                              </m:e>
                            </m:d>
                          </m:e>
                        </m:func>
                      </m:e>
                    </m:nary>
                  </m:e>
                </m:nary>
              </m:oMath>
            </m:oMathPara>
          </w:p>
        </w:tc>
        <w:tc>
          <w:tcPr>
            <w:tcW w:w="1980" w:type="dxa"/>
          </w:tcPr>
          <w:p w:rsidR="004170E7" w:rsidRDefault="004170E7" w:rsidP="00EB5065">
            <w:pPr>
              <w:pStyle w:val="NoSpacing"/>
              <w:spacing w:after="120"/>
            </w:pPr>
            <w:r>
              <w:rPr>
                <w:rFonts w:eastAsiaTheme="minorEastAsia"/>
              </w:rPr>
              <w:t>Negative likelihood for the catch-at-weight data</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29</w:t>
            </w:r>
            <w:r>
              <w:rPr>
                <w:noProof/>
              </w:rPr>
              <w:fldChar w:fldCharType="end"/>
            </w:r>
          </w:p>
        </w:tc>
      </w:tr>
      <w:tr w:rsidR="004170E7" w:rsidTr="00EB5065">
        <w:tc>
          <w:tcPr>
            <w:tcW w:w="6660" w:type="dxa"/>
          </w:tcPr>
          <w:p w:rsidR="004170E7" w:rsidRPr="00B4424C" w:rsidRDefault="00000000" w:rsidP="00EB5065">
            <w:pPr>
              <w:pStyle w:val="NoSpacing"/>
              <w:spacing w:after="120"/>
            </w:pPr>
            <m:oMathPara>
              <m:oMathParaPr>
                <m:jc m:val="left"/>
              </m:oMathParaPr>
              <m:oMath>
                <m:sSub>
                  <m:sSubPr>
                    <m:ctrlPr>
                      <w:rPr>
                        <w:rFonts w:ascii="Cambria Math" w:hAnsi="Cambria Math"/>
                        <w:i/>
                      </w:rPr>
                    </m:ctrlPr>
                  </m:sSubPr>
                  <m:e>
                    <m:r>
                      <w:rPr>
                        <w:rFonts w:ascii="Cambria Math" w:hAnsi="Cambria Math"/>
                      </w:rPr>
                      <m:t>NLL</m:t>
                    </m:r>
                  </m:e>
                  <m:sub>
                    <m:r>
                      <m:rPr>
                        <m:nor/>
                      </m:rPr>
                      <w:rPr>
                        <w:rFonts w:ascii="Cambria Math" w:hAnsi="Cambria Math"/>
                      </w:rPr>
                      <m:t>Effort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t</m:t>
                    </m:r>
                  </m:sub>
                  <m:sup/>
                  <m:e>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m:rPr>
                                        <m:nor/>
                                      </m:rPr>
                                      <w:rPr>
                                        <w:rFonts w:ascii="Cambria Math" w:eastAsiaTheme="minorEastAsia" w:hAnsi="Cambria Math"/>
                                      </w:rPr>
                                      <m:t>Eff</m:t>
                                    </m:r>
                                  </m:sup>
                                </m:sSubSup>
                              </m:e>
                            </m:d>
                          </m:e>
                        </m:fun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t</m:t>
                                                </m:r>
                                              </m:sub>
                                              <m:sup>
                                                <m:r>
                                                  <m:rPr>
                                                    <m:nor/>
                                                  </m:rPr>
                                                  <w:rPr>
                                                    <w:rFonts w:ascii="Cambria Math" w:eastAsiaTheme="minorEastAsia" w:hAnsi="Cambria Math"/>
                                                  </w:rPr>
                                                  <m:t>obs</m:t>
                                                </m:r>
                                              </m:sup>
                                            </m:sSubSup>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t</m:t>
                                                    </m:r>
                                                  </m:sub>
                                                  <m:sup>
                                                    <m:r>
                                                      <m:rPr>
                                                        <m:nor/>
                                                      </m:rPr>
                                                      <w:rPr>
                                                        <w:rFonts w:ascii="Cambria Math" w:eastAsiaTheme="minorEastAsia" w:hAnsi="Cambria Math"/>
                                                      </w:rPr>
                                                      <m:t>pred</m:t>
                                                    </m:r>
                                                  </m:sup>
                                                </m:sSubSup>
                                              </m:e>
                                            </m:d>
                                          </m:e>
                                        </m:func>
                                      </m:e>
                                    </m:func>
                                  </m:e>
                                </m:d>
                              </m:e>
                              <m:sup>
                                <m:r>
                                  <w:rPr>
                                    <w:rFonts w:ascii="Cambria Math" w:eastAsiaTheme="minorEastAsia" w:hAnsi="Cambria Math"/>
                                  </w:rPr>
                                  <m:t>2</m:t>
                                </m:r>
                              </m:sup>
                            </m:sSup>
                          </m:num>
                          <m:den>
                            <m:r>
                              <w:rPr>
                                <w:rFonts w:ascii="Cambria Math" w:eastAsiaTheme="minorEastAsia" w:hAnsi="Cambria Math"/>
                              </w:rPr>
                              <m:t>2</m:t>
                            </m:r>
                            <m:sSup>
                              <m:sSupPr>
                                <m:ctrlPr>
                                  <w:rPr>
                                    <w:rFonts w:ascii="Cambria Math" w:eastAsiaTheme="minorEastAsia" w:hAnsi="Cambria Math"/>
                                    <w:i/>
                                  </w:rPr>
                                </m:ctrlPr>
                              </m:sSup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m:rPr>
                                        <m:nor/>
                                      </m:rPr>
                                      <w:rPr>
                                        <w:rFonts w:ascii="Cambria Math" w:eastAsiaTheme="minorEastAsia" w:hAnsi="Cambria Math"/>
                                      </w:rPr>
                                      <m:t>Eff</m:t>
                                    </m:r>
                                  </m:sup>
                                </m:sSubSup>
                              </m:e>
                              <m:sup>
                                <m:r>
                                  <w:rPr>
                                    <w:rFonts w:ascii="Cambria Math" w:eastAsiaTheme="minorEastAsia" w:hAnsi="Cambria Math"/>
                                  </w:rPr>
                                  <m:t>2</m:t>
                                </m:r>
                              </m:sup>
                            </m:sSup>
                          </m:den>
                        </m:f>
                      </m:e>
                    </m:d>
                    <m:r>
                      <w:rPr>
                        <w:rFonts w:ascii="Cambria Math" w:eastAsiaTheme="minorEastAsia" w:hAnsi="Cambria Math"/>
                      </w:rPr>
                      <m:t xml:space="preserve"> </m:t>
                    </m:r>
                  </m:e>
                </m:nary>
              </m:oMath>
            </m:oMathPara>
          </w:p>
        </w:tc>
        <w:tc>
          <w:tcPr>
            <w:tcW w:w="1980" w:type="dxa"/>
          </w:tcPr>
          <w:p w:rsidR="004170E7" w:rsidRDefault="004170E7" w:rsidP="00EB5065">
            <w:pPr>
              <w:pStyle w:val="NoSpacing"/>
              <w:spacing w:after="120"/>
            </w:pPr>
            <w:r>
              <w:rPr>
                <w:rFonts w:eastAsiaTheme="minorEastAsia"/>
              </w:rPr>
              <w:t>Negative log-likelihood for the effort data</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30</w:t>
            </w:r>
            <w:r>
              <w:rPr>
                <w:noProof/>
              </w:rPr>
              <w:fldChar w:fldCharType="end"/>
            </w:r>
          </w:p>
        </w:tc>
      </w:tr>
      <w:tr w:rsidR="004170E7" w:rsidTr="00EB5065">
        <w:tc>
          <w:tcPr>
            <w:tcW w:w="6660" w:type="dxa"/>
          </w:tcPr>
          <w:p w:rsidR="004170E7" w:rsidRPr="00B4424C" w:rsidRDefault="00000000" w:rsidP="00EB5065">
            <w:pPr>
              <w:pStyle w:val="NoSpacing"/>
              <w:spacing w:after="120"/>
            </w:pPr>
            <m:oMathPara>
              <m:oMathParaPr>
                <m:jc m:val="left"/>
              </m:oMathParaPr>
              <m:oMath>
                <m:sSub>
                  <m:sSubPr>
                    <m:ctrlPr>
                      <w:rPr>
                        <w:rFonts w:ascii="Cambria Math" w:hAnsi="Cambria Math"/>
                        <w:i/>
                      </w:rPr>
                    </m:ctrlPr>
                  </m:sSubPr>
                  <m:e>
                    <m:r>
                      <w:rPr>
                        <w:rFonts w:ascii="Cambria Math" w:hAnsi="Cambria Math"/>
                      </w:rPr>
                      <m:t>NLL</m:t>
                    </m:r>
                  </m:e>
                  <m:sub>
                    <m:r>
                      <m:rPr>
                        <m:nor/>
                      </m:rPr>
                      <w:rPr>
                        <w:rFonts w:ascii="Cambria Math" w:hAnsi="Cambria Math"/>
                      </w:rPr>
                      <m:t>Catch</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t</m:t>
                    </m:r>
                  </m:sub>
                  <m:sup/>
                  <m:e>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m:rPr>
                                        <m:nor/>
                                      </m:rPr>
                                      <w:rPr>
                                        <w:rFonts w:ascii="Cambria Math" w:eastAsiaTheme="minorEastAsia" w:hAnsi="Cambria Math"/>
                                      </w:rPr>
                                      <m:t>Catch</m:t>
                                    </m:r>
                                  </m:sup>
                                </m:sSubSup>
                              </m:e>
                            </m:d>
                          </m:e>
                        </m:fun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CB</m:t>
                                                </m:r>
                                              </m:e>
                                              <m:sub>
                                                <m:r>
                                                  <w:rPr>
                                                    <w:rFonts w:ascii="Cambria Math" w:eastAsiaTheme="minorEastAsia" w:hAnsi="Cambria Math"/>
                                                  </w:rPr>
                                                  <m:t>t</m:t>
                                                </m:r>
                                              </m:sub>
                                              <m:sup>
                                                <m:r>
                                                  <m:rPr>
                                                    <m:nor/>
                                                  </m:rPr>
                                                  <w:rPr>
                                                    <w:rFonts w:ascii="Cambria Math" w:eastAsiaTheme="minorEastAsia" w:hAnsi="Cambria Math"/>
                                                  </w:rPr>
                                                  <m:t>obs</m:t>
                                                </m:r>
                                              </m:sup>
                                            </m:sSubSup>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CB</m:t>
                                                    </m:r>
                                                  </m:e>
                                                  <m:sub>
                                                    <m:r>
                                                      <w:rPr>
                                                        <w:rFonts w:ascii="Cambria Math" w:eastAsiaTheme="minorEastAsia" w:hAnsi="Cambria Math"/>
                                                      </w:rPr>
                                                      <m:t>t</m:t>
                                                    </m:r>
                                                  </m:sub>
                                                  <m:sup>
                                                    <m:r>
                                                      <m:rPr>
                                                        <m:nor/>
                                                      </m:rPr>
                                                      <w:rPr>
                                                        <w:rFonts w:ascii="Cambria Math" w:eastAsiaTheme="minorEastAsia" w:hAnsi="Cambria Math"/>
                                                      </w:rPr>
                                                      <m:t>pred</m:t>
                                                    </m:r>
                                                  </m:sup>
                                                </m:sSubSup>
                                              </m:e>
                                            </m:d>
                                          </m:e>
                                        </m:func>
                                      </m:e>
                                    </m:func>
                                  </m:e>
                                </m:d>
                              </m:e>
                              <m:sup>
                                <m:r>
                                  <w:rPr>
                                    <w:rFonts w:ascii="Cambria Math" w:eastAsiaTheme="minorEastAsia" w:hAnsi="Cambria Math"/>
                                  </w:rPr>
                                  <m:t>2</m:t>
                                </m:r>
                              </m:sup>
                            </m:sSup>
                          </m:num>
                          <m:den>
                            <m:r>
                              <w:rPr>
                                <w:rFonts w:ascii="Cambria Math" w:eastAsiaTheme="minorEastAsia" w:hAnsi="Cambria Math"/>
                              </w:rPr>
                              <m:t>2</m:t>
                            </m:r>
                            <m:sSup>
                              <m:sSupPr>
                                <m:ctrlPr>
                                  <w:rPr>
                                    <w:rFonts w:ascii="Cambria Math" w:eastAsiaTheme="minorEastAsia" w:hAnsi="Cambria Math"/>
                                    <w:i/>
                                  </w:rPr>
                                </m:ctrlPr>
                              </m:sSup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m:rPr>
                                        <m:nor/>
                                      </m:rPr>
                                      <w:rPr>
                                        <w:rFonts w:ascii="Cambria Math" w:eastAsiaTheme="minorEastAsia" w:hAnsi="Cambria Math"/>
                                      </w:rPr>
                                      <m:t>Catch</m:t>
                                    </m:r>
                                  </m:sup>
                                </m:sSubSup>
                              </m:e>
                              <m:sup>
                                <m:r>
                                  <w:rPr>
                                    <w:rFonts w:ascii="Cambria Math" w:eastAsiaTheme="minorEastAsia" w:hAnsi="Cambria Math"/>
                                  </w:rPr>
                                  <m:t>2</m:t>
                                </m:r>
                              </m:sup>
                            </m:sSup>
                          </m:den>
                        </m:f>
                      </m:e>
                    </m:d>
                    <m:r>
                      <w:rPr>
                        <w:rFonts w:ascii="Cambria Math" w:eastAsiaTheme="minorEastAsia" w:hAnsi="Cambria Math"/>
                      </w:rPr>
                      <m:t xml:space="preserve"> </m:t>
                    </m:r>
                  </m:e>
                </m:nary>
              </m:oMath>
            </m:oMathPara>
          </w:p>
        </w:tc>
        <w:tc>
          <w:tcPr>
            <w:tcW w:w="1980" w:type="dxa"/>
          </w:tcPr>
          <w:p w:rsidR="004170E7" w:rsidRDefault="004170E7" w:rsidP="00EB5065">
            <w:pPr>
              <w:pStyle w:val="NoSpacing"/>
              <w:spacing w:after="120"/>
            </w:pPr>
            <w:r>
              <w:rPr>
                <w:rFonts w:eastAsiaTheme="minorEastAsia"/>
              </w:rPr>
              <w:t>Negative log-likelihood for the catch data</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31</w:t>
            </w:r>
            <w:r>
              <w:rPr>
                <w:noProof/>
              </w:rPr>
              <w:fldChar w:fldCharType="end"/>
            </w:r>
          </w:p>
        </w:tc>
      </w:tr>
      <w:tr w:rsidR="004170E7" w:rsidTr="00EB5065">
        <w:tc>
          <w:tcPr>
            <w:tcW w:w="6660" w:type="dxa"/>
          </w:tcPr>
          <w:p w:rsidR="004170E7" w:rsidRDefault="00000000" w:rsidP="00EB5065">
            <w:pPr>
              <w:pStyle w:val="NoSpacing"/>
              <w:spacing w:after="120"/>
              <w:rPr>
                <w:rFonts w:eastAsia="Calibri" w:cs="Times New Roman"/>
              </w:rPr>
            </w:pPr>
            <m:oMathPara>
              <m:oMath>
                <m:sSub>
                  <m:sSubPr>
                    <m:ctrlPr>
                      <w:rPr>
                        <w:rFonts w:ascii="Cambria Math" w:hAnsi="Cambria Math"/>
                        <w:i/>
                      </w:rPr>
                    </m:ctrlPr>
                  </m:sSubPr>
                  <m:e>
                    <m:r>
                      <w:rPr>
                        <w:rFonts w:ascii="Cambria Math" w:hAnsi="Cambria Math"/>
                      </w:rPr>
                      <m:t>NLL</m:t>
                    </m:r>
                  </m:e>
                  <m:sub>
                    <m:r>
                      <m:rPr>
                        <m:nor/>
                      </m:rPr>
                      <w:rPr>
                        <w:rFonts w:ascii="Cambria Math" w:hAnsi="Cambria Math"/>
                      </w:rPr>
                      <m:t>Ind</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t</m:t>
                    </m:r>
                  </m:sub>
                  <m:sup/>
                  <m:e>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m:rPr>
                                        <m:nor/>
                                      </m:rPr>
                                      <w:rPr>
                                        <w:rFonts w:ascii="Cambria Math" w:eastAsiaTheme="minorEastAsia" w:hAnsi="Cambria Math"/>
                                      </w:rPr>
                                      <m:t>Ind</m:t>
                                    </m:r>
                                  </m:sup>
                                </m:sSubSup>
                              </m:e>
                            </m:d>
                          </m:e>
                        </m:fun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t</m:t>
                                                </m:r>
                                              </m:sub>
                                              <m:sup>
                                                <m:r>
                                                  <m:rPr>
                                                    <m:nor/>
                                                  </m:rPr>
                                                  <w:rPr>
                                                    <w:rFonts w:ascii="Cambria Math" w:eastAsiaTheme="minorEastAsia" w:hAnsi="Cambria Math"/>
                                                  </w:rPr>
                                                  <m:t>obs</m:t>
                                                </m:r>
                                              </m:sup>
                                            </m:sSubSup>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t</m:t>
                                                    </m:r>
                                                  </m:sub>
                                                  <m:sup>
                                                    <m:r>
                                                      <m:rPr>
                                                        <m:nor/>
                                                      </m:rPr>
                                                      <w:rPr>
                                                        <w:rFonts w:ascii="Cambria Math" w:eastAsiaTheme="minorEastAsia" w:hAnsi="Cambria Math"/>
                                                      </w:rPr>
                                                      <m:t>pred</m:t>
                                                    </m:r>
                                                  </m:sup>
                                                </m:sSubSup>
                                              </m:e>
                                            </m:d>
                                          </m:e>
                                        </m:func>
                                      </m:e>
                                    </m:func>
                                  </m:e>
                                </m:d>
                              </m:e>
                              <m:sup>
                                <m:r>
                                  <w:rPr>
                                    <w:rFonts w:ascii="Cambria Math" w:eastAsiaTheme="minorEastAsia" w:hAnsi="Cambria Math"/>
                                  </w:rPr>
                                  <m:t>2</m:t>
                                </m:r>
                              </m:sup>
                            </m:sSup>
                          </m:num>
                          <m:den>
                            <m:r>
                              <w:rPr>
                                <w:rFonts w:ascii="Cambria Math" w:eastAsiaTheme="minorEastAsia" w:hAnsi="Cambria Math"/>
                              </w:rPr>
                              <m:t>2</m:t>
                            </m:r>
                            <m:sSup>
                              <m:sSupPr>
                                <m:ctrlPr>
                                  <w:rPr>
                                    <w:rFonts w:ascii="Cambria Math" w:eastAsiaTheme="minorEastAsia" w:hAnsi="Cambria Math"/>
                                    <w:i/>
                                  </w:rPr>
                                </m:ctrlPr>
                              </m:sSup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m:rPr>
                                        <m:nor/>
                                      </m:rPr>
                                      <w:rPr>
                                        <w:rFonts w:ascii="Cambria Math" w:eastAsiaTheme="minorEastAsia" w:hAnsi="Cambria Math"/>
                                      </w:rPr>
                                      <m:t>Ind</m:t>
                                    </m:r>
                                  </m:sup>
                                </m:sSubSup>
                              </m:e>
                              <m:sup>
                                <m:r>
                                  <w:rPr>
                                    <w:rFonts w:ascii="Cambria Math" w:eastAsiaTheme="minorEastAsia" w:hAnsi="Cambria Math"/>
                                  </w:rPr>
                                  <m:t>2</m:t>
                                </m:r>
                              </m:sup>
                            </m:sSup>
                          </m:den>
                        </m:f>
                      </m:e>
                    </m:d>
                    <m:r>
                      <w:rPr>
                        <w:rFonts w:ascii="Cambria Math" w:eastAsiaTheme="minorEastAsia" w:hAnsi="Cambria Math"/>
                      </w:rPr>
                      <m:t xml:space="preserve"> </m:t>
                    </m:r>
                  </m:e>
                </m:nary>
              </m:oMath>
            </m:oMathPara>
          </w:p>
        </w:tc>
        <w:tc>
          <w:tcPr>
            <w:tcW w:w="1980" w:type="dxa"/>
          </w:tcPr>
          <w:p w:rsidR="004170E7" w:rsidRDefault="004170E7" w:rsidP="00EB5065">
            <w:pPr>
              <w:pStyle w:val="NoSpacing"/>
              <w:spacing w:after="120"/>
              <w:rPr>
                <w:rFonts w:eastAsiaTheme="minorEastAsia"/>
              </w:rPr>
            </w:pPr>
            <w:r>
              <w:rPr>
                <w:rFonts w:eastAsiaTheme="minorEastAsia"/>
              </w:rPr>
              <w:t>Negative log-likelihood for the index of abundance</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32</w:t>
            </w:r>
            <w:r>
              <w:rPr>
                <w:noProof/>
              </w:rPr>
              <w:fldChar w:fldCharType="end"/>
            </w:r>
          </w:p>
        </w:tc>
      </w:tr>
      <w:tr w:rsidR="004170E7" w:rsidTr="00EB5065">
        <w:tc>
          <w:tcPr>
            <w:tcW w:w="6660" w:type="dxa"/>
          </w:tcPr>
          <w:p w:rsidR="004170E7" w:rsidRPr="00B4424C" w:rsidRDefault="00000000" w:rsidP="00EB5065">
            <w:pPr>
              <w:pStyle w:val="NoSpacing"/>
              <w:spacing w:after="120"/>
            </w:pPr>
            <m:oMathPara>
              <m:oMathParaPr>
                <m:jc m:val="left"/>
              </m:oMathParaPr>
              <m:oMath>
                <m:sSub>
                  <m:sSubPr>
                    <m:ctrlPr>
                      <w:rPr>
                        <w:rFonts w:ascii="Cambria Math" w:hAnsi="Cambria Math"/>
                        <w:i/>
                      </w:rPr>
                    </m:ctrlPr>
                  </m:sSubPr>
                  <m:e>
                    <m:r>
                      <w:rPr>
                        <w:rFonts w:ascii="Cambria Math" w:hAnsi="Cambria Math"/>
                      </w:rPr>
                      <m:t>NLL</m:t>
                    </m:r>
                  </m:e>
                  <m:sub>
                    <m:r>
                      <m:rPr>
                        <m:nor/>
                      </m:rPr>
                      <w:rPr>
                        <w:rFonts w:ascii="Cambria Math" w:hAnsi="Cambria Math"/>
                      </w:rPr>
                      <m:t>rec</m:t>
                    </m:r>
                  </m:sub>
                </m:sSub>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t</m:t>
                    </m:r>
                  </m:sub>
                  <m:sup/>
                  <m:e>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e>
                            </m:d>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t</m:t>
                                    </m:r>
                                  </m:sub>
                                  <m:sup>
                                    <m:r>
                                      <w:rPr>
                                        <w:rFonts w:ascii="Cambria Math" w:eastAsiaTheme="minorEastAsia" w:hAnsi="Cambria Math"/>
                                      </w:rPr>
                                      <m:t>2</m:t>
                                    </m:r>
                                  </m:sup>
                                </m:sSubSup>
                              </m:num>
                              <m:den>
                                <m:r>
                                  <w:rPr>
                                    <w:rFonts w:ascii="Cambria Math" w:eastAsiaTheme="minorEastAsia" w:hAnsi="Cambria Math"/>
                                  </w:rPr>
                                  <m:t>2</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m:t>
                                    </m:r>
                                  </m:sub>
                                  <m:sup>
                                    <m:r>
                                      <w:rPr>
                                        <w:rFonts w:ascii="Cambria Math" w:eastAsiaTheme="minorEastAsia" w:hAnsi="Cambria Math"/>
                                      </w:rPr>
                                      <m:t>2</m:t>
                                    </m:r>
                                  </m:sup>
                                </m:sSubSup>
                              </m:den>
                            </m:f>
                          </m:e>
                        </m:func>
                      </m:e>
                    </m:d>
                  </m:e>
                </m:nary>
              </m:oMath>
            </m:oMathPara>
          </w:p>
        </w:tc>
        <w:tc>
          <w:tcPr>
            <w:tcW w:w="1980" w:type="dxa"/>
          </w:tcPr>
          <w:p w:rsidR="004170E7" w:rsidRDefault="004170E7" w:rsidP="00EB5065">
            <w:pPr>
              <w:pStyle w:val="NoSpacing"/>
              <w:spacing w:after="120"/>
            </w:pPr>
            <w:r>
              <w:rPr>
                <w:rFonts w:eastAsiaTheme="minorEastAsia"/>
              </w:rPr>
              <w:t>Negative log-likelihood for recruitment deviations assuming normal error on the log deviations</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33</w:t>
            </w:r>
            <w:r>
              <w:rPr>
                <w:noProof/>
              </w:rPr>
              <w:fldChar w:fldCharType="end"/>
            </w:r>
          </w:p>
        </w:tc>
      </w:tr>
      <w:tr w:rsidR="004170E7" w:rsidTr="00EB5065">
        <w:tc>
          <w:tcPr>
            <w:tcW w:w="6660" w:type="dxa"/>
          </w:tcPr>
          <w:p w:rsidR="004170E7" w:rsidRPr="00B4424C" w:rsidRDefault="00000000" w:rsidP="00EB5065">
            <w:pPr>
              <w:pStyle w:val="NoSpacing"/>
              <w:spacing w:after="120"/>
            </w:pPr>
            <m:oMathPara>
              <m:oMathParaPr>
                <m:jc m:val="left"/>
              </m:oMathParaPr>
              <m:oMath>
                <m:sSub>
                  <m:sSubPr>
                    <m:ctrlPr>
                      <w:rPr>
                        <w:rFonts w:ascii="Cambria Math" w:hAnsi="Cambria Math"/>
                        <w:i/>
                      </w:rPr>
                    </m:ctrlPr>
                  </m:sSubPr>
                  <m:e>
                    <m:r>
                      <w:rPr>
                        <w:rFonts w:ascii="Cambria Math" w:hAnsi="Cambria Math"/>
                      </w:rPr>
                      <m:t>NLL</m:t>
                    </m:r>
                  </m:e>
                  <m:sub>
                    <m:sSub>
                      <m:sSubPr>
                        <m:ctrlPr>
                          <w:rPr>
                            <w:rFonts w:ascii="Cambria Math" w:hAnsi="Cambria Math"/>
                            <w:i/>
                          </w:rPr>
                        </m:ctrlPr>
                      </m:sSubPr>
                      <m:e>
                        <m:r>
                          <w:rPr>
                            <w:rFonts w:ascii="Cambria Math" w:hAnsi="Cambria Math"/>
                          </w:rPr>
                          <m:t>F</m:t>
                        </m:r>
                      </m:e>
                      <m:sub>
                        <m:r>
                          <w:rPr>
                            <w:rFonts w:ascii="Cambria Math" w:hAnsi="Cambria Math"/>
                          </w:rPr>
                          <m:t>t</m:t>
                        </m:r>
                      </m:sub>
                    </m:sSub>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t</m:t>
                    </m:r>
                  </m:sub>
                  <m:sup/>
                  <m:e>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t-1</m:t>
                                                </m:r>
                                              </m:sub>
                                            </m:sSub>
                                          </m:e>
                                        </m:d>
                                      </m:e>
                                    </m:func>
                                  </m:num>
                                  <m:den>
                                    <m:sSub>
                                      <m:sSubPr>
                                        <m:ctrlPr>
                                          <w:rPr>
                                            <w:rFonts w:ascii="Cambria Math" w:eastAsiaTheme="minorEastAsia" w:hAnsi="Cambria Math"/>
                                            <w:i/>
                                          </w:rPr>
                                        </m:ctrlPr>
                                      </m:sSub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sub>
                                    </m:sSub>
                                  </m:den>
                                </m:f>
                              </m:e>
                            </m:d>
                          </m:e>
                        </m:d>
                      </m:e>
                    </m:func>
                  </m:e>
                </m:nary>
                <m:r>
                  <w:rPr>
                    <w:rFonts w:ascii="Cambria Math" w:eastAsiaTheme="minorEastAsia" w:hAnsi="Cambria Math"/>
                  </w:rPr>
                  <m:t xml:space="preserve"> </m:t>
                </m:r>
                <m:r>
                  <m:rPr>
                    <m:nor/>
                  </m:rPr>
                  <w:rPr>
                    <w:rFonts w:ascii="Cambria Math" w:eastAsiaTheme="minorEastAsia" w:hAnsi="Cambria Math"/>
                  </w:rPr>
                  <m:t xml:space="preserve">for </m:t>
                </m:r>
                <m:r>
                  <w:rPr>
                    <w:rFonts w:ascii="Cambria Math" w:eastAsiaTheme="minorEastAsia" w:hAnsi="Cambria Math"/>
                  </w:rPr>
                  <m:t>t&gt;1</m:t>
                </m:r>
              </m:oMath>
            </m:oMathPara>
          </w:p>
        </w:tc>
        <w:tc>
          <w:tcPr>
            <w:tcW w:w="1980" w:type="dxa"/>
          </w:tcPr>
          <w:p w:rsidR="004170E7" w:rsidRDefault="004170E7" w:rsidP="00EB5065">
            <w:pPr>
              <w:pStyle w:val="NoSpacing"/>
              <w:spacing w:after="120"/>
            </w:pPr>
            <w:r>
              <w:t>Random walk penalty on the monthly estimates of log fishing mortality</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34</w:t>
            </w:r>
            <w:r>
              <w:rPr>
                <w:noProof/>
              </w:rPr>
              <w:fldChar w:fldCharType="end"/>
            </w:r>
          </w:p>
        </w:tc>
      </w:tr>
      <w:tr w:rsidR="004170E7" w:rsidTr="00EB5065">
        <w:tc>
          <w:tcPr>
            <w:tcW w:w="6660" w:type="dxa"/>
          </w:tcPr>
          <w:p w:rsidR="004170E7" w:rsidRDefault="00000000" w:rsidP="00EB5065">
            <w:pPr>
              <w:pStyle w:val="NoSpacing"/>
              <w:spacing w:after="120"/>
            </w:pPr>
            <m:oMathPara>
              <m:oMath>
                <m:sSub>
                  <m:sSubPr>
                    <m:ctrlPr>
                      <w:rPr>
                        <w:rFonts w:ascii="Cambria Math" w:hAnsi="Cambria Math"/>
                        <w:i/>
                      </w:rPr>
                    </m:ctrlPr>
                  </m:sSubPr>
                  <m:e>
                    <m:r>
                      <w:rPr>
                        <w:rFonts w:ascii="Cambria Math" w:hAnsi="Cambria Math"/>
                      </w:rPr>
                      <m:t>NLL</m:t>
                    </m:r>
                  </m:e>
                  <m:sub>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0</m:t>
                        </m:r>
                      </m:sup>
                    </m:sSubSup>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m=1</m:t>
                    </m:r>
                  </m:sub>
                  <m:sup>
                    <m:r>
                      <w:rPr>
                        <w:rFonts w:ascii="Cambria Math" w:eastAsiaTheme="minorEastAsia" w:hAnsi="Cambria Math"/>
                      </w:rPr>
                      <m:t>12</m:t>
                    </m:r>
                  </m:sup>
                  <m:e>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m</m:t>
                                                  </m:r>
                                                </m:sup>
                                              </m:sSubSup>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m-1</m:t>
                                                  </m:r>
                                                </m:sup>
                                              </m:sSubSup>
                                            </m:e>
                                          </m:d>
                                        </m:e>
                                      </m:func>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m:t>
                                          </m:r>
                                        </m:sub>
                                        <m:sup>
                                          <m:r>
                                            <w:rPr>
                                              <w:rFonts w:ascii="Cambria Math" w:eastAsiaTheme="minorEastAsia" w:hAnsi="Cambria Math"/>
                                            </w:rPr>
                                            <m:t>m</m:t>
                                          </m:r>
                                        </m:sup>
                                      </m:sSubSup>
                                    </m:den>
                                  </m:f>
                                </m:e>
                              </m:d>
                            </m:e>
                            <m:e>
                              <m:r>
                                <w:rPr>
                                  <w:rFonts w:ascii="Cambria Math" w:eastAsiaTheme="minorEastAsia" w:hAnsi="Cambria Math"/>
                                </w:rPr>
                                <m:t>1&lt;m≤12</m:t>
                              </m:r>
                            </m:e>
                          </m:mr>
                          <m:mr>
                            <m:e>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m</m:t>
                                                  </m:r>
                                                </m:sup>
                                              </m:sSubSup>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m=12</m:t>
                                                  </m:r>
                                                </m:sup>
                                              </m:sSubSup>
                                            </m:e>
                                          </m:d>
                                        </m:e>
                                      </m:func>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m:t>
                                          </m:r>
                                        </m:sub>
                                        <m:sup>
                                          <m:r>
                                            <w:rPr>
                                              <w:rFonts w:ascii="Cambria Math" w:eastAsiaTheme="minorEastAsia" w:hAnsi="Cambria Math"/>
                                            </w:rPr>
                                            <m:t>m</m:t>
                                          </m:r>
                                        </m:sup>
                                      </m:sSubSup>
                                    </m:den>
                                  </m:f>
                                </m:e>
                              </m:d>
                            </m:e>
                            <m:e>
                              <m:r>
                                <w:rPr>
                                  <w:rFonts w:ascii="Cambria Math" w:eastAsiaTheme="minorEastAsia" w:hAnsi="Cambria Math"/>
                                </w:rPr>
                                <m:t>m=1</m:t>
                              </m:r>
                            </m:e>
                          </m:mr>
                        </m:m>
                        <m:r>
                          <w:rPr>
                            <w:rFonts w:ascii="Cambria Math" w:eastAsiaTheme="minorEastAsia" w:hAnsi="Cambria Math"/>
                          </w:rPr>
                          <m:t xml:space="preserve"> </m:t>
                        </m:r>
                      </m:e>
                    </m:d>
                  </m:e>
                </m:nary>
              </m:oMath>
            </m:oMathPara>
          </w:p>
        </w:tc>
        <w:tc>
          <w:tcPr>
            <w:tcW w:w="1980" w:type="dxa"/>
          </w:tcPr>
          <w:p w:rsidR="004170E7" w:rsidRDefault="004170E7" w:rsidP="00EB5065">
            <w:pPr>
              <w:pStyle w:val="NoSpacing"/>
              <w:spacing w:after="120"/>
            </w:pPr>
            <w:r>
              <w:rPr>
                <w:rFonts w:eastAsiaTheme="minorEastAsia"/>
              </w:rPr>
              <w:t>Random walk penalty on the difference in the log fraction of recruitment between each calendar month</w:t>
            </w:r>
          </w:p>
        </w:tc>
        <w:tc>
          <w:tcPr>
            <w:tcW w:w="720" w:type="dxa"/>
          </w:tcPr>
          <w:p w:rsidR="004170E7" w:rsidRDefault="004170E7" w:rsidP="00EB5065">
            <w:pPr>
              <w:pStyle w:val="NoSpacing"/>
              <w:spacing w:after="120"/>
            </w:pPr>
            <w:r>
              <w:fldChar w:fldCharType="begin"/>
            </w:r>
            <w:r>
              <w:instrText xml:space="preserve"> SEQ Equation \* ARABIC </w:instrText>
            </w:r>
            <w:r>
              <w:fldChar w:fldCharType="separate"/>
            </w:r>
            <w:r>
              <w:rPr>
                <w:noProof/>
              </w:rPr>
              <w:t>35</w:t>
            </w:r>
            <w:r>
              <w:rPr>
                <w:noProof/>
              </w:rPr>
              <w:fldChar w:fldCharType="end"/>
            </w:r>
          </w:p>
        </w:tc>
      </w:tr>
    </w:tbl>
    <w:p w:rsidR="004170E7" w:rsidRDefault="004170E7" w:rsidP="004170E7">
      <w:pPr>
        <w:pStyle w:val="Caption"/>
      </w:pPr>
    </w:p>
    <w:p w:rsidR="004170E7" w:rsidRDefault="004170E7" w:rsidP="004170E7">
      <w:pPr>
        <w:pStyle w:val="Caption"/>
      </w:pPr>
    </w:p>
    <w:p w:rsidR="004170E7" w:rsidRDefault="004170E7" w:rsidP="004170E7">
      <w:pPr>
        <w:pStyle w:val="Caption"/>
        <w:sectPr w:rsidR="004170E7" w:rsidSect="00A06FFC">
          <w:pgSz w:w="12240" w:h="15840"/>
          <w:pgMar w:top="1440" w:right="1440" w:bottom="1440" w:left="1440" w:header="720" w:footer="720" w:gutter="0"/>
          <w:cols w:space="720"/>
          <w:docGrid w:linePitch="360"/>
        </w:sectPr>
      </w:pPr>
    </w:p>
    <w:p w:rsidR="004170E7" w:rsidRPr="00B869FF" w:rsidRDefault="00D639A9" w:rsidP="004170E7">
      <w:pPr>
        <w:pStyle w:val="Caption"/>
      </w:pPr>
      <w:bookmarkStart w:id="12" w:name="_Toc143691728"/>
      <w:bookmarkEnd w:id="10"/>
      <w:r>
        <w:rPr>
          <w:noProof/>
        </w:rPr>
        <w:lastRenderedPageBreak/>
        <w:t>Table S1-3</w:t>
      </w:r>
      <w:r w:rsidR="004170E7" w:rsidRPr="00B869FF">
        <w:t xml:space="preserve">. Definition of symbols used in </w:t>
      </w:r>
      <w:r>
        <w:t xml:space="preserve">Table S1-1 </w:t>
      </w:r>
      <w:r w:rsidR="004170E7" w:rsidRPr="00B869FF">
        <w:t xml:space="preserve">and values used the simulation </w:t>
      </w:r>
      <w:r w:rsidR="004170E7">
        <w:t>t</w:t>
      </w:r>
      <w:r w:rsidR="004170E7" w:rsidRPr="00B869FF">
        <w:t xml:space="preserve">esting and application of the assessment model to the </w:t>
      </w:r>
      <w:r w:rsidR="004170E7">
        <w:t>case studies</w:t>
      </w:r>
      <w:r w:rsidR="004170E7" w:rsidRPr="00B869FF">
        <w:t>.</w:t>
      </w:r>
      <w:bookmarkEnd w:id="1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4753"/>
        <w:gridCol w:w="1782"/>
        <w:gridCol w:w="24"/>
        <w:gridCol w:w="1760"/>
      </w:tblGrid>
      <w:tr w:rsidR="004170E7" w:rsidRPr="00563CC9" w:rsidTr="00EB5065">
        <w:trPr>
          <w:tblHeader/>
        </w:trPr>
        <w:tc>
          <w:tcPr>
            <w:tcW w:w="556" w:type="pct"/>
            <w:tcBorders>
              <w:top w:val="single" w:sz="4" w:space="0" w:color="auto"/>
              <w:bottom w:val="single" w:sz="4" w:space="0" w:color="auto"/>
            </w:tcBorders>
          </w:tcPr>
          <w:p w:rsidR="004170E7" w:rsidRPr="00563CC9" w:rsidRDefault="004170E7" w:rsidP="00EB5065">
            <w:pPr>
              <w:rPr>
                <w:b/>
              </w:rPr>
            </w:pPr>
            <w:r w:rsidRPr="00563CC9">
              <w:rPr>
                <w:b/>
              </w:rPr>
              <w:t>Symbol</w:t>
            </w:r>
          </w:p>
        </w:tc>
        <w:tc>
          <w:tcPr>
            <w:tcW w:w="2539" w:type="pct"/>
            <w:tcBorders>
              <w:top w:val="single" w:sz="4" w:space="0" w:color="auto"/>
              <w:bottom w:val="single" w:sz="4" w:space="0" w:color="auto"/>
            </w:tcBorders>
            <w:vAlign w:val="center"/>
          </w:tcPr>
          <w:p w:rsidR="004170E7" w:rsidRPr="0042221A" w:rsidRDefault="004170E7" w:rsidP="00EB5065">
            <w:pPr>
              <w:jc w:val="center"/>
              <w:rPr>
                <w:b/>
              </w:rPr>
            </w:pPr>
            <w:r w:rsidRPr="0042221A">
              <w:rPr>
                <w:b/>
              </w:rPr>
              <w:t>Definition</w:t>
            </w:r>
          </w:p>
        </w:tc>
        <w:tc>
          <w:tcPr>
            <w:tcW w:w="965" w:type="pct"/>
            <w:gridSpan w:val="2"/>
            <w:tcBorders>
              <w:top w:val="single" w:sz="4" w:space="0" w:color="auto"/>
              <w:bottom w:val="single" w:sz="4" w:space="0" w:color="auto"/>
            </w:tcBorders>
            <w:vAlign w:val="center"/>
          </w:tcPr>
          <w:p w:rsidR="004170E7" w:rsidRPr="0042221A" w:rsidRDefault="004170E7" w:rsidP="00EB5065">
            <w:pPr>
              <w:jc w:val="center"/>
              <w:rPr>
                <w:b/>
              </w:rPr>
            </w:pPr>
            <w:r w:rsidRPr="0042221A">
              <w:rPr>
                <w:b/>
              </w:rPr>
              <w:t>Simulation Testing</w:t>
            </w:r>
          </w:p>
        </w:tc>
        <w:tc>
          <w:tcPr>
            <w:tcW w:w="940" w:type="pct"/>
            <w:tcBorders>
              <w:top w:val="single" w:sz="4" w:space="0" w:color="auto"/>
              <w:bottom w:val="single" w:sz="4" w:space="0" w:color="auto"/>
            </w:tcBorders>
            <w:vAlign w:val="center"/>
          </w:tcPr>
          <w:p w:rsidR="004170E7" w:rsidRPr="0042221A" w:rsidRDefault="004170E7" w:rsidP="00EB5065">
            <w:pPr>
              <w:jc w:val="center"/>
              <w:rPr>
                <w:b/>
              </w:rPr>
            </w:pPr>
            <w:r>
              <w:rPr>
                <w:b/>
              </w:rPr>
              <w:t>Case Studies</w:t>
            </w:r>
          </w:p>
        </w:tc>
      </w:tr>
      <w:tr w:rsidR="004170E7" w:rsidRPr="00563CC9" w:rsidTr="00EB5065">
        <w:tc>
          <w:tcPr>
            <w:tcW w:w="556" w:type="pct"/>
            <w:tcBorders>
              <w:top w:val="single" w:sz="4" w:space="0" w:color="auto"/>
            </w:tcBorders>
          </w:tcPr>
          <w:p w:rsidR="004170E7" w:rsidRDefault="00000000" w:rsidP="00EB5065">
            <w:pPr>
              <w:rPr>
                <w:rFonts w:eastAsia="Calibri" w:cs="Times New Roman"/>
              </w:rPr>
            </w:pPr>
            <m:oMathPara>
              <m:oMath>
                <m:sSub>
                  <m:sSubPr>
                    <m:ctrlPr>
                      <w:rPr>
                        <w:rFonts w:ascii="Cambria Math" w:hAnsi="Cambria Math"/>
                      </w:rPr>
                    </m:ctrlPr>
                  </m:sSubPr>
                  <m:e>
                    <m:r>
                      <w:rPr>
                        <w:rFonts w:ascii="Cambria Math" w:hAnsi="Cambria Math"/>
                      </w:rPr>
                      <m:t>a</m:t>
                    </m:r>
                  </m:e>
                  <m:sub>
                    <m:r>
                      <m:rPr>
                        <m:nor/>
                      </m:rPr>
                      <m:t>max</m:t>
                    </m:r>
                  </m:sub>
                </m:sSub>
              </m:oMath>
            </m:oMathPara>
          </w:p>
        </w:tc>
        <w:tc>
          <w:tcPr>
            <w:tcW w:w="2539" w:type="pct"/>
            <w:tcBorders>
              <w:top w:val="single" w:sz="4" w:space="0" w:color="auto"/>
            </w:tcBorders>
          </w:tcPr>
          <w:p w:rsidR="004170E7" w:rsidRPr="00563CC9" w:rsidRDefault="004170E7" w:rsidP="00EB5065">
            <w:r w:rsidRPr="00563CC9">
              <w:t>Maximum age class</w:t>
            </w:r>
            <w:r>
              <w:t xml:space="preserve"> (months)</w:t>
            </w:r>
          </w:p>
        </w:tc>
        <w:tc>
          <w:tcPr>
            <w:tcW w:w="1905" w:type="pct"/>
            <w:gridSpan w:val="3"/>
            <w:tcBorders>
              <w:top w:val="single" w:sz="4" w:space="0" w:color="auto"/>
            </w:tcBorders>
          </w:tcPr>
          <w:p w:rsidR="004170E7" w:rsidRDefault="004170E7" w:rsidP="00EB5065">
            <w:pPr>
              <w:jc w:val="center"/>
              <w:rPr>
                <w:rFonts w:eastAsia="Calibri" w:cs="Times New Roman"/>
              </w:rPr>
            </w:pPr>
            <m:oMathPara>
              <m:oMath>
                <m:r>
                  <m:rPr>
                    <m:sty m:val="p"/>
                  </m:rPr>
                  <w:rPr>
                    <w:rFonts w:ascii="Cambria Math" w:hAnsi="Cambria Math"/>
                  </w:rPr>
                  <m:t>14</m:t>
                </m:r>
              </m:oMath>
            </m:oMathPara>
          </w:p>
        </w:tc>
      </w:tr>
      <w:tr w:rsidR="004170E7" w:rsidRPr="00563CC9" w:rsidTr="00EB5065">
        <w:tc>
          <w:tcPr>
            <w:tcW w:w="556" w:type="pct"/>
          </w:tcPr>
          <w:p w:rsidR="004170E7"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R</m:t>
                    </m:r>
                  </m:e>
                  <m:sub>
                    <m:r>
                      <w:rPr>
                        <w:rFonts w:ascii="Cambria Math" w:hAnsi="Cambria Math"/>
                      </w:rPr>
                      <m:t>m</m:t>
                    </m:r>
                  </m:sub>
                  <m:sup>
                    <m:r>
                      <m:rPr>
                        <m:sty m:val="p"/>
                      </m:rPr>
                      <w:rPr>
                        <w:rFonts w:ascii="Cambria Math" w:hAnsi="Cambria Math"/>
                      </w:rPr>
                      <m:t>0</m:t>
                    </m:r>
                  </m:sup>
                </m:sSubSup>
              </m:oMath>
            </m:oMathPara>
          </w:p>
        </w:tc>
        <w:tc>
          <w:tcPr>
            <w:tcW w:w="2539" w:type="pct"/>
          </w:tcPr>
          <w:p w:rsidR="004170E7" w:rsidRPr="00563CC9" w:rsidRDefault="004170E7" w:rsidP="00EB5065">
            <w:r w:rsidRPr="00563CC9">
              <w:t xml:space="preserve">Relative proportion of mean annual recruitment in calendar month </w:t>
            </w:r>
            <w:r w:rsidRPr="007E7EE8">
              <w:rPr>
                <w:i/>
              </w:rPr>
              <w:t>m</w:t>
            </w:r>
          </w:p>
        </w:tc>
        <w:tc>
          <w:tcPr>
            <w:tcW w:w="965" w:type="pct"/>
            <w:gridSpan w:val="2"/>
          </w:tcPr>
          <w:p w:rsidR="004170E7" w:rsidRDefault="004170E7" w:rsidP="00EB5065">
            <w:pPr>
              <w:jc w:val="center"/>
            </w:pPr>
            <w:r>
              <w:t>See</w:t>
            </w:r>
            <w:r w:rsidR="00CC447D">
              <w:t xml:space="preserve"> Figure S1-</w:t>
            </w:r>
            <w:r w:rsidR="00DE4428">
              <w:t>8</w:t>
            </w:r>
          </w:p>
        </w:tc>
        <w:tc>
          <w:tcPr>
            <w:tcW w:w="940" w:type="pct"/>
          </w:tcPr>
          <w:p w:rsidR="004170E7" w:rsidRDefault="004170E7" w:rsidP="00EB5065">
            <w:pPr>
              <w:jc w:val="center"/>
            </w:pPr>
            <w:r>
              <w:t>Estimated</w:t>
            </w:r>
          </w:p>
        </w:tc>
      </w:tr>
      <w:tr w:rsidR="004170E7" w:rsidRPr="00563CC9" w:rsidTr="00EB5065">
        <w:tc>
          <w:tcPr>
            <w:tcW w:w="556" w:type="pct"/>
          </w:tcPr>
          <w:p w:rsidR="004170E7" w:rsidRPr="00563CC9" w:rsidRDefault="00000000" w:rsidP="00EB5065">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a</m:t>
                    </m:r>
                  </m:sub>
                </m:sSub>
              </m:oMath>
            </m:oMathPara>
          </w:p>
        </w:tc>
        <w:tc>
          <w:tcPr>
            <w:tcW w:w="2539" w:type="pct"/>
          </w:tcPr>
          <w:p w:rsidR="004170E7" w:rsidRPr="00563CC9" w:rsidRDefault="004170E7" w:rsidP="00EB5065">
            <w:r w:rsidRPr="00563CC9">
              <w:t xml:space="preserve">Instantaneous natural mortality rate for age class </w:t>
            </w:r>
            <w:r w:rsidRPr="00221A4F">
              <w:rPr>
                <w:i/>
              </w:rPr>
              <w:t>a</w:t>
            </w:r>
          </w:p>
        </w:tc>
        <w:tc>
          <w:tcPr>
            <w:tcW w:w="1905" w:type="pct"/>
            <w:gridSpan w:val="3"/>
          </w:tcPr>
          <w:p w:rsidR="004170E7" w:rsidRPr="00563CC9" w:rsidRDefault="004170E7" w:rsidP="00EB5065">
            <w:pPr>
              <w:jc w:val="center"/>
            </w:pPr>
            <w:r>
              <w:t>0.15 (all age classes)</w:t>
            </w:r>
          </w:p>
        </w:tc>
      </w:tr>
      <w:tr w:rsidR="004170E7" w:rsidRPr="00563CC9" w:rsidTr="00EB5065">
        <w:tc>
          <w:tcPr>
            <w:tcW w:w="556" w:type="pct"/>
          </w:tcPr>
          <w:p w:rsidR="004170E7" w:rsidRPr="00563CC9" w:rsidRDefault="00000000" w:rsidP="00EB5065">
            <w:pPr>
              <w:rPr>
                <w:rFonts w:eastAsia="Calibri" w:cs="Times New Roman"/>
              </w:rPr>
            </w:pPr>
            <m:oMathPara>
              <m:oMath>
                <m:sSub>
                  <m:sSubPr>
                    <m:ctrlPr>
                      <w:rPr>
                        <w:rFonts w:ascii="Cambria Math" w:hAnsi="Cambria Math"/>
                      </w:rPr>
                    </m:ctrlPr>
                  </m:sSubPr>
                  <m:e>
                    <m:r>
                      <w:rPr>
                        <w:rFonts w:ascii="Cambria Math" w:hAnsi="Cambria Math"/>
                      </w:rPr>
                      <m:t>ρ</m:t>
                    </m:r>
                  </m:e>
                  <m:sub>
                    <m:r>
                      <w:rPr>
                        <w:rFonts w:ascii="Cambria Math" w:hAnsi="Cambria Math"/>
                      </w:rPr>
                      <m:t>a</m:t>
                    </m:r>
                  </m:sub>
                </m:sSub>
              </m:oMath>
            </m:oMathPara>
          </w:p>
        </w:tc>
        <w:tc>
          <w:tcPr>
            <w:tcW w:w="2539" w:type="pct"/>
          </w:tcPr>
          <w:p w:rsidR="004170E7" w:rsidRPr="00563CC9" w:rsidRDefault="004170E7" w:rsidP="00EB5065">
            <w:r w:rsidRPr="00563CC9">
              <w:t xml:space="preserve">Probability of spawning at age </w:t>
            </w:r>
            <w:r w:rsidRPr="00563CC9">
              <w:softHyphen/>
            </w:r>
            <w:r w:rsidRPr="00221A4F">
              <w:rPr>
                <w:i/>
              </w:rPr>
              <w:t>a</w:t>
            </w:r>
          </w:p>
        </w:tc>
        <w:tc>
          <w:tcPr>
            <w:tcW w:w="1905" w:type="pct"/>
            <w:gridSpan w:val="3"/>
          </w:tcPr>
          <w:p w:rsidR="004170E7" w:rsidRDefault="004170E7" w:rsidP="00EB5065">
            <w:pPr>
              <w:jc w:val="center"/>
            </w:pPr>
            <w:r>
              <w:t>See</w:t>
            </w:r>
            <w:r w:rsidR="00CC447D">
              <w:t xml:space="preserve"> Figure S1-</w:t>
            </w:r>
            <w:r w:rsidR="00DE4428">
              <w:t>4</w:t>
            </w:r>
          </w:p>
        </w:tc>
      </w:tr>
      <w:tr w:rsidR="004170E7" w:rsidRPr="00563CC9" w:rsidTr="00EB5065">
        <w:tc>
          <w:tcPr>
            <w:tcW w:w="556" w:type="pct"/>
          </w:tcPr>
          <w:p w:rsidR="004170E7" w:rsidRPr="00563CC9" w:rsidRDefault="00000000" w:rsidP="00EB5065">
            <m:oMathPara>
              <m:oMath>
                <m:sSub>
                  <m:sSubPr>
                    <m:ctrlPr>
                      <w:rPr>
                        <w:rFonts w:ascii="Cambria Math" w:hAnsi="Cambria Math"/>
                      </w:rPr>
                    </m:ctrlPr>
                  </m:sSubPr>
                  <m:e>
                    <m:r>
                      <w:rPr>
                        <w:rFonts w:ascii="Cambria Math" w:hAnsi="Cambria Math"/>
                      </w:rPr>
                      <m:t>φ</m:t>
                    </m:r>
                  </m:e>
                  <m:sub>
                    <m:r>
                      <w:rPr>
                        <w:rFonts w:ascii="Cambria Math" w:hAnsi="Cambria Math"/>
                      </w:rPr>
                      <m:t>a</m:t>
                    </m:r>
                  </m:sub>
                </m:sSub>
              </m:oMath>
            </m:oMathPara>
          </w:p>
        </w:tc>
        <w:tc>
          <w:tcPr>
            <w:tcW w:w="2539" w:type="pct"/>
          </w:tcPr>
          <w:p w:rsidR="004170E7" w:rsidRPr="00563CC9" w:rsidRDefault="004170E7" w:rsidP="00EB5065">
            <w:r w:rsidRPr="00563CC9">
              <w:t xml:space="preserve">Proportion of animals in age class </w:t>
            </w:r>
            <w:proofErr w:type="spellStart"/>
            <w:r w:rsidRPr="00041FEE">
              <w:rPr>
                <w:i/>
              </w:rPr>
              <w:t>a</w:t>
            </w:r>
            <w:proofErr w:type="spellEnd"/>
            <w:r w:rsidRPr="00563CC9">
              <w:t xml:space="preserve"> that are subject to post-spawning mortality</w:t>
            </w:r>
          </w:p>
        </w:tc>
        <w:tc>
          <w:tcPr>
            <w:tcW w:w="1905" w:type="pct"/>
            <w:gridSpan w:val="3"/>
          </w:tcPr>
          <w:p w:rsidR="004170E7" w:rsidRPr="00563CC9" w:rsidRDefault="004170E7" w:rsidP="00EB5065">
            <w:pPr>
              <w:jc w:val="center"/>
            </w:pPr>
            <w:r>
              <w:t xml:space="preserve">Equal to </w:t>
            </w:r>
            <m:oMath>
              <m:sSub>
                <m:sSubPr>
                  <m:ctrlPr>
                    <w:rPr>
                      <w:rFonts w:ascii="Cambria Math" w:hAnsi="Cambria Math"/>
                    </w:rPr>
                  </m:ctrlPr>
                </m:sSubPr>
                <m:e>
                  <m:r>
                    <w:rPr>
                      <w:rFonts w:ascii="Cambria Math" w:hAnsi="Cambria Math"/>
                    </w:rPr>
                    <m:t>ρ</m:t>
                  </m:r>
                </m:e>
                <m:sub>
                  <m:r>
                    <w:rPr>
                      <w:rFonts w:ascii="Cambria Math" w:hAnsi="Cambria Math"/>
                    </w:rPr>
                    <m:t>a</m:t>
                  </m:r>
                </m:sub>
              </m:sSub>
            </m:oMath>
          </w:p>
        </w:tc>
      </w:tr>
      <w:tr w:rsidR="004170E7" w:rsidRPr="00563CC9" w:rsidTr="00EB5065">
        <w:tc>
          <w:tcPr>
            <w:tcW w:w="556" w:type="pct"/>
          </w:tcPr>
          <w:p w:rsidR="004170E7" w:rsidRPr="00563CC9" w:rsidRDefault="00000000" w:rsidP="00EB5065">
            <w:pPr>
              <w:rPr>
                <w:rFonts w:eastAsia="Calibri" w:cs="Times New Roman"/>
              </w:rPr>
            </w:pPr>
            <m:oMathPara>
              <m:oMath>
                <m:sSub>
                  <m:sSubPr>
                    <m:ctrlPr>
                      <w:rPr>
                        <w:rFonts w:ascii="Cambria Math" w:hAnsi="Cambria Math"/>
                      </w:rPr>
                    </m:ctrlPr>
                  </m:sSubPr>
                  <m:e>
                    <m:r>
                      <w:rPr>
                        <w:rFonts w:ascii="Cambria Math" w:hAnsi="Cambria Math"/>
                      </w:rPr>
                      <m:t>W</m:t>
                    </m:r>
                  </m:e>
                  <m:sub>
                    <m:r>
                      <w:rPr>
                        <w:rFonts w:ascii="Cambria Math" w:hAnsi="Cambria Math"/>
                      </w:rPr>
                      <m:t>a</m:t>
                    </m:r>
                  </m:sub>
                </m:sSub>
              </m:oMath>
            </m:oMathPara>
          </w:p>
        </w:tc>
        <w:tc>
          <w:tcPr>
            <w:tcW w:w="2539" w:type="pct"/>
          </w:tcPr>
          <w:p w:rsidR="004170E7" w:rsidRPr="00563CC9" w:rsidRDefault="004170E7" w:rsidP="00EB5065">
            <w:r w:rsidRPr="00563CC9">
              <w:t xml:space="preserve">Mean weight-at-age </w:t>
            </w:r>
            <w:r w:rsidRPr="002978FC">
              <w:rPr>
                <w:i/>
              </w:rPr>
              <w:t>a</w:t>
            </w:r>
            <w:r>
              <w:t xml:space="preserve"> (kg)</w:t>
            </w:r>
          </w:p>
        </w:tc>
        <w:tc>
          <w:tcPr>
            <w:tcW w:w="1905" w:type="pct"/>
            <w:gridSpan w:val="3"/>
          </w:tcPr>
          <w:p w:rsidR="004170E7" w:rsidRDefault="004170E7" w:rsidP="00EB5065">
            <w:pPr>
              <w:jc w:val="center"/>
            </w:pPr>
            <w:r>
              <w:t>See</w:t>
            </w:r>
            <w:r w:rsidR="00983DD2">
              <w:t xml:space="preserve"> Table S1-4</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w</m:t>
                    </m:r>
                  </m:sup>
                </m:sSubSup>
              </m:oMath>
            </m:oMathPara>
          </w:p>
        </w:tc>
        <w:tc>
          <w:tcPr>
            <w:tcW w:w="2539" w:type="pct"/>
          </w:tcPr>
          <w:p w:rsidR="004170E7" w:rsidRPr="00563CC9" w:rsidRDefault="004170E7" w:rsidP="00EB5065">
            <w:r w:rsidRPr="00563CC9">
              <w:t>Standard deviation of log-normal distributed weight-at-age</w:t>
            </w:r>
          </w:p>
        </w:tc>
        <w:tc>
          <w:tcPr>
            <w:tcW w:w="1905" w:type="pct"/>
            <w:gridSpan w:val="3"/>
          </w:tcPr>
          <w:p w:rsidR="004170E7" w:rsidRDefault="004170E7" w:rsidP="00EB5065">
            <w:pPr>
              <w:jc w:val="center"/>
            </w:pPr>
            <w:r>
              <w:t>See</w:t>
            </w:r>
            <w:r w:rsidR="00983DD2">
              <w:t xml:space="preserve"> Table S1-4</w:t>
            </w:r>
          </w:p>
        </w:tc>
      </w:tr>
      <w:tr w:rsidR="004170E7" w:rsidRPr="00563CC9" w:rsidTr="00EB5065">
        <w:tc>
          <w:tcPr>
            <w:tcW w:w="556" w:type="pct"/>
          </w:tcPr>
          <w:p w:rsidR="004170E7" w:rsidRPr="00563CC9" w:rsidRDefault="00000000" w:rsidP="00EB5065">
            <w:pPr>
              <w:rPr>
                <w:rFonts w:eastAsia="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a</m:t>
                    </m:r>
                  </m:sub>
                </m:sSub>
              </m:oMath>
            </m:oMathPara>
          </w:p>
        </w:tc>
        <w:tc>
          <w:tcPr>
            <w:tcW w:w="2539" w:type="pct"/>
          </w:tcPr>
          <w:p w:rsidR="004170E7" w:rsidRPr="00563CC9" w:rsidRDefault="004170E7" w:rsidP="00EB5065">
            <w:r w:rsidRPr="00563CC9">
              <w:t xml:space="preserve">Mean weight-at-age </w:t>
            </w:r>
            <w:r w:rsidRPr="002978FC">
              <w:rPr>
                <w:i/>
              </w:rPr>
              <w:t>a</w:t>
            </w:r>
          </w:p>
        </w:tc>
        <w:tc>
          <w:tcPr>
            <w:tcW w:w="1905" w:type="pct"/>
            <w:gridSpan w:val="3"/>
          </w:tcPr>
          <w:p w:rsidR="004170E7" w:rsidRDefault="004170E7" w:rsidP="00EB5065">
            <w:pPr>
              <w:jc w:val="center"/>
            </w:pPr>
            <w:r>
              <w:t>Not used in this analysis</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l</m:t>
                    </m:r>
                  </m:sup>
                </m:sSubSup>
              </m:oMath>
            </m:oMathPara>
          </w:p>
        </w:tc>
        <w:tc>
          <w:tcPr>
            <w:tcW w:w="2539" w:type="pct"/>
          </w:tcPr>
          <w:p w:rsidR="004170E7" w:rsidRPr="00563CC9" w:rsidRDefault="004170E7" w:rsidP="00EB5065">
            <w:r w:rsidRPr="00563CC9">
              <w:t>Standard deviation of normal distributed length-at-age</w:t>
            </w:r>
          </w:p>
        </w:tc>
        <w:tc>
          <w:tcPr>
            <w:tcW w:w="1905" w:type="pct"/>
            <w:gridSpan w:val="3"/>
          </w:tcPr>
          <w:p w:rsidR="004170E7" w:rsidRDefault="004170E7" w:rsidP="00EB5065">
            <w:pPr>
              <w:jc w:val="center"/>
            </w:pPr>
            <w:r>
              <w:t>Not used in this analysis</w:t>
            </w:r>
          </w:p>
        </w:tc>
      </w:tr>
      <w:tr w:rsidR="004170E7" w:rsidRPr="00563CC9" w:rsidTr="00EB5065">
        <w:tc>
          <w:tcPr>
            <w:tcW w:w="556" w:type="pct"/>
          </w:tcPr>
          <w:p w:rsidR="004170E7" w:rsidRPr="00563CC9" w:rsidRDefault="004170E7" w:rsidP="00EB5065">
            <w:pPr>
              <w:jc w:val="center"/>
              <w:rPr>
                <w:rFonts w:eastAsia="Calibri" w:cs="Times New Roman"/>
              </w:rPr>
            </w:pPr>
            <w:r w:rsidRPr="00B47CF4">
              <w:rPr>
                <w:i/>
              </w:rPr>
              <w:t>h</w:t>
            </w:r>
          </w:p>
        </w:tc>
        <w:tc>
          <w:tcPr>
            <w:tcW w:w="2539" w:type="pct"/>
          </w:tcPr>
          <w:p w:rsidR="004170E7" w:rsidRPr="00563CC9" w:rsidRDefault="004170E7" w:rsidP="00EB5065">
            <w:r w:rsidRPr="00563CC9">
              <w:t xml:space="preserve">Steepness of </w:t>
            </w:r>
            <w:proofErr w:type="spellStart"/>
            <w:r w:rsidRPr="00563CC9">
              <w:t>Beverton</w:t>
            </w:r>
            <w:proofErr w:type="spellEnd"/>
            <w:r w:rsidRPr="00563CC9">
              <w:t>-Holt stock-recruit relationship</w:t>
            </w:r>
          </w:p>
        </w:tc>
        <w:tc>
          <w:tcPr>
            <w:tcW w:w="1905" w:type="pct"/>
            <w:gridSpan w:val="3"/>
          </w:tcPr>
          <w:p w:rsidR="004170E7" w:rsidRDefault="004170E7" w:rsidP="00EB5065">
            <w:pPr>
              <w:jc w:val="center"/>
            </w:pPr>
            <w:r>
              <w:t>0.85</w:t>
            </w:r>
          </w:p>
        </w:tc>
      </w:tr>
      <w:tr w:rsidR="004170E7" w:rsidRPr="00563CC9" w:rsidTr="00EB5065">
        <w:tc>
          <w:tcPr>
            <w:tcW w:w="556" w:type="pct"/>
          </w:tcPr>
          <w:p w:rsidR="004170E7" w:rsidRPr="00563CC9" w:rsidRDefault="004170E7" w:rsidP="00EB5065"/>
        </w:tc>
        <w:tc>
          <w:tcPr>
            <w:tcW w:w="2539" w:type="pct"/>
          </w:tcPr>
          <w:p w:rsidR="004170E7" w:rsidRPr="00563CC9" w:rsidRDefault="004170E7" w:rsidP="00EB5065"/>
        </w:tc>
        <w:tc>
          <w:tcPr>
            <w:tcW w:w="965" w:type="pct"/>
            <w:gridSpan w:val="2"/>
          </w:tcPr>
          <w:p w:rsidR="004170E7" w:rsidRPr="00563CC9" w:rsidRDefault="004170E7" w:rsidP="00EB5065">
            <w:pPr>
              <w:jc w:val="center"/>
            </w:pPr>
          </w:p>
        </w:tc>
        <w:tc>
          <w:tcPr>
            <w:tcW w:w="940" w:type="pct"/>
          </w:tcPr>
          <w:p w:rsidR="004170E7" w:rsidRPr="00563CC9" w:rsidRDefault="004170E7" w:rsidP="00EB5065">
            <w:pPr>
              <w:jc w:val="center"/>
            </w:pPr>
          </w:p>
        </w:tc>
      </w:tr>
      <w:tr w:rsidR="004170E7" w:rsidRPr="00563CC9" w:rsidTr="00EB5065">
        <w:tc>
          <w:tcPr>
            <w:tcW w:w="556" w:type="pct"/>
          </w:tcPr>
          <w:p w:rsidR="004170E7" w:rsidRPr="00563CC9" w:rsidRDefault="00000000" w:rsidP="00EB5065">
            <w:pPr>
              <w:rPr>
                <w:rFonts w:eastAsia="Calibri" w:cs="Times New Roman"/>
              </w:rP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50</m:t>
                    </m:r>
                  </m:sub>
                </m:sSub>
              </m:oMath>
            </m:oMathPara>
          </w:p>
        </w:tc>
        <w:tc>
          <w:tcPr>
            <w:tcW w:w="2539" w:type="pct"/>
          </w:tcPr>
          <w:p w:rsidR="004170E7" w:rsidRPr="00563CC9" w:rsidRDefault="004170E7" w:rsidP="00EB5065">
            <w:r w:rsidRPr="00563CC9">
              <w:t xml:space="preserve">Age corresponding to 50% probability of selection </w:t>
            </w:r>
          </w:p>
        </w:tc>
        <w:tc>
          <w:tcPr>
            <w:tcW w:w="965" w:type="pct"/>
            <w:gridSpan w:val="2"/>
          </w:tcPr>
          <w:p w:rsidR="004170E7" w:rsidRPr="0085785D" w:rsidRDefault="004170E7" w:rsidP="00EB5065">
            <w:pPr>
              <w:jc w:val="center"/>
            </w:pPr>
            <w:r w:rsidRPr="0085785D">
              <w:t>5</w:t>
            </w:r>
            <w:r>
              <w:t>.5</w:t>
            </w:r>
          </w:p>
        </w:tc>
        <w:tc>
          <w:tcPr>
            <w:tcW w:w="940" w:type="pct"/>
          </w:tcPr>
          <w:p w:rsidR="004170E7" w:rsidRDefault="004170E7" w:rsidP="00EB5065">
            <w:pPr>
              <w:jc w:val="center"/>
            </w:pPr>
            <w:r>
              <w:t>Estimated</w:t>
            </w:r>
          </w:p>
        </w:tc>
      </w:tr>
      <w:tr w:rsidR="004170E7" w:rsidRPr="00563CC9" w:rsidTr="00EB5065">
        <w:tc>
          <w:tcPr>
            <w:tcW w:w="556" w:type="pct"/>
          </w:tcPr>
          <w:p w:rsidR="004170E7" w:rsidRDefault="00000000" w:rsidP="00EB5065">
            <w:pPr>
              <w:rPr>
                <w:rFonts w:eastAsia="Calibri" w:cs="Times New Roman"/>
              </w:rP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95</m:t>
                    </m:r>
                  </m:sub>
                </m:sSub>
              </m:oMath>
            </m:oMathPara>
          </w:p>
        </w:tc>
        <w:tc>
          <w:tcPr>
            <w:tcW w:w="2539" w:type="pct"/>
          </w:tcPr>
          <w:p w:rsidR="004170E7" w:rsidRPr="00563CC9" w:rsidRDefault="004170E7" w:rsidP="00EB5065">
            <w:r w:rsidRPr="00563CC9">
              <w:t>Age corresponding to 95% probability of selection</w:t>
            </w:r>
          </w:p>
        </w:tc>
        <w:tc>
          <w:tcPr>
            <w:tcW w:w="965" w:type="pct"/>
            <w:gridSpan w:val="2"/>
          </w:tcPr>
          <w:p w:rsidR="004170E7" w:rsidRPr="0085785D" w:rsidRDefault="004170E7" w:rsidP="00EB5065">
            <w:pPr>
              <w:jc w:val="center"/>
            </w:pPr>
            <w:r w:rsidRPr="0085785D">
              <w:t>6</w:t>
            </w:r>
            <w:r>
              <w:t>.5</w:t>
            </w:r>
          </w:p>
        </w:tc>
        <w:tc>
          <w:tcPr>
            <w:tcW w:w="940" w:type="pct"/>
          </w:tcPr>
          <w:p w:rsidR="004170E7" w:rsidRDefault="004170E7" w:rsidP="00EB5065">
            <w:pPr>
              <w:jc w:val="center"/>
            </w:pPr>
            <w:r>
              <w:t>Estimated</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ESS</m:t>
                    </m:r>
                  </m:e>
                  <m:sub>
                    <m:r>
                      <w:rPr>
                        <w:rFonts w:ascii="Cambria Math" w:hAnsi="Cambria Math"/>
                      </w:rPr>
                      <m:t>t</m:t>
                    </m:r>
                  </m:sub>
                  <m:sup>
                    <m:r>
                      <m:rPr>
                        <m:nor/>
                      </m:rPr>
                      <m:t>CAW</m:t>
                    </m:r>
                  </m:sup>
                </m:sSubSup>
              </m:oMath>
            </m:oMathPara>
          </w:p>
        </w:tc>
        <w:tc>
          <w:tcPr>
            <w:tcW w:w="2539" w:type="pct"/>
          </w:tcPr>
          <w:p w:rsidR="004170E7" w:rsidRPr="00563CC9" w:rsidRDefault="004170E7" w:rsidP="00EB5065">
            <w:r w:rsidRPr="00563CC9">
              <w:t>Effective sample size of catch-at-weight data in time-step t</w:t>
            </w:r>
          </w:p>
        </w:tc>
        <w:tc>
          <w:tcPr>
            <w:tcW w:w="965" w:type="pct"/>
            <w:gridSpan w:val="2"/>
          </w:tcPr>
          <w:p w:rsidR="004170E7" w:rsidRDefault="004170E7" w:rsidP="00EB5065">
            <w:pPr>
              <w:jc w:val="center"/>
            </w:pPr>
            <w:r>
              <w:t>416 for all time-steps</w:t>
            </w:r>
          </w:p>
        </w:tc>
        <w:tc>
          <w:tcPr>
            <w:tcW w:w="940" w:type="pct"/>
          </w:tcPr>
          <w:p w:rsidR="004170E7" w:rsidRDefault="004170E7" w:rsidP="00EB5065">
            <w:pPr>
              <w:jc w:val="center"/>
            </w:pPr>
            <w:r>
              <w:t>Monthly sample size (with maximum value of 200)</w:t>
            </w:r>
          </w:p>
        </w:tc>
      </w:tr>
      <w:tr w:rsidR="004170E7" w:rsidRPr="00563CC9" w:rsidTr="00EB5065">
        <w:tc>
          <w:tcPr>
            <w:tcW w:w="556" w:type="pct"/>
          </w:tcPr>
          <w:p w:rsidR="004170E7" w:rsidRPr="00563CC9" w:rsidRDefault="00000000" w:rsidP="00EB5065">
            <w:pPr>
              <w:rPr>
                <w:rFonts w:eastAsia="Calibri" w:cs="Times New Roman"/>
              </w:rPr>
            </w:pPr>
            <m:oMathPara>
              <m:oMath>
                <m:sSub>
                  <m:sSubPr>
                    <m:ctrlPr>
                      <w:rPr>
                        <w:rFonts w:ascii="Cambria Math" w:hAnsi="Cambria Math"/>
                      </w:rPr>
                    </m:ctrlPr>
                  </m:sSubPr>
                  <m:e>
                    <m:r>
                      <w:rPr>
                        <w:rFonts w:ascii="Cambria Math" w:hAnsi="Cambria Math"/>
                      </w:rPr>
                      <m:t>σ</m:t>
                    </m:r>
                  </m:e>
                  <m:sub>
                    <m:r>
                      <w:rPr>
                        <w:rFonts w:ascii="Cambria Math" w:hAnsi="Cambria Math"/>
                      </w:rPr>
                      <m:t>R</m:t>
                    </m:r>
                  </m:sub>
                </m:sSub>
              </m:oMath>
            </m:oMathPara>
          </w:p>
        </w:tc>
        <w:tc>
          <w:tcPr>
            <w:tcW w:w="2539" w:type="pct"/>
          </w:tcPr>
          <w:p w:rsidR="004170E7" w:rsidRPr="00563CC9" w:rsidRDefault="004170E7" w:rsidP="00EB5065">
            <w:r w:rsidRPr="00563CC9">
              <w:t>Standard deviation of the log-normal recruitment process error</w:t>
            </w:r>
          </w:p>
        </w:tc>
        <w:tc>
          <w:tcPr>
            <w:tcW w:w="1905" w:type="pct"/>
            <w:gridSpan w:val="3"/>
          </w:tcPr>
          <w:p w:rsidR="004170E7" w:rsidRDefault="004170E7" w:rsidP="00EB5065">
            <w:pPr>
              <w:jc w:val="center"/>
            </w:pPr>
            <w:r>
              <w:t>0.4</w:t>
            </w:r>
          </w:p>
        </w:tc>
      </w:tr>
      <w:tr w:rsidR="004170E7" w:rsidRPr="00563CC9" w:rsidTr="00EB5065">
        <w:tc>
          <w:tcPr>
            <w:tcW w:w="556" w:type="pct"/>
          </w:tcPr>
          <w:p w:rsidR="004170E7" w:rsidRPr="000165BA"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σ</m:t>
                    </m:r>
                  </m:e>
                  <m:sub>
                    <m:r>
                      <w:rPr>
                        <w:rFonts w:ascii="Cambria Math" w:hAnsi="Cambria Math"/>
                      </w:rPr>
                      <m:t>t</m:t>
                    </m:r>
                  </m:sub>
                  <m:sup>
                    <m:r>
                      <m:rPr>
                        <m:nor/>
                      </m:rPr>
                      <m:t>Eff</m:t>
                    </m:r>
                  </m:sup>
                </m:sSubSup>
              </m:oMath>
            </m:oMathPara>
          </w:p>
        </w:tc>
        <w:tc>
          <w:tcPr>
            <w:tcW w:w="2539" w:type="pct"/>
          </w:tcPr>
          <w:p w:rsidR="004170E7" w:rsidRPr="000165BA" w:rsidRDefault="004170E7" w:rsidP="00EB5065">
            <w:r w:rsidRPr="000165BA">
              <w:t xml:space="preserve">Standard deviation of </w:t>
            </w:r>
            <m:oMath>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obs</m:t>
                  </m:r>
                </m:sup>
              </m:sSubSup>
            </m:oMath>
          </w:p>
        </w:tc>
        <w:tc>
          <w:tcPr>
            <w:tcW w:w="952" w:type="pct"/>
          </w:tcPr>
          <w:p w:rsidR="004170E7" w:rsidRPr="000165BA" w:rsidRDefault="004170E7" w:rsidP="00EB5065">
            <w:pPr>
              <w:jc w:val="center"/>
            </w:pPr>
            <w:r>
              <w:t>0.15</w:t>
            </w:r>
          </w:p>
        </w:tc>
        <w:tc>
          <w:tcPr>
            <w:tcW w:w="952" w:type="pct"/>
            <w:gridSpan w:val="2"/>
          </w:tcPr>
          <w:p w:rsidR="004170E7" w:rsidRPr="000165BA" w:rsidRDefault="004170E7" w:rsidP="00EB5065">
            <w:pPr>
              <w:jc w:val="center"/>
            </w:pPr>
            <w:r>
              <w:t>Estimated from data</w:t>
            </w:r>
          </w:p>
        </w:tc>
      </w:tr>
      <w:tr w:rsidR="004170E7" w:rsidRPr="00563CC9" w:rsidTr="00EB5065">
        <w:tc>
          <w:tcPr>
            <w:tcW w:w="556" w:type="pct"/>
          </w:tcPr>
          <w:p w:rsidR="004170E7" w:rsidRPr="000165BA"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σ</m:t>
                    </m:r>
                  </m:e>
                  <m:sub>
                    <m:r>
                      <w:rPr>
                        <w:rFonts w:ascii="Cambria Math" w:hAnsi="Cambria Math"/>
                      </w:rPr>
                      <m:t>t</m:t>
                    </m:r>
                  </m:sub>
                  <m:sup>
                    <m:r>
                      <m:rPr>
                        <m:nor/>
                      </m:rPr>
                      <m:t>Ind</m:t>
                    </m:r>
                  </m:sup>
                </m:sSubSup>
              </m:oMath>
            </m:oMathPara>
          </w:p>
        </w:tc>
        <w:tc>
          <w:tcPr>
            <w:tcW w:w="2539" w:type="pct"/>
          </w:tcPr>
          <w:p w:rsidR="004170E7" w:rsidRPr="000165BA" w:rsidRDefault="004170E7" w:rsidP="00EB5065">
            <w:r w:rsidRPr="000165BA">
              <w:t xml:space="preserve">Standard deviation of </w:t>
            </w:r>
            <m:oMath>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obs</m:t>
                  </m:r>
                </m:sup>
              </m:sSubSup>
            </m:oMath>
          </w:p>
        </w:tc>
        <w:tc>
          <w:tcPr>
            <w:tcW w:w="965" w:type="pct"/>
            <w:gridSpan w:val="2"/>
          </w:tcPr>
          <w:p w:rsidR="004170E7" w:rsidRPr="000165BA" w:rsidRDefault="004170E7" w:rsidP="00EB5065">
            <w:pPr>
              <w:jc w:val="center"/>
            </w:pPr>
            <w:r w:rsidRPr="000165BA">
              <w:t>0.</w:t>
            </w:r>
            <w:r>
              <w:t>15</w:t>
            </w:r>
          </w:p>
        </w:tc>
        <w:tc>
          <w:tcPr>
            <w:tcW w:w="940" w:type="pct"/>
          </w:tcPr>
          <w:p w:rsidR="004170E7" w:rsidRPr="000165BA" w:rsidRDefault="004170E7" w:rsidP="00EB5065">
            <w:pPr>
              <w:jc w:val="center"/>
            </w:pPr>
            <w:r>
              <w:t>Estimated from data</w:t>
            </w:r>
          </w:p>
        </w:tc>
      </w:tr>
      <w:tr w:rsidR="004170E7" w:rsidRPr="00563CC9" w:rsidTr="00EB5065">
        <w:tc>
          <w:tcPr>
            <w:tcW w:w="556" w:type="pct"/>
          </w:tcPr>
          <w:p w:rsidR="004170E7" w:rsidRPr="000165BA"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σ</m:t>
                    </m:r>
                  </m:e>
                  <m:sub>
                    <m:r>
                      <w:rPr>
                        <w:rFonts w:ascii="Cambria Math" w:hAnsi="Cambria Math"/>
                      </w:rPr>
                      <m:t>t</m:t>
                    </m:r>
                  </m:sub>
                  <m:sup>
                    <m:r>
                      <m:rPr>
                        <m:nor/>
                      </m:rPr>
                      <m:t>Ind</m:t>
                    </m:r>
                  </m:sup>
                </m:sSubSup>
              </m:oMath>
            </m:oMathPara>
          </w:p>
        </w:tc>
        <w:tc>
          <w:tcPr>
            <w:tcW w:w="2539" w:type="pct"/>
          </w:tcPr>
          <w:p w:rsidR="004170E7" w:rsidRPr="000165BA" w:rsidRDefault="004170E7" w:rsidP="00EB5065">
            <w:r w:rsidRPr="000165BA">
              <w:t xml:space="preserve">Standard deviation of </w:t>
            </w:r>
            <m:oMath>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obs</m:t>
                  </m:r>
                </m:sup>
              </m:sSubSup>
            </m:oMath>
          </w:p>
        </w:tc>
        <w:tc>
          <w:tcPr>
            <w:tcW w:w="965" w:type="pct"/>
            <w:gridSpan w:val="2"/>
          </w:tcPr>
          <w:p w:rsidR="004170E7" w:rsidRPr="000165BA" w:rsidRDefault="004170E7" w:rsidP="00EB5065">
            <w:pPr>
              <w:jc w:val="center"/>
            </w:pPr>
            <w:r w:rsidRPr="000165BA">
              <w:t>0.</w:t>
            </w:r>
            <w:r>
              <w:t>15</w:t>
            </w:r>
          </w:p>
        </w:tc>
        <w:tc>
          <w:tcPr>
            <w:tcW w:w="940" w:type="pct"/>
          </w:tcPr>
          <w:p w:rsidR="004170E7" w:rsidRPr="000165BA" w:rsidRDefault="004170E7" w:rsidP="00EB5065">
            <w:pPr>
              <w:jc w:val="center"/>
            </w:pPr>
            <w:r>
              <w:t>Estimated from data</w:t>
            </w:r>
          </w:p>
        </w:tc>
      </w:tr>
      <w:tr w:rsidR="004170E7" w:rsidRPr="00563CC9" w:rsidTr="00EB5065">
        <w:tc>
          <w:tcPr>
            <w:tcW w:w="556" w:type="pct"/>
          </w:tcPr>
          <w:p w:rsidR="004170E7" w:rsidRPr="00563CC9" w:rsidRDefault="00000000" w:rsidP="00EB5065">
            <w:pPr>
              <w:rPr>
                <w:rFonts w:eastAsia="Calibri" w:cs="Times New Roman"/>
              </w:rPr>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F</m:t>
                        </m:r>
                      </m:e>
                      <m:sub>
                        <m:r>
                          <w:rPr>
                            <w:rFonts w:ascii="Cambria Math" w:hAnsi="Cambria Math"/>
                          </w:rPr>
                          <m:t>t</m:t>
                        </m:r>
                      </m:sub>
                    </m:sSub>
                  </m:sub>
                </m:sSub>
              </m:oMath>
            </m:oMathPara>
          </w:p>
        </w:tc>
        <w:tc>
          <w:tcPr>
            <w:tcW w:w="2539" w:type="pct"/>
          </w:tcPr>
          <w:p w:rsidR="004170E7" w:rsidRPr="00563CC9" w:rsidRDefault="004170E7" w:rsidP="00EB5065">
            <w:r w:rsidRPr="00563CC9">
              <w:t>Standard deviation for in random walk penalty for monthly fishing mortality</w:t>
            </w:r>
          </w:p>
        </w:tc>
        <w:tc>
          <w:tcPr>
            <w:tcW w:w="1905" w:type="pct"/>
            <w:gridSpan w:val="3"/>
          </w:tcPr>
          <w:p w:rsidR="004170E7" w:rsidRDefault="004170E7" w:rsidP="00EB5065">
            <w:pPr>
              <w:jc w:val="center"/>
            </w:pPr>
            <w:r>
              <w:t>0.4</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σ</m:t>
                    </m:r>
                  </m:e>
                  <m:sub>
                    <m:r>
                      <w:rPr>
                        <w:rFonts w:ascii="Cambria Math" w:hAnsi="Cambria Math"/>
                      </w:rPr>
                      <m:t>R</m:t>
                    </m:r>
                  </m:sub>
                  <m:sup>
                    <m:r>
                      <w:rPr>
                        <w:rFonts w:ascii="Cambria Math" w:hAnsi="Cambria Math"/>
                      </w:rPr>
                      <m:t>m</m:t>
                    </m:r>
                  </m:sup>
                </m:sSubSup>
              </m:oMath>
            </m:oMathPara>
          </w:p>
        </w:tc>
        <w:tc>
          <w:tcPr>
            <w:tcW w:w="2539" w:type="pct"/>
          </w:tcPr>
          <w:p w:rsidR="004170E7" w:rsidRPr="00563CC9" w:rsidRDefault="004170E7" w:rsidP="00EB5065">
            <w:r w:rsidRPr="00563CC9">
              <w:t>Standard deviation for in random walk penalty for log relative fraction of monthly expected recruitment</w:t>
            </w:r>
          </w:p>
        </w:tc>
        <w:tc>
          <w:tcPr>
            <w:tcW w:w="1905" w:type="pct"/>
            <w:gridSpan w:val="3"/>
          </w:tcPr>
          <w:p w:rsidR="004170E7" w:rsidRDefault="004170E7" w:rsidP="00EB5065">
            <w:pPr>
              <w:jc w:val="center"/>
            </w:pPr>
            <w:r>
              <w:t>0.6</w:t>
            </w:r>
          </w:p>
        </w:tc>
      </w:tr>
      <w:tr w:rsidR="004170E7" w:rsidRPr="00563CC9" w:rsidTr="00EB5065">
        <w:tc>
          <w:tcPr>
            <w:tcW w:w="3095" w:type="pct"/>
            <w:gridSpan w:val="2"/>
          </w:tcPr>
          <w:p w:rsidR="004170E7" w:rsidRPr="00A97213" w:rsidRDefault="004170E7" w:rsidP="00EB5065">
            <w:pPr>
              <w:rPr>
                <w:i/>
              </w:rPr>
            </w:pPr>
            <w:r w:rsidRPr="000165BA">
              <w:rPr>
                <w:rFonts w:eastAsia="Calibri" w:cs="Times New Roman"/>
                <w:i/>
              </w:rPr>
              <w:t>Other Symbols</w:t>
            </w:r>
          </w:p>
        </w:tc>
        <w:tc>
          <w:tcPr>
            <w:tcW w:w="965" w:type="pct"/>
            <w:gridSpan w:val="2"/>
          </w:tcPr>
          <w:p w:rsidR="004170E7" w:rsidRDefault="004170E7" w:rsidP="00EB5065">
            <w:pPr>
              <w:jc w:val="center"/>
            </w:pPr>
          </w:p>
        </w:tc>
        <w:tc>
          <w:tcPr>
            <w:tcW w:w="940" w:type="pct"/>
          </w:tcPr>
          <w:p w:rsidR="004170E7" w:rsidRDefault="004170E7" w:rsidP="00EB5065">
            <w:pPr>
              <w:jc w:val="center"/>
            </w:pP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obs</m:t>
                    </m:r>
                  </m:sup>
                </m:sSubSup>
              </m:oMath>
            </m:oMathPara>
          </w:p>
        </w:tc>
        <w:tc>
          <w:tcPr>
            <w:tcW w:w="4444" w:type="pct"/>
            <w:gridSpan w:val="4"/>
          </w:tcPr>
          <w:p w:rsidR="004170E7" w:rsidRDefault="004170E7" w:rsidP="00EB5065">
            <w:r w:rsidRPr="00563CC9">
              <w:t xml:space="preserve">Observed index of fishing effort in time-step </w:t>
            </w:r>
            <w:proofErr w:type="spellStart"/>
            <w:r w:rsidRPr="00563CC9">
              <w:t>i</w:t>
            </w:r>
            <w:proofErr w:type="spellEnd"/>
            <w:r w:rsidRPr="00563CC9">
              <w:t>, standardized to mean 1 and NAs for time-steps with missing data</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pred</m:t>
                    </m:r>
                  </m:sup>
                </m:sSubSup>
              </m:oMath>
            </m:oMathPara>
          </w:p>
        </w:tc>
        <w:tc>
          <w:tcPr>
            <w:tcW w:w="4444" w:type="pct"/>
            <w:gridSpan w:val="4"/>
          </w:tcPr>
          <w:p w:rsidR="004170E7" w:rsidRDefault="004170E7" w:rsidP="00EB5065">
            <w:r w:rsidRPr="00563CC9">
              <w:t xml:space="preserve">Predicted index of fishing effort in time-step </w:t>
            </w:r>
            <w:proofErr w:type="spellStart"/>
            <w:r w:rsidRPr="00563CC9">
              <w:t>i</w:t>
            </w:r>
            <w:proofErr w:type="spellEnd"/>
            <w:r w:rsidRPr="00563CC9">
              <w:t xml:space="preserve">, calculated by standardizing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Pr="00563CC9">
              <w:t xml:space="preserve"> to mean 1 across time-steps where </w:t>
            </w:r>
            <m:oMath>
              <m:r>
                <m:rPr>
                  <m:sty m:val="p"/>
                </m:rPr>
                <w:rPr>
                  <w:rFonts w:ascii="Cambria Math" w:hAnsi="Cambria Math"/>
                </w:rPr>
                <w:br/>
              </m:r>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obs</m:t>
                  </m:r>
                </m:sup>
              </m:sSubSup>
            </m:oMath>
            <w:r w:rsidRPr="00563CC9">
              <w:t xml:space="preserve"> is not missing data </w:t>
            </w:r>
          </w:p>
        </w:tc>
      </w:tr>
      <w:tr w:rsidR="004170E7" w:rsidRPr="00563CC9" w:rsidTr="00EB5065">
        <w:tc>
          <w:tcPr>
            <w:tcW w:w="556" w:type="pct"/>
          </w:tcPr>
          <w:p w:rsidR="004170E7"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CB</m:t>
                    </m:r>
                  </m:e>
                  <m:sub>
                    <m:r>
                      <w:rPr>
                        <w:rFonts w:ascii="Cambria Math" w:hAnsi="Cambria Math"/>
                      </w:rPr>
                      <m:t>t</m:t>
                    </m:r>
                  </m:sub>
                  <m:sup>
                    <m:r>
                      <m:rPr>
                        <m:nor/>
                      </m:rPr>
                      <m:t>obs</m:t>
                    </m:r>
                  </m:sup>
                </m:sSubSup>
              </m:oMath>
            </m:oMathPara>
          </w:p>
        </w:tc>
        <w:tc>
          <w:tcPr>
            <w:tcW w:w="4444" w:type="pct"/>
            <w:gridSpan w:val="4"/>
          </w:tcPr>
          <w:p w:rsidR="004170E7" w:rsidRPr="00563CC9" w:rsidRDefault="004170E7" w:rsidP="00EB5065">
            <w:r w:rsidRPr="00563CC9">
              <w:t xml:space="preserve">Observed index of </w:t>
            </w:r>
            <w:r>
              <w:t>catch biomass</w:t>
            </w:r>
            <w:r w:rsidRPr="00563CC9">
              <w:t xml:space="preserve"> in time-step </w:t>
            </w:r>
            <w:proofErr w:type="spellStart"/>
            <w:r w:rsidRPr="00563CC9">
              <w:t>i</w:t>
            </w:r>
            <w:proofErr w:type="spellEnd"/>
            <w:r w:rsidRPr="00563CC9">
              <w:t>, standardized to mean 1 and NAs for time-steps with missing data</w:t>
            </w:r>
          </w:p>
        </w:tc>
      </w:tr>
      <w:tr w:rsidR="004170E7" w:rsidRPr="00563CC9" w:rsidTr="00EB5065">
        <w:tc>
          <w:tcPr>
            <w:tcW w:w="556" w:type="pct"/>
          </w:tcPr>
          <w:p w:rsidR="004170E7"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CB</m:t>
                    </m:r>
                  </m:e>
                  <m:sub>
                    <m:r>
                      <w:rPr>
                        <w:rFonts w:ascii="Cambria Math" w:hAnsi="Cambria Math"/>
                      </w:rPr>
                      <m:t>t</m:t>
                    </m:r>
                  </m:sub>
                  <m:sup>
                    <m:r>
                      <m:rPr>
                        <m:nor/>
                      </m:rPr>
                      <m:t>pred</m:t>
                    </m:r>
                  </m:sup>
                </m:sSubSup>
              </m:oMath>
            </m:oMathPara>
          </w:p>
        </w:tc>
        <w:tc>
          <w:tcPr>
            <w:tcW w:w="4444" w:type="pct"/>
            <w:gridSpan w:val="4"/>
          </w:tcPr>
          <w:p w:rsidR="004170E7" w:rsidRPr="00563CC9" w:rsidRDefault="004170E7" w:rsidP="00EB5065">
            <w:r w:rsidRPr="00563CC9">
              <w:t xml:space="preserve">Predicted index of </w:t>
            </w:r>
            <w:r>
              <w:t>catch biomass</w:t>
            </w:r>
            <w:r w:rsidRPr="00563CC9">
              <w:t xml:space="preserve"> in time-step </w:t>
            </w:r>
            <w:proofErr w:type="spellStart"/>
            <w:r w:rsidRPr="00563CC9">
              <w:t>i</w:t>
            </w:r>
            <w:proofErr w:type="spellEnd"/>
            <w:r w:rsidRPr="00563CC9">
              <w:t xml:space="preserve">, calculated by standardizing </w:t>
            </w:r>
            <w:r>
              <w:t xml:space="preserve">predicted catches </w:t>
            </w:r>
            <w:r w:rsidRPr="00563CC9">
              <w:t xml:space="preserve">to mean 1 across time-steps where </w:t>
            </w:r>
            <m:oMath>
              <m:r>
                <m:rPr>
                  <m:sty m:val="p"/>
                </m:rPr>
                <w:rPr>
                  <w:rFonts w:ascii="Cambria Math" w:hAnsi="Cambria Math"/>
                </w:rPr>
                <w:br/>
              </m:r>
              <m:sSubSup>
                <m:sSubSupPr>
                  <m:ctrlPr>
                    <w:rPr>
                      <w:rFonts w:ascii="Cambria Math" w:hAnsi="Cambria Math"/>
                    </w:rPr>
                  </m:ctrlPr>
                </m:sSubSupPr>
                <m:e>
                  <m:r>
                    <w:rPr>
                      <w:rFonts w:ascii="Cambria Math" w:hAnsi="Cambria Math"/>
                    </w:rPr>
                    <m:t>CB</m:t>
                  </m:r>
                </m:e>
                <m:sub>
                  <m:r>
                    <w:rPr>
                      <w:rFonts w:ascii="Cambria Math" w:hAnsi="Cambria Math"/>
                    </w:rPr>
                    <m:t>t</m:t>
                  </m:r>
                </m:sub>
                <m:sup>
                  <m:r>
                    <m:rPr>
                      <m:nor/>
                    </m:rPr>
                    <m:t>obs</m:t>
                  </m:r>
                </m:sup>
              </m:sSubSup>
            </m:oMath>
            <w:r w:rsidRPr="00563CC9">
              <w:t xml:space="preserve"> is not missing data </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obs</m:t>
                    </m:r>
                  </m:sup>
                </m:sSubSup>
              </m:oMath>
            </m:oMathPara>
          </w:p>
        </w:tc>
        <w:tc>
          <w:tcPr>
            <w:tcW w:w="4444" w:type="pct"/>
            <w:gridSpan w:val="4"/>
          </w:tcPr>
          <w:p w:rsidR="004170E7" w:rsidRDefault="004170E7" w:rsidP="00EB5065">
            <w:r w:rsidRPr="00563CC9">
              <w:t xml:space="preserve">Observed index of abundance in time-step </w:t>
            </w:r>
            <w:proofErr w:type="spellStart"/>
            <w:r w:rsidRPr="00563CC9">
              <w:t>i</w:t>
            </w:r>
            <w:proofErr w:type="spellEnd"/>
            <w:r w:rsidRPr="00563CC9">
              <w:t>, standardized to mean 1 and NAs for time-steps with missing data</w:t>
            </w:r>
          </w:p>
        </w:tc>
      </w:tr>
      <w:tr w:rsidR="004170E7" w:rsidRPr="00563CC9" w:rsidTr="00EB5065">
        <w:tc>
          <w:tcPr>
            <w:tcW w:w="556" w:type="pct"/>
          </w:tcPr>
          <w:p w:rsidR="004170E7" w:rsidRPr="00563CC9" w:rsidRDefault="00000000" w:rsidP="00EB5065">
            <w:pPr>
              <w:rPr>
                <w:rFonts w:eastAsia="Calibri" w:cs="Times New Roman"/>
              </w:rPr>
            </w:pPr>
            <m:oMathPara>
              <m:oMath>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pred</m:t>
                    </m:r>
                  </m:sup>
                </m:sSubSup>
              </m:oMath>
            </m:oMathPara>
          </w:p>
        </w:tc>
        <w:tc>
          <w:tcPr>
            <w:tcW w:w="4444" w:type="pct"/>
            <w:gridSpan w:val="4"/>
          </w:tcPr>
          <w:p w:rsidR="004170E7" w:rsidRDefault="004170E7" w:rsidP="00EB5065">
            <w:r w:rsidRPr="00563CC9">
              <w:t xml:space="preserve">Predicted index of abundance time-step </w:t>
            </w:r>
            <w:proofErr w:type="spellStart"/>
            <w:r w:rsidRPr="00563CC9">
              <w:t>i</w:t>
            </w:r>
            <w:proofErr w:type="spellEnd"/>
            <w:r w:rsidRPr="00563CC9">
              <w:t xml:space="preserve">, calculated by standardizing </w:t>
            </w:r>
            <m:oMath>
              <m:f>
                <m:fPr>
                  <m:ctrlPr>
                    <w:rPr>
                      <w:rFonts w:ascii="Cambria Math" w:hAnsi="Cambria Math"/>
                    </w:rPr>
                  </m:ctrlPr>
                </m:fPr>
                <m:num>
                  <m:sSub>
                    <m:sSubPr>
                      <m:ctrlPr>
                        <w:rPr>
                          <w:rFonts w:ascii="Cambria Math" w:hAnsi="Cambria Math"/>
                        </w:rPr>
                      </m:ctrlPr>
                    </m:sSubPr>
                    <m:e>
                      <m:r>
                        <w:rPr>
                          <w:rFonts w:ascii="Cambria Math" w:hAnsi="Cambria Math"/>
                        </w:rPr>
                        <m:t>CB</m:t>
                      </m:r>
                    </m:e>
                    <m:sub>
                      <m:r>
                        <w:rPr>
                          <w:rFonts w:ascii="Cambria Math" w:hAnsi="Cambria Math"/>
                        </w:rPr>
                        <m:t>t</m:t>
                      </m:r>
                    </m:sub>
                  </m:sSub>
                </m:num>
                <m:den>
                  <m:sSubSup>
                    <m:sSubSupPr>
                      <m:ctrlPr>
                        <w:rPr>
                          <w:rFonts w:ascii="Cambria Math" w:hAnsi="Cambria Math"/>
                        </w:rPr>
                      </m:ctrlPr>
                    </m:sSubSupPr>
                    <m:e>
                      <m:r>
                        <w:rPr>
                          <w:rFonts w:ascii="Cambria Math" w:hAnsi="Cambria Math"/>
                        </w:rPr>
                        <m:t>E</m:t>
                      </m:r>
                    </m:e>
                    <m:sub>
                      <m:r>
                        <w:rPr>
                          <w:rFonts w:ascii="Cambria Math" w:hAnsi="Cambria Math"/>
                        </w:rPr>
                        <m:t>t</m:t>
                      </m:r>
                    </m:sub>
                    <m:sup>
                      <m:r>
                        <m:rPr>
                          <m:nor/>
                        </m:rPr>
                        <m:t>pred</m:t>
                      </m:r>
                    </m:sup>
                  </m:sSubSup>
                </m:den>
              </m:f>
            </m:oMath>
            <w:r w:rsidRPr="00563CC9">
              <w:t xml:space="preserve"> to mean 1 across time-steps where </w:t>
            </w:r>
            <m:oMath>
              <m:r>
                <m:rPr>
                  <m:sty m:val="p"/>
                </m:rPr>
                <w:rPr>
                  <w:rFonts w:ascii="Cambria Math" w:hAnsi="Cambria Math"/>
                </w:rPr>
                <w:br/>
              </m:r>
              <m:sSubSup>
                <m:sSubSupPr>
                  <m:ctrlPr>
                    <w:rPr>
                      <w:rFonts w:ascii="Cambria Math" w:hAnsi="Cambria Math"/>
                    </w:rPr>
                  </m:ctrlPr>
                </m:sSubSupPr>
                <m:e>
                  <m:r>
                    <w:rPr>
                      <w:rFonts w:ascii="Cambria Math" w:hAnsi="Cambria Math"/>
                    </w:rPr>
                    <m:t>I</m:t>
                  </m:r>
                </m:e>
                <m:sub>
                  <m:r>
                    <w:rPr>
                      <w:rFonts w:ascii="Cambria Math" w:hAnsi="Cambria Math"/>
                    </w:rPr>
                    <m:t>t</m:t>
                  </m:r>
                </m:sub>
                <m:sup>
                  <m:r>
                    <m:rPr>
                      <m:nor/>
                    </m:rPr>
                    <m:t>obs</m:t>
                  </m:r>
                </m:sup>
              </m:sSubSup>
            </m:oMath>
            <w:r w:rsidRPr="00563CC9">
              <w:t xml:space="preserve"> is not missing data</w:t>
            </w:r>
          </w:p>
        </w:tc>
      </w:tr>
      <w:tr w:rsidR="004170E7" w:rsidRPr="00563CC9" w:rsidTr="00EB5065">
        <w:tc>
          <w:tcPr>
            <w:tcW w:w="556" w:type="pct"/>
          </w:tcPr>
          <w:p w:rsidR="004170E7" w:rsidRPr="00563CC9" w:rsidRDefault="004170E7" w:rsidP="00EB5065">
            <w:pPr>
              <w:rPr>
                <w:rFonts w:eastAsia="Calibri" w:cs="Times New Roman"/>
                <w:iCs/>
              </w:rPr>
            </w:pPr>
            <m:oMathPara>
              <m:oMath>
                <m:r>
                  <w:rPr>
                    <w:rFonts w:ascii="Cambria Math" w:hAnsi="Cambria Math"/>
                  </w:rPr>
                  <w:lastRenderedPageBreak/>
                  <m:t>δ</m:t>
                </m:r>
              </m:oMath>
            </m:oMathPara>
          </w:p>
        </w:tc>
        <w:tc>
          <w:tcPr>
            <w:tcW w:w="4444" w:type="pct"/>
            <w:gridSpan w:val="4"/>
          </w:tcPr>
          <w:p w:rsidR="004170E7" w:rsidRDefault="004170E7" w:rsidP="00EB5065">
            <w:r w:rsidRPr="00563CC9">
              <w:t>Recruitment deviations in log-space</w:t>
            </w:r>
          </w:p>
        </w:tc>
      </w:tr>
      <w:tr w:rsidR="004170E7" w:rsidRPr="00563CC9" w:rsidTr="00EB5065">
        <w:tc>
          <w:tcPr>
            <w:tcW w:w="556" w:type="pct"/>
          </w:tcPr>
          <w:p w:rsidR="004170E7" w:rsidRPr="00563CC9" w:rsidRDefault="00000000" w:rsidP="00EB5065">
            <w:pPr>
              <w:rPr>
                <w:rFonts w:eastAsia="Calibri" w:cs="Times New Roman"/>
                <w:iCs/>
              </w:rPr>
            </w:pPr>
            <m:oMathPara>
              <m:oMath>
                <m:sSub>
                  <m:sSubPr>
                    <m:ctrlPr>
                      <w:rPr>
                        <w:rFonts w:ascii="Cambria Math" w:hAnsi="Cambria Math"/>
                      </w:rPr>
                    </m:ctrlPr>
                  </m:sSubPr>
                  <m:e>
                    <m:r>
                      <w:rPr>
                        <w:rFonts w:ascii="Cambria Math" w:hAnsi="Cambria Math"/>
                      </w:rPr>
                      <m:t>ε</m:t>
                    </m:r>
                  </m:e>
                  <m:sub>
                    <m:r>
                      <w:rPr>
                        <w:rFonts w:ascii="Cambria Math" w:hAnsi="Cambria Math"/>
                      </w:rPr>
                      <m:t>m</m:t>
                    </m:r>
                  </m:sub>
                </m:sSub>
              </m:oMath>
            </m:oMathPara>
          </w:p>
        </w:tc>
        <w:tc>
          <w:tcPr>
            <w:tcW w:w="4444" w:type="pct"/>
            <w:gridSpan w:val="4"/>
          </w:tcPr>
          <w:p w:rsidR="004170E7" w:rsidRDefault="004170E7" w:rsidP="00EB5065">
            <w:r w:rsidRPr="00563CC9">
              <w:t xml:space="preserve">Log-normal error for recruitment process error with mean 1 and standard deviation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563CC9">
              <w:t xml:space="preserve"> </w:t>
            </w:r>
          </w:p>
        </w:tc>
      </w:tr>
      <w:tr w:rsidR="004170E7" w:rsidRPr="00563CC9" w:rsidTr="00EB5065">
        <w:tc>
          <w:tcPr>
            <w:tcW w:w="556" w:type="pct"/>
          </w:tcPr>
          <w:p w:rsidR="004170E7" w:rsidRPr="00B47CF4" w:rsidRDefault="004170E7" w:rsidP="00EB5065">
            <w:pPr>
              <w:jc w:val="center"/>
              <w:rPr>
                <w:i/>
              </w:rPr>
            </w:pPr>
            <w:r w:rsidRPr="00B47CF4">
              <w:rPr>
                <w:i/>
              </w:rPr>
              <w:t>M</w:t>
            </w:r>
          </w:p>
        </w:tc>
        <w:tc>
          <w:tcPr>
            <w:tcW w:w="4444" w:type="pct"/>
            <w:gridSpan w:val="4"/>
          </w:tcPr>
          <w:p w:rsidR="004170E7" w:rsidRPr="00B57FE1" w:rsidRDefault="004170E7" w:rsidP="00EB5065">
            <w:pPr>
              <w:rPr>
                <w:i/>
              </w:rPr>
            </w:pPr>
            <w:r w:rsidRPr="00563CC9">
              <w:t xml:space="preserve">Index for calendar month (1 </w:t>
            </w:r>
            <w:proofErr w:type="gramStart"/>
            <w:r w:rsidRPr="00563CC9">
              <w:t>-  12</w:t>
            </w:r>
            <w:proofErr w:type="gramEnd"/>
            <w:r w:rsidRPr="00563CC9">
              <w:t>)</w:t>
            </w:r>
            <w:r>
              <w:t xml:space="preserve"> corresponding to time-step </w:t>
            </w:r>
            <w:r>
              <w:rPr>
                <w:i/>
              </w:rPr>
              <w:t>t</w:t>
            </w:r>
          </w:p>
        </w:tc>
      </w:tr>
      <w:tr w:rsidR="004170E7" w:rsidRPr="00563CC9" w:rsidTr="00EB5065">
        <w:tc>
          <w:tcPr>
            <w:tcW w:w="556" w:type="pct"/>
          </w:tcPr>
          <w:p w:rsidR="004170E7" w:rsidRPr="00563CC9" w:rsidRDefault="00000000" w:rsidP="00EB5065">
            <m:oMathPara>
              <m:oMath>
                <m:sSub>
                  <m:sSubPr>
                    <m:ctrlPr>
                      <w:rPr>
                        <w:rFonts w:ascii="Cambria Math" w:hAnsi="Cambria Math"/>
                      </w:rPr>
                    </m:ctrlPr>
                  </m:sSubPr>
                  <m:e>
                    <m:r>
                      <w:rPr>
                        <w:rFonts w:ascii="Cambria Math" w:hAnsi="Cambria Math"/>
                      </w:rPr>
                      <m:t>F</m:t>
                    </m:r>
                  </m:e>
                  <m:sub>
                    <m:r>
                      <w:rPr>
                        <w:rFonts w:ascii="Cambria Math" w:hAnsi="Cambria Math"/>
                      </w:rPr>
                      <m:t>t</m:t>
                    </m:r>
                  </m:sub>
                </m:sSub>
              </m:oMath>
            </m:oMathPara>
          </w:p>
        </w:tc>
        <w:tc>
          <w:tcPr>
            <w:tcW w:w="4444" w:type="pct"/>
            <w:gridSpan w:val="4"/>
          </w:tcPr>
          <w:p w:rsidR="004170E7" w:rsidRPr="00563CC9" w:rsidRDefault="004170E7" w:rsidP="00EB5065">
            <w:r w:rsidRPr="00563CC9">
              <w:t xml:space="preserve">Fishing mortality in time-step </w:t>
            </w:r>
            <w:r w:rsidRPr="00DE28C0">
              <w:rPr>
                <w:i/>
              </w:rPr>
              <w:t>t</w:t>
            </w:r>
          </w:p>
        </w:tc>
      </w:tr>
      <w:tr w:rsidR="004170E7" w:rsidRPr="00563CC9" w:rsidTr="00EB5065">
        <w:tc>
          <w:tcPr>
            <w:tcW w:w="556" w:type="pct"/>
          </w:tcPr>
          <w:p w:rsidR="004170E7" w:rsidRPr="00563CC9" w:rsidRDefault="00000000" w:rsidP="00EB5065">
            <m:oMathPara>
              <m:oMath>
                <m:sSup>
                  <m:sSupPr>
                    <m:ctrlPr>
                      <w:rPr>
                        <w:rFonts w:ascii="Cambria Math" w:hAnsi="Cambria Math"/>
                      </w:rPr>
                    </m:ctrlPr>
                  </m:sSupPr>
                  <m:e>
                    <m:r>
                      <w:rPr>
                        <w:rFonts w:ascii="Cambria Math" w:hAnsi="Cambria Math"/>
                      </w:rPr>
                      <m:t>F</m:t>
                    </m:r>
                  </m:e>
                  <m:sup>
                    <m:r>
                      <m:rPr>
                        <m:nor/>
                      </m:rPr>
                      <m:t>init</m:t>
                    </m:r>
                  </m:sup>
                </m:sSup>
              </m:oMath>
            </m:oMathPara>
          </w:p>
        </w:tc>
        <w:tc>
          <w:tcPr>
            <w:tcW w:w="4444" w:type="pct"/>
            <w:gridSpan w:val="4"/>
          </w:tcPr>
          <w:p w:rsidR="004170E7" w:rsidRPr="00563CC9" w:rsidRDefault="004170E7" w:rsidP="00EB5065">
            <w:r>
              <w:t>Equilibrium f</w:t>
            </w:r>
            <w:r w:rsidRPr="00563CC9">
              <w:t>ishing mortality before initial fished time-step</w:t>
            </w:r>
          </w:p>
        </w:tc>
      </w:tr>
      <w:tr w:rsidR="004170E7" w:rsidRPr="00563CC9" w:rsidTr="00EB5065">
        <w:tc>
          <w:tcPr>
            <w:tcW w:w="556" w:type="pct"/>
          </w:tcPr>
          <w:p w:rsidR="004170E7" w:rsidRPr="00563CC9" w:rsidRDefault="004170E7" w:rsidP="00EB5065">
            <m:oMathPara>
              <m:oMath>
                <m:r>
                  <m:rPr>
                    <m:sty m:val="p"/>
                  </m:rPr>
                  <w:rPr>
                    <w:rFonts w:ascii="Cambria Math" w:hAnsi="Cambria Math"/>
                  </w:rPr>
                  <m:t>∅</m:t>
                </m:r>
              </m:oMath>
            </m:oMathPara>
          </w:p>
        </w:tc>
        <w:tc>
          <w:tcPr>
            <w:tcW w:w="4444" w:type="pct"/>
            <w:gridSpan w:val="4"/>
          </w:tcPr>
          <w:p w:rsidR="004170E7" w:rsidRPr="00563CC9" w:rsidRDefault="004170E7" w:rsidP="00EB5065">
            <w:r w:rsidRPr="00563CC9">
              <w:t>Cumulative normal probability distribution</w:t>
            </w:r>
          </w:p>
        </w:tc>
      </w:tr>
      <w:tr w:rsidR="004170E7" w:rsidRPr="00563CC9" w:rsidTr="00EB5065">
        <w:tc>
          <w:tcPr>
            <w:tcW w:w="556" w:type="pct"/>
          </w:tcPr>
          <w:p w:rsidR="004170E7" w:rsidRPr="00563CC9" w:rsidRDefault="00000000" w:rsidP="00EB5065">
            <m:oMathPara>
              <m:oMath>
                <m:sSub>
                  <m:sSubPr>
                    <m:ctrlPr>
                      <w:rPr>
                        <w:rFonts w:ascii="Cambria Math" w:hAnsi="Cambria Math"/>
                      </w:rPr>
                    </m:ctrlPr>
                  </m:sSubPr>
                  <m:e>
                    <m:r>
                      <w:rPr>
                        <w:rFonts w:ascii="Cambria Math" w:hAnsi="Cambria Math"/>
                      </w:rPr>
                      <m:t>μ</m:t>
                    </m:r>
                  </m:e>
                  <m:sub>
                    <m:r>
                      <w:rPr>
                        <w:rFonts w:ascii="Cambria Math" w:hAnsi="Cambria Math"/>
                      </w:rPr>
                      <m:t>a</m:t>
                    </m:r>
                  </m:sub>
                </m:sSub>
              </m:oMath>
            </m:oMathPara>
          </w:p>
        </w:tc>
        <w:tc>
          <w:tcPr>
            <w:tcW w:w="4444" w:type="pct"/>
            <w:gridSpan w:val="4"/>
          </w:tcPr>
          <w:p w:rsidR="004170E7" w:rsidRPr="00563CC9" w:rsidRDefault="004170E7" w:rsidP="00EB5065">
            <w:r w:rsidRPr="00563CC9">
              <w:t xml:space="preserve">Bias-corrected </w:t>
            </w:r>
            <w:r>
              <w:t xml:space="preserve">log </w:t>
            </w:r>
            <w:r w:rsidRPr="00563CC9">
              <w:t xml:space="preserve">mean weight-at-age calculated as </w:t>
            </w:r>
            <m:oMath>
              <m:sSub>
                <m:sSubPr>
                  <m:ctrlPr>
                    <w:rPr>
                      <w:rFonts w:ascii="Cambria Math" w:hAnsi="Cambria Math"/>
                    </w:rPr>
                  </m:ctrlPr>
                </m:sSubPr>
                <m:e>
                  <m:r>
                    <w:rPr>
                      <w:rFonts w:ascii="Cambria Math" w:hAnsi="Cambria Math"/>
                    </w:rPr>
                    <m:t>μ</m:t>
                  </m:r>
                </m:e>
                <m:sub>
                  <m:r>
                    <w:rPr>
                      <w:rFonts w:ascii="Cambria Math" w:hAnsi="Cambria Math"/>
                    </w:rPr>
                    <m:t>a</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a</m:t>
                          </m:r>
                        </m:sub>
                      </m:sSub>
                    </m:e>
                  </m:d>
                </m:e>
              </m:func>
              <m:r>
                <m:rPr>
                  <m:sty m:val="p"/>
                </m:rPr>
                <w:rPr>
                  <w:rFonts w:ascii="Cambria Math" w:hAnsi="Cambria Math"/>
                </w:rPr>
                <m:t>-0.5</m:t>
              </m:r>
              <m:sSup>
                <m:sSupPr>
                  <m:ctrlPr>
                    <w:rPr>
                      <w:rFonts w:ascii="Cambria Math" w:hAnsi="Cambria Math"/>
                    </w:rPr>
                  </m:ctrlPr>
                </m:sSupPr>
                <m:e>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w</m:t>
                      </m:r>
                    </m:sup>
                  </m:sSubSup>
                </m:e>
                <m:sup>
                  <m:r>
                    <m:rPr>
                      <m:sty m:val="p"/>
                    </m:rPr>
                    <w:rPr>
                      <w:rFonts w:ascii="Cambria Math" w:hAnsi="Cambria Math"/>
                    </w:rPr>
                    <m:t>2</m:t>
                  </m:r>
                </m:sup>
              </m:sSup>
            </m:oMath>
          </w:p>
        </w:tc>
      </w:tr>
      <w:bookmarkEnd w:id="9"/>
    </w:tbl>
    <w:p w:rsidR="00195113" w:rsidRPr="001227B9" w:rsidRDefault="00195113" w:rsidP="00195113"/>
    <w:p w:rsidR="00195113" w:rsidRDefault="00195113" w:rsidP="00195113">
      <w:pPr>
        <w:pStyle w:val="Heading2"/>
      </w:pPr>
      <w:bookmarkStart w:id="13" w:name="_Toc145667816"/>
      <w:r>
        <w:t>Summary of Life-History Information</w:t>
      </w:r>
      <w:bookmarkEnd w:id="13"/>
    </w:p>
    <w:p w:rsidR="00195113" w:rsidRDefault="00195113" w:rsidP="00195113">
      <w:r>
        <w:t xml:space="preserve">This </w:t>
      </w:r>
      <w:r w:rsidRPr="00B94C5E">
        <w:t xml:space="preserve">section summarizes the available information on the life-history of </w:t>
      </w:r>
      <w:r w:rsidRPr="00B94C5E">
        <w:rPr>
          <w:i/>
        </w:rPr>
        <w:t xml:space="preserve">O. </w:t>
      </w:r>
      <w:proofErr w:type="spellStart"/>
      <w:r w:rsidRPr="00B94C5E">
        <w:rPr>
          <w:i/>
        </w:rPr>
        <w:t>cyanea</w:t>
      </w:r>
      <w:proofErr w:type="spellEnd"/>
      <w:r w:rsidRPr="00B94C5E">
        <w:t xml:space="preserve"> and describes the estimates of the life-history parameters used for the simulation testing and the </w:t>
      </w:r>
      <w:r>
        <w:t>application to the case studies</w:t>
      </w:r>
      <w:r w:rsidRPr="00B94C5E">
        <w:t>.</w:t>
      </w:r>
    </w:p>
    <w:p w:rsidR="00195113" w:rsidRDefault="00195113" w:rsidP="00195113">
      <w:r>
        <w:t xml:space="preserve">There are few studies on the biology of </w:t>
      </w:r>
      <w:r>
        <w:rPr>
          <w:i/>
        </w:rPr>
        <w:t xml:space="preserve">O. </w:t>
      </w:r>
      <w:proofErr w:type="spellStart"/>
      <w:r>
        <w:rPr>
          <w:i/>
        </w:rPr>
        <w:t>cyanea</w:t>
      </w:r>
      <w:proofErr w:type="spellEnd"/>
      <w:r>
        <w:rPr>
          <w:i/>
        </w:rPr>
        <w:t xml:space="preserve"> </w:t>
      </w:r>
      <w:r>
        <w:t xml:space="preserve">in Indonesia, with most recent studies from the West Indian </w:t>
      </w:r>
      <w:r w:rsidR="00983DD2">
        <w:t>O</w:t>
      </w:r>
      <w:r>
        <w:t xml:space="preserve">cean (Madagascar and Tanzania). Herwig et al. </w:t>
      </w:r>
      <w:r>
        <w:fldChar w:fldCharType="begin"/>
      </w:r>
      <w:r>
        <w:instrText xml:space="preserve"> ADDIN ZOTERO_ITEM CSL_CITATION {"citationID":"oZOaWnXe","properties":{"formattedCitation":"(2012)","plainCitation":"(2012)","noteIndex":0},"citationItems":[{"id":547,"uris":["http://zotero.org/users/2712903/items/LJ7J6QNK"],"itemData":{"id":547,"type":"article-journal","abstract":"Octopus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published a study from Ningaloo reef, Western Australia, which is closer to Indonesia and used as basis for many of the assumed biological values in this study. </w:t>
      </w:r>
    </w:p>
    <w:p w:rsidR="00195113" w:rsidRDefault="00195113" w:rsidP="00195113">
      <w:pPr>
        <w:pStyle w:val="Heading3"/>
      </w:pPr>
      <w:bookmarkStart w:id="14" w:name="_Toc145667817"/>
      <w:r>
        <w:t>Longevity and Natural Mortality</w:t>
      </w:r>
      <w:bookmarkEnd w:id="14"/>
    </w:p>
    <w:p w:rsidR="00195113" w:rsidRDefault="00195113" w:rsidP="00195113">
      <w:r>
        <w:t xml:space="preserve">Herwig et al. </w:t>
      </w:r>
      <w:r>
        <w:fldChar w:fldCharType="begin"/>
      </w:r>
      <w:r>
        <w:instrText xml:space="preserve"> ADDIN ZOTERO_ITEM CSL_CITATION {"citationID":"tDEYJEqo","properties":{"formattedCitation":"(2012)","plainCitation":"(2012)","noteIndex":0},"citationItems":[{"id":547,"uris":["http://zotero.org/users/2712903/items/LJ7J6QNK"],"itemData":{"id":547,"type":"article-journal","abstract":"Octopus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used stylet increment analysis to age 102 individual octopus, and found a maximum age of 314 days for females and 295 days for males. This estimate of an</w:t>
      </w:r>
      <w:r w:rsidR="00CC447D">
        <w:t xml:space="preserve"> </w:t>
      </w:r>
      <w:r>
        <w:t xml:space="preserve">approximately 1 year life-span corresponds well with a longevity of 12 – 15 months reported by earlier studies from other regions </w:t>
      </w:r>
      <w:r>
        <w:fldChar w:fldCharType="begin"/>
      </w:r>
      <w:r>
        <w:instrText xml:space="preserve"> ADDIN ZOTERO_ITEM CSL_CITATION {"citationID":"lMYLVO26","properties":{"formattedCitation":"(Van Heukelem, 1973)","plainCitation":"(Van Heukelem, 1973)","noteIndex":0},"citationItems":[{"id":583,"uris":["http://zotero.org/users/2712903/items/2WYM9QUX"],"itemData":{"id":583,"type":"article-journal","abstract":"The growth of Octopus cyanea was followed from 67 to 6500 g in captivity on an ad libitum diet of live crabs. Females spawning in captivity always die after the eggs hatch. Males may mate many times with several different females but do not appear to outlive females. The species spawns throughout the year; the time of spawning is probably determined by the age of the female. Males stop growing after suckers at the edge of the web enlarge and gradually lose weight until their death, about two or three months after maximum sucker enlargement. The life-span of O. cyanea appears to be between 12 and 15 months from settlement. A growth curve is presented for the species from settling to maximum size and compared with experimental data on captive and marked, free-living animals. Free octopuses grew at rates similar to captives fed ad libitum, indicating that food was not limiting to growth in the field, and that a reasonable estimate of age could be obtained from the weight at capture. A method of marking animals by branding is described which gives lifetime scars making it possible to study the growth of individual animals released in the field.","container-title":"Journal of Zoology","DOI":"10.1111/j.1469-7998.1973.tb04559.x","ISSN":"1469-7998","issue":"3","language":"en","note":"_eprint: https://onlinelibrary.wiley.com/doi/pdf/10.1111/j.1469-7998.1973.tb04559.x","page":"299-315","source":"Wiley Online Library","title":"Growth and life-span of Octopus cyanea (Mollusca: Cephalopoda)*","title-short":"Growth and life-span of Octopus cyanea (Mollusca","volume":"169","author":[{"family":"Van Heukelem","given":"William F."}],"issued":{"date-parts":[["1973"]]}}}],"schema":"https://github.com/citation-style-language/schema/raw/master/csl-citation.json"} </w:instrText>
      </w:r>
      <w:r>
        <w:fldChar w:fldCharType="separate"/>
      </w:r>
      <w:r w:rsidRPr="00C53829">
        <w:rPr>
          <w:rFonts w:cs="Times New Roman"/>
        </w:rPr>
        <w:t>(Van Heukelem, 1973)</w:t>
      </w:r>
      <w:r>
        <w:fldChar w:fldCharType="end"/>
      </w:r>
      <w:r>
        <w:t xml:space="preserve">. </w:t>
      </w:r>
    </w:p>
    <w:p w:rsidR="00195113" w:rsidRDefault="00195113" w:rsidP="00195113">
      <w:r>
        <w:t xml:space="preserve">Like most octopus species, female </w:t>
      </w:r>
      <w:r w:rsidRPr="00677D09">
        <w:rPr>
          <w:i/>
        </w:rPr>
        <w:t xml:space="preserve">O. </w:t>
      </w:r>
      <w:proofErr w:type="spellStart"/>
      <w:r w:rsidRPr="00677D09">
        <w:rPr>
          <w:i/>
        </w:rPr>
        <w:t>cyanea</w:t>
      </w:r>
      <w:proofErr w:type="spellEnd"/>
      <w:r w:rsidRPr="00677D09">
        <w:rPr>
          <w:i/>
        </w:rPr>
        <w:t xml:space="preserve"> </w:t>
      </w:r>
      <w:r>
        <w:t xml:space="preserve">are known to die soon after spawning, and male octopus appear to have a similar life-span to females </w:t>
      </w:r>
      <w:r>
        <w:fldChar w:fldCharType="begin"/>
      </w:r>
      <w:r>
        <w:instrText xml:space="preserve"> ADDIN ZOTERO_ITEM CSL_CITATION {"citationID":"itggSGSC","properties":{"formattedCitation":"(Van Heukelem, 1973)","plainCitation":"(Van Heukelem, 1973)","noteIndex":0},"citationItems":[{"id":583,"uris":["http://zotero.org/users/2712903/items/2WYM9QUX"],"itemData":{"id":583,"type":"article-journal","abstract":"The growth of Octopus cyanea was followed from 67 to 6500 g in captivity on an ad libitum diet of live crabs. Females spawning in captivity always die after the eggs hatch. Males may mate many times with several different females but do not appear to outlive females. The species spawns throughout the year; the time of spawning is probably determined by the age of the female. Males stop growing after suckers at the edge of the web enlarge and gradually lose weight until their death, about two or three months after maximum sucker enlargement. The life-span of O. cyanea appears to be between 12 and 15 months from settlement. A growth curve is presented for the species from settling to maximum size and compared with experimental data on captive and marked, free-living animals. Free octopuses grew at rates similar to captives fed ad libitum, indicating that food was not limiting to growth in the field, and that a reasonable estimate of age could be obtained from the weight at capture. A method of marking animals by branding is described which gives lifetime scars making it possible to study the growth of individual animals released in the field.","container-title":"Journal of Zoology","DOI":"10.1111/j.1469-7998.1973.tb04559.x","ISSN":"1469-7998","issue":"3","language":"en","note":"_eprint: https://onlinelibrary.wiley.com/doi/pdf/10.1111/j.1469-7998.1973.tb04559.x","page":"299-315","source":"Wiley Online Library","title":"Growth and life-span of Octopus cyanea (Mollusca: Cephalopoda)*","title-short":"Growth and life-span of Octopus cyanea (Mollusca","volume":"169","author":[{"family":"Van Heukelem","given":"William F."}],"issued":{"date-parts":[["1973"]]}}}],"schema":"https://github.com/citation-style-language/schema/raw/master/csl-citation.json"} </w:instrText>
      </w:r>
      <w:r>
        <w:fldChar w:fldCharType="separate"/>
      </w:r>
      <w:r w:rsidRPr="00677D09">
        <w:rPr>
          <w:rFonts w:cs="Times New Roman"/>
        </w:rPr>
        <w:t>(Van Heukelem, 1973)</w:t>
      </w:r>
      <w:r>
        <w:fldChar w:fldCharType="end"/>
      </w:r>
      <w:r>
        <w:t xml:space="preserve">. The assessment model requires information on the natural mortality rate for the pre-spawning octopus. There </w:t>
      </w:r>
      <w:r>
        <w:lastRenderedPageBreak/>
        <w:t xml:space="preserve">appears to be few published studies on this background level of natural mortality for </w:t>
      </w:r>
      <w:r w:rsidRPr="00677D09">
        <w:rPr>
          <w:i/>
        </w:rPr>
        <w:t xml:space="preserve">O. </w:t>
      </w:r>
      <w:proofErr w:type="spellStart"/>
      <w:r w:rsidRPr="00677D09">
        <w:rPr>
          <w:i/>
        </w:rPr>
        <w:t>cyanea</w:t>
      </w:r>
      <w:proofErr w:type="spellEnd"/>
      <w:r>
        <w:t xml:space="preserve"> or other </w:t>
      </w:r>
      <w:proofErr w:type="gramStart"/>
      <w:r>
        <w:t>octopus</w:t>
      </w:r>
      <w:proofErr w:type="gramEnd"/>
      <w:r>
        <w:t xml:space="preserve"> species.</w:t>
      </w:r>
    </w:p>
    <w:p w:rsidR="00195113" w:rsidRDefault="00195113" w:rsidP="00195113">
      <w:r>
        <w:t xml:space="preserve">Herwig et al. </w:t>
      </w:r>
      <w:r>
        <w:fldChar w:fldCharType="begin"/>
      </w:r>
      <w:r>
        <w:instrText xml:space="preserve"> ADDIN ZOTERO_ITEM CSL_CITATION {"citationID":"mZbuMJGn","properties":{"formattedCitation":"(2012)","plainCitation":"(2012)","noteIndex":0},"citationItems":[{"id":547,"uris":["http://zotero.org/users/2712903/items/LJ7J6QNK"],"itemData":{"id":547,"type":"article-journal","abstract":"Octopus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used Hoenig’s </w:t>
      </w:r>
      <w:r>
        <w:fldChar w:fldCharType="begin"/>
      </w:r>
      <w:r>
        <w:instrText xml:space="preserve"> ADDIN ZOTERO_ITEM CSL_CITATION {"citationID":"9pMpDvL2","properties":{"formattedCitation":"(1983)","plainCitation":"(1983)","noteIndex":0},"citationItems":[{"id":650,"uris":["http://zotero.org/users/2712903/items/64DN4S5J"],"itemData":{"id":650,"type":"article-journal","container-title":"Fishery Bulletin","page":"898-903","title":"Empirical use of longevity data to estimate mortality rates","volume":"82","author":[{"family":"Hoenig","given":"John M."}],"issued":{"date-parts":[["1983"]]}},"suppress-author":true}],"schema":"https://github.com/citation-style-language/schema/raw/master/csl-citation.json"} </w:instrText>
      </w:r>
      <w:r>
        <w:fldChar w:fldCharType="separate"/>
      </w:r>
      <w:r w:rsidRPr="00087E18">
        <w:rPr>
          <w:rFonts w:cs="Times New Roman"/>
        </w:rPr>
        <w:t>(1983)</w:t>
      </w:r>
      <w:r>
        <w:fldChar w:fldCharType="end"/>
      </w:r>
      <w:r>
        <w:t xml:space="preserve"> method based on the maximum age (in days) observed in their study and reported a daily mortality rate of 2.9%. Assuming an average of 30.4 days in a month, this corresponds to a natural mortality rate of 0.88 month</w:t>
      </w:r>
      <w:r>
        <w:rPr>
          <w:vertAlign w:val="superscript"/>
        </w:rPr>
        <w:t>-1</w:t>
      </w:r>
      <w:r>
        <w:t xml:space="preserve">. This value appears too high for a species that has a longevity of at least 12 months, likely because it represents the average mortality over the whole adult lifespan rather than only the before-spawning mortality. Furthermore, it’s not clear if the Hoenig method is appropriate for short-lived semelparous species such as cephalopods. </w:t>
      </w:r>
      <w:proofErr w:type="spellStart"/>
      <w:r w:rsidRPr="00AA64E7">
        <w:rPr>
          <w:rFonts w:cs="Times New Roman"/>
        </w:rPr>
        <w:t>Roa-Ureta</w:t>
      </w:r>
      <w:proofErr w:type="spellEnd"/>
      <w:r w:rsidRPr="00AA64E7">
        <w:rPr>
          <w:rFonts w:cs="Times New Roman"/>
        </w:rPr>
        <w:t xml:space="preserve"> et al.</w:t>
      </w:r>
      <w:r>
        <w:rPr>
          <w:rFonts w:cs="Times New Roman"/>
        </w:rPr>
        <w:t xml:space="preserve">, </w:t>
      </w:r>
      <w:r>
        <w:fldChar w:fldCharType="begin"/>
      </w:r>
      <w:r>
        <w:instrText xml:space="preserve"> ADDIN ZOTERO_ITEM CSL_CITATION {"citationID":"ZeE18teB","properties":{"formattedCitation":"(2020)","plainCitation":"(2020)","noteIndex":0},"citationItems":[{"id":820,"uris":["http://zotero.org/users/2712903/items/JNVT5GSH"],"itemData":{"id":820,"type":"article-journal","abstract":"Small-scale fisheries account for most of the worldwide landings and employment. However, they are difficult to manage scientifically because the program of research and management applied to the relatively few large-scale fisheries is too onerous to be expanded to the myriad small-scale fisheries. Does this mean that SSF have a higher risk of overfishing so it would be necessary to implement more aggressively conservative measures to preemptively avoid collapse? Implementation of a stock assessment methodology developed for data-poor fisheries reveals that this may not be the case. We show that in the absence of formal stock assessment and enforcement of catch limits, Chilean small-scale fishers first apply excessive exploitation causing depletion then they eventually re-build their stocks supported by a process of co-management. We analyze three small-scale fisheries in central-south Chile: the striped clam Ameghinomya antiqua fishery in the Bay of Ancud, the razor clam Ensis macha fishery in the Gulf of Arauco, and the red octopus Enteroctopus megalocyathus fishery in the inner sea of Chiloé. We find that in the oldest fishery, for the striped clam, fishers are slowly re-building the stock from a very depressed condition, in the younger fishery for the razor clam they are recovering the stock and are close to re-building to the BMSY, and in the youngest fishery, for the red octopus, they have just shrank biomass to below BMSY. We observe that the best managed case, the fishery for the razor clam, is connected to a more mature co-management process, with fishers collaborating with government through committees of participatory management, which have provided a framework to co-manage for sustainability.","container-title":"Fisheries Research","DOI":"10.1016/j.fishres.2020.105674","ISSN":"0165-7836","journalAbbreviation":"Fisheries Research","language":"en","page":"105674","source":"ScienceDirect","title":"Achieving sustainable exploitation through co-management in three Chilean small-scale fisheries","volume":"230","author":[{"family":"Roa-Ureta","given":"Ruben H."},{"family":"Henríquez","given":"Jorge"},{"family":"Molinet","given":"Carlos"}],"issued":{"date-parts":[["2020",10,1]]}},"suppress-author":true}],"schema":"https://github.com/citation-style-language/schema/raw/master/csl-citation.json"} </w:instrText>
      </w:r>
      <w:r>
        <w:fldChar w:fldCharType="separate"/>
      </w:r>
      <w:r w:rsidRPr="00AA64E7">
        <w:rPr>
          <w:rFonts w:cs="Times New Roman"/>
        </w:rPr>
        <w:t>(2020)</w:t>
      </w:r>
      <w:r>
        <w:fldChar w:fldCharType="end"/>
      </w:r>
      <w:r>
        <w:t xml:space="preserve"> estimated average natural mortality for pre-spawning red octopus (</w:t>
      </w:r>
      <w:proofErr w:type="spellStart"/>
      <w:r w:rsidRPr="00AA64E7">
        <w:rPr>
          <w:i/>
        </w:rPr>
        <w:t>Enteroctopus</w:t>
      </w:r>
      <w:proofErr w:type="spellEnd"/>
      <w:r w:rsidRPr="00AA64E7">
        <w:rPr>
          <w:i/>
        </w:rPr>
        <w:t xml:space="preserve"> </w:t>
      </w:r>
      <w:proofErr w:type="spellStart"/>
      <w:r w:rsidRPr="00AA64E7">
        <w:rPr>
          <w:i/>
        </w:rPr>
        <w:t>megalocyathus</w:t>
      </w:r>
      <w:proofErr w:type="spellEnd"/>
      <w:r>
        <w:t>) in Chile and reported a value of 0.017495 week</w:t>
      </w:r>
      <w:r>
        <w:rPr>
          <w:vertAlign w:val="superscript"/>
        </w:rPr>
        <w:t>-1</w:t>
      </w:r>
      <w:r>
        <w:t xml:space="preserve">, which corresponds to about </w:t>
      </w:r>
      <w:r w:rsidRPr="00077C19">
        <w:t>0.075</w:t>
      </w:r>
      <w:r>
        <w:t xml:space="preserve"> month</w:t>
      </w:r>
      <w:r>
        <w:rPr>
          <w:vertAlign w:val="superscript"/>
        </w:rPr>
        <w:t>-1</w:t>
      </w:r>
      <w:r>
        <w:t xml:space="preserve">. However, there is some evidence that deep-sea species like </w:t>
      </w:r>
      <w:r>
        <w:rPr>
          <w:i/>
        </w:rPr>
        <w:t xml:space="preserve">E. </w:t>
      </w:r>
      <w:proofErr w:type="spellStart"/>
      <w:r w:rsidRPr="00AA64E7">
        <w:rPr>
          <w:i/>
        </w:rPr>
        <w:t>megalocyathus</w:t>
      </w:r>
      <w:proofErr w:type="spellEnd"/>
      <w:r>
        <w:t xml:space="preserve"> have longer life-spans than shallow water cephalopods. </w:t>
      </w:r>
    </w:p>
    <w:p w:rsidR="00195113" w:rsidRDefault="00195113" w:rsidP="00195113">
      <w:r>
        <w:t>An alternative logic to illuminate this issue is supplied by concept of optimum size that is widely applied in fisheries biology. This concept being that the process of natural selection that drives each species towards optimizing their evolutionary fitness ensures that in each species their cohorts achieve their maximum biomass coincidentally with their maturation, ensuring species optimize their reproductive output (</w:t>
      </w:r>
      <w:proofErr w:type="spellStart"/>
      <w:r>
        <w:t>Beverton</w:t>
      </w:r>
      <w:proofErr w:type="spellEnd"/>
      <w:r>
        <w:t xml:space="preserve"> &amp; Holt 1957). This phenomenon underlies the inter-relationship of the </w:t>
      </w:r>
      <w:proofErr w:type="spellStart"/>
      <w:r>
        <w:t>Beverton</w:t>
      </w:r>
      <w:proofErr w:type="spellEnd"/>
      <w:r>
        <w:t xml:space="preserve">-Holt life history ratios in species for which Von </w:t>
      </w:r>
      <w:proofErr w:type="spellStart"/>
      <w:r>
        <w:t>Bertalanffy</w:t>
      </w:r>
      <w:proofErr w:type="spellEnd"/>
      <w:r>
        <w:t xml:space="preserve"> growth curve can be applied, upon which the LBSPR technique is based upon (</w:t>
      </w:r>
      <w:proofErr w:type="spellStart"/>
      <w:r>
        <w:t>Hordyk</w:t>
      </w:r>
      <w:proofErr w:type="spellEnd"/>
      <w:r>
        <w:t xml:space="preserve"> et al. 2015). Applying the same principal, that species will achieve maximum cohort biomass at the size of maturation, to octopus, in order to optimize evolutionary fitness, allows us to evaluate alternative likely rates of natural mortality in octopus. In Figure 2-</w:t>
      </w:r>
      <w:r w:rsidR="00CC447D">
        <w:t>7</w:t>
      </w:r>
      <w:r>
        <w:t xml:space="preserve"> </w:t>
      </w:r>
      <w:r w:rsidR="00CC447D">
        <w:t xml:space="preserve">or Figure S1-3 </w:t>
      </w:r>
      <w:r>
        <w:t xml:space="preserve">we plot potential trajectories of relative biomass with age (months) assuming varying rates of natural mortality (0.05 – </w:t>
      </w:r>
      <w:proofErr w:type="gramStart"/>
      <w:r>
        <w:t>0.45  month</w:t>
      </w:r>
      <w:proofErr w:type="gramEnd"/>
      <w:r>
        <w:rPr>
          <w:vertAlign w:val="superscript"/>
        </w:rPr>
        <w:t>-1</w:t>
      </w:r>
      <w:r>
        <w:t>) and observe that with a natural mortality rate of 0.15 month</w:t>
      </w:r>
      <w:r>
        <w:rPr>
          <w:vertAlign w:val="superscript"/>
        </w:rPr>
        <w:t xml:space="preserve">-1 </w:t>
      </w:r>
      <w:r>
        <w:t xml:space="preserve">the biomass of each cohort will be maximized at the age of maturation in </w:t>
      </w:r>
      <w:r w:rsidRPr="00677D09">
        <w:rPr>
          <w:i/>
        </w:rPr>
        <w:t xml:space="preserve">O. </w:t>
      </w:r>
      <w:proofErr w:type="spellStart"/>
      <w:r w:rsidRPr="00677D09">
        <w:rPr>
          <w:i/>
        </w:rPr>
        <w:t>cyanea</w:t>
      </w:r>
      <w:proofErr w:type="spellEnd"/>
      <w:r>
        <w:t>; around 12-14 months of age. On this basis, we assumed this to be the natural mortality rate for all pre-spawning age-classes for the simulation testing application to the case studies.</w:t>
      </w:r>
    </w:p>
    <w:p w:rsidR="00195113" w:rsidRDefault="00195113" w:rsidP="00195113"/>
    <w:p w:rsidR="00195113" w:rsidRDefault="00195113" w:rsidP="00195113">
      <w:pPr>
        <w:keepNext/>
      </w:pPr>
      <w:r>
        <w:rPr>
          <w:noProof/>
        </w:rPr>
        <w:lastRenderedPageBreak/>
        <w:drawing>
          <wp:inline distT="0" distB="0" distL="0" distR="0" wp14:anchorId="416BF573" wp14:editId="65B423BA">
            <wp:extent cx="5943600" cy="3714750"/>
            <wp:effectExtent l="0" t="0" r="0" b="6350"/>
            <wp:docPr id="16394133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13359" name="Picture 16394133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195113" w:rsidRDefault="00195113" w:rsidP="00195113">
      <w:pPr>
        <w:pStyle w:val="Caption"/>
      </w:pPr>
      <w:bookmarkStart w:id="15" w:name="_Toc145585792"/>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7</w:t>
      </w:r>
      <w:r>
        <w:rPr>
          <w:noProof/>
        </w:rPr>
        <w:fldChar w:fldCharType="end"/>
      </w:r>
      <w:r w:rsidR="00CC447D">
        <w:t xml:space="preserve"> or Figure S1-3. </w:t>
      </w:r>
      <w:r w:rsidRPr="00965B17">
        <w:t>Potential trajectories of cohort relative biomass with age (months) assuming a range of rates of natural mortality (0.05 – 0.45 month</w:t>
      </w:r>
      <w:r w:rsidRPr="00D82947">
        <w:rPr>
          <w:rFonts w:cs="Times New Roman (Body CS)"/>
          <w:vertAlign w:val="superscript"/>
        </w:rPr>
        <w:t>-1</w:t>
      </w:r>
      <w:r w:rsidRPr="00965B17">
        <w:t>).</w:t>
      </w:r>
      <w:bookmarkEnd w:id="15"/>
    </w:p>
    <w:p w:rsidR="00195113" w:rsidRPr="00DD120E" w:rsidRDefault="00195113" w:rsidP="00195113"/>
    <w:p w:rsidR="00195113" w:rsidRDefault="00195113" w:rsidP="00195113">
      <w:pPr>
        <w:pStyle w:val="Heading3"/>
      </w:pPr>
      <w:bookmarkStart w:id="16" w:name="_Toc145667818"/>
      <w:r>
        <w:t>Probability Spawning-at-Age</w:t>
      </w:r>
      <w:bookmarkEnd w:id="16"/>
      <w:r>
        <w:t xml:space="preserve"> </w:t>
      </w:r>
    </w:p>
    <w:p w:rsidR="00195113" w:rsidRDefault="00195113" w:rsidP="00195113">
      <w:pPr>
        <w:rPr>
          <w:rFonts w:eastAsiaTheme="minorEastAsia"/>
        </w:rPr>
      </w:pPr>
      <w:r>
        <w:rPr>
          <w:rFonts w:eastAsiaTheme="minorEastAsia"/>
        </w:rPr>
        <w:t xml:space="preserve">Octopus populations in tropical regions typically reproduce year round, though sometimes with pronounced peaks in recruitment in certain months </w:t>
      </w:r>
      <w:r>
        <w:rPr>
          <w:rFonts w:eastAsiaTheme="minorEastAsia"/>
        </w:rPr>
        <w:fldChar w:fldCharType="begin"/>
      </w:r>
      <w:r>
        <w:rPr>
          <w:rFonts w:eastAsiaTheme="minorEastAsia"/>
        </w:rPr>
        <w:instrText xml:space="preserve"> ADDIN ZOTERO_ITEM CSL_CITATION {"citationID":"vp3gA4Uq","properties":{"formattedCitation":"(Guard &amp; Mgaya, 2002; Herwig et al., 2012; Raberinary &amp; Benbow, 2012; Silas et al., 2021)","plainCitation":"(Guard &amp; Mgaya, 2002; Herwig et al., 2012; Raberinary &amp; Benbow, 2012; Silas et al., 2021)","noteIndex":0},"citationItems":[{"id":836,"uris":["http://zotero.org/users/2712903/items/26WKXRBY"],"itemData":{"id":836,"type":"article-journal","abstract":"Preliminary results for the artisanal fisheries of Octopus cyanea Gray (1849) in Tanzania are provided for the period April 2000 until June 2001. A total of 2546 individual catches and 15473 specimens were analyzed from 3 sites located at Tanga, Mafia Island, and Mtwara. Size range, average weight and catch per unit effort (CPUE) were all significantly lower at Tanga and Mtwara compared to Mafia indicating that the former sites may be overfished. Abundance of smaller individuals was higher at Tanga and Mtwara, but overall biomass was lower. Octopi at each site exhibited allometric growth as indicated by analyses of the length-weight relationships. Females become sexually mature at a minimum weight of 600 g while for males the minimum weight was 320 g. Higher numbers of mature individuals were found in June of both years and correlate with peaks in the gonosomatic index. Recruitment peaked a few months after brooding periods. Sex ratios indicate females may be more prone to capture during brooding periods. Reasons for differences between sites are discussed.","container-title":"Ambio","ISSN":"0044-7447","issue":"7/8","note":"publisher: [Springer, Royal Swedish Academy of Sciences]","page":"528-536","source":"JSTOR","title":"The Artisanal Fishery for Octopus cyanea Gray in Tanzania","volume":"31","author":[{"family":"Guard","given":"Martin"},{"family":"Mgaya","given":"Yunus D."}],"issued":{"date-parts":[["2002"]]}}},{"id":547,"uris":["http://zotero.org/users/2712903/items/LJ7J6QNK"],"itemData":{"id":547,"type":"article-journal","abstract":"Octopus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J."}],"issued":{"date-parts":[["2012",8,17]]}}},{"id":540,"uris":["http://zotero.org/users/2712903/items/5F9556WY"],"itemData":{"id":540,"type":"article-journal","container-title":"Fisheries Research","DOI":"10.1016/j.fishres.2012.02.025","ISSN":"01657836","journalAbbreviation":"Fisheries Research","language":"en","page":"190-197","source":"DOI.org (Crossref)","title":"The reproductive cycle of Octopus cyanea in southwest Madagascar and implications for fisheries management","volume":"125-126","author":[{"family":"Raberinary","given":"D."},{"family":"Benbow","given":"S."}],"issued":{"date-parts":[["2012",8]]}}},{"id":536,"uris":["http://zotero.org/users/2712903/items/XS9CPFEG"],"itemData":{"id":536,"type":"article-journal","abstract":"Octopus cyanea is a commercially important cephalopod in the Western Indian Ocean (WIO) region, but scientific information to inform management strategies for the species is limited. A study was conducted in 2014, 2015, 2017 and 2018 to investigate biological parameters including growth, mortality, exploitation rates and recruitment patterns in the sea around Mafia Archipelago, Tanzania. Virtual population analysis (VPA) indicated differential mortality between two sampling sites; the lowest and highest fishing mortality of F = 1.5yr-1 and F = 2.7yr-1 were observed in Bwejuu (Dorsal mantle length, DMT = 18-20 cm) and Jibondo (DMT = 8-12 cm) fishing villages, respectively. The maximum exploitation rate (Emax), which gives the maximum relative yield per recruit, was estimated at 0.380 and 0.379 for Jibondo and Bwejuu, respectively. The exploitation rates E 0.5, which corresponded to 50% of the unexploited stock relative biomass per recruit, were estimated at 0.248 for Jibondo and 0.247 for Bwejuu. These values differ greatly from the exploitation rates of 0.53 and 0.41 for Jibondo and Bwejuu, respectively, suggesting that the stock of O. cyanea is probably being overfished both in terms of yield per recruit and biomass per recruit. The stock-recruit pattern was observed to be continuous year-round, with the peak being between May and July. Since the peak in recruitment of both areas coincides with the south-east monsoon (SE Monsoon) and the level of maximum sustainable yield has been overshot, it is recommended that management plans are implemented that will reduce effort while increasing biomass, for example, implementing temporal octopus fishery closures at a village level.","container-title":"Western Indian Ocean Journal of Marine Science","DOI":"10.4314/wiojms.v20i1.7","ISSN":"0856-860X","issue":"1","language":"en","note":"number: 1","page":"71-79","source":"www.ajol.info","title":"Growth, mortality, exploitation rate and recruitment pattern of Octopus cyanea (Mollusca: Cephalopoda) in the WIO region: A case study from the Mafia Archipelago, Tanzania","title-short":"Growth, mortality, exploitation rate and recruitment pattern of Octopus cyanea (Mollusca","volume":"20","author":[{"family":"Silas","given":"Mathew O."},{"family":"Kishe","given":"Mary A."},{"family":"Mshana","given":"Johnson G."},{"family":"Semba","given":"Masumbuko L."},{"family":"Mgeleka","given":"Said S."},{"family":"Kuboja","given":"Bigeyo N."},{"family":"Ngatunga","given":"Benjamin P."},{"family":"Chande","given":"Muhaji A."},{"family":"Matiku","given":"Patroba"}],"issued":{"date-parts":[["2021",8,24]]}}}],"schema":"https://github.com/citation-style-language/schema/raw/master/csl-citation.json"} </w:instrText>
      </w:r>
      <w:r>
        <w:rPr>
          <w:rFonts w:eastAsiaTheme="minorEastAsia"/>
        </w:rPr>
        <w:fldChar w:fldCharType="separate"/>
      </w:r>
      <w:r w:rsidRPr="00C960BD">
        <w:rPr>
          <w:rFonts w:cs="Times New Roman"/>
        </w:rPr>
        <w:t>(Guard &amp; Mgaya, 2002; Herwig et al., 2012; Raberinary &amp; Benbow, 2012; Silas et al., 2021)</w:t>
      </w:r>
      <w:r>
        <w:rPr>
          <w:rFonts w:eastAsiaTheme="minorEastAsia"/>
        </w:rPr>
        <w:fldChar w:fldCharType="end"/>
      </w:r>
      <w:r>
        <w:rPr>
          <w:rFonts w:eastAsiaTheme="minorEastAsia"/>
        </w:rPr>
        <w:t xml:space="preserve">. Given that </w:t>
      </w:r>
      <w:r w:rsidRPr="00C960BD">
        <w:rPr>
          <w:rFonts w:eastAsiaTheme="minorEastAsia"/>
          <w:i/>
        </w:rPr>
        <w:t xml:space="preserve">O. </w:t>
      </w:r>
      <w:proofErr w:type="spellStart"/>
      <w:r w:rsidRPr="00C960BD">
        <w:rPr>
          <w:rFonts w:eastAsiaTheme="minorEastAsia"/>
          <w:i/>
        </w:rPr>
        <w:t>cyanea</w:t>
      </w:r>
      <w:proofErr w:type="spellEnd"/>
      <w:r>
        <w:rPr>
          <w:rFonts w:eastAsiaTheme="minorEastAsia"/>
        </w:rPr>
        <w:t xml:space="preserve"> are </w:t>
      </w:r>
      <w:r w:rsidRPr="00C960BD">
        <w:rPr>
          <w:rFonts w:eastAsiaTheme="minorEastAsia"/>
        </w:rPr>
        <w:t>simultaneous terminal spawners</w:t>
      </w:r>
      <w:r>
        <w:rPr>
          <w:rFonts w:eastAsiaTheme="minorEastAsia"/>
        </w:rPr>
        <w:t xml:space="preserve"> </w:t>
      </w:r>
      <w:r>
        <w:rPr>
          <w:rFonts w:eastAsiaTheme="minorEastAsia"/>
        </w:rPr>
        <w:fldChar w:fldCharType="begin"/>
      </w:r>
      <w:r>
        <w:rPr>
          <w:rFonts w:eastAsiaTheme="minorEastAsia"/>
        </w:rPr>
        <w:instrText xml:space="preserve"> ADDIN ZOTERO_ITEM CSL_CITATION {"citationID":"TAPJGe1q","properties":{"formattedCitation":"(Rocha et al., 2001)","plainCitation":"(Rocha et al., 2001)","noteIndex":0},"citationItems":[{"id":543,"uris":["http://zotero.org/users/2712903/items/JEBH4KX2"],"itemData":{"id":543,"type":"article-journal","abstract":"Cephalopod reproductive strategies are reviewed in order to clarify their current, confusing status. Based on the type of ovulation, spawning pattern and growth between egg batches or spawning periods, five comprehensive and flexible cephalopod reproductive strategies are defined. Accordingly, with these three factors the following classification is proposed. (a) Spawning once (formerly semelparity) consisting of simultaneous terminal spawning, with synchronous ovulation, monocyclic spawning and absence of growth between egg batches. (b) Spawning more than once (formerly iteroparity) including: (i) polycyclic spawning with egg-laying occurring in separate batches during the spawning season and growth occurring between production of egg batches and spawning seasons; (ii) multiple spawning, with group-synchronous ovulation, monocyclic spawning and growth between egg batches; (iii) intermittent terminal spawning, with group-synchronous ovulation, monocyclic spawning and no growth between egg batches; (iv) continuous spawning, with asynchronous ovulation, monocyclic spawning and growth between egg batches. Examples of species exhibiting each of these reproductive strategies are given. The large amount of inter-species variation in several life-history traits related to reproductive events is discussed.","container-title":"Biological Reviews","DOI":"10.1017/S1464793101005681","ISSN":"1469-185X, 1464-7931","issue":"3","language":"en","note":"publisher: Cambridge University Press","page":"291-304","source":"Cambridge University Press","title":"A review of reproductive strategies in cephalopods","volume":"76","author":[{"family":"Rocha","given":"Francisco"},{"family":"Guerra","given":"Ángel"},{"family":"González","given":"Ángel F."}],"issued":{"date-parts":[["2001",8]]}}}],"schema":"https://github.com/citation-style-language/schema/raw/master/csl-citation.json"} </w:instrText>
      </w:r>
      <w:r>
        <w:rPr>
          <w:rFonts w:eastAsiaTheme="minorEastAsia"/>
        </w:rPr>
        <w:fldChar w:fldCharType="separate"/>
      </w:r>
      <w:r w:rsidRPr="00C960BD">
        <w:rPr>
          <w:rFonts w:cs="Times New Roman"/>
        </w:rPr>
        <w:t>(Rocha et al., 2001)</w:t>
      </w:r>
      <w:r>
        <w:rPr>
          <w:rFonts w:eastAsiaTheme="minorEastAsia"/>
        </w:rPr>
        <w:fldChar w:fldCharType="end"/>
      </w:r>
      <w:r>
        <w:rPr>
          <w:rFonts w:eastAsiaTheme="minorEastAsia"/>
        </w:rPr>
        <w:t xml:space="preserve"> and the assumption that recruitment is a function of spawning biomass, in order to maintain a consistent annual seasonal pattern, reproduction must occur when most animals are around 12 months of age. Consequently, we assume an almost knife-edge spawning-at-age schedule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e>
        </m:d>
      </m:oMath>
      <w:r>
        <w:rPr>
          <w:rFonts w:eastAsiaTheme="minorEastAsia"/>
        </w:rPr>
        <w:t>, with almost all individuals spawning at the end of their first year of life (</w:t>
      </w:r>
      <w:r>
        <w:rPr>
          <w:rFonts w:eastAsiaTheme="minorEastAsia"/>
        </w:rPr>
        <w:fldChar w:fldCharType="begin"/>
      </w:r>
      <w:r>
        <w:rPr>
          <w:rFonts w:eastAsiaTheme="minorEastAsia"/>
        </w:rPr>
        <w:instrText xml:space="preserve"> REF _Ref139289171 \h </w:instrText>
      </w:r>
      <w:r>
        <w:rPr>
          <w:rFonts w:eastAsiaTheme="minorEastAsia"/>
        </w:rPr>
      </w:r>
      <w:r>
        <w:rPr>
          <w:rFonts w:eastAsiaTheme="minorEastAsia"/>
        </w:rPr>
        <w:fldChar w:fldCharType="separate"/>
      </w:r>
      <w:r>
        <w:t xml:space="preserve">Figure </w:t>
      </w:r>
      <w:r>
        <w:rPr>
          <w:noProof/>
        </w:rPr>
        <w:t>2</w:t>
      </w:r>
      <w:r>
        <w:noBreakHyphen/>
      </w:r>
      <w:r>
        <w:rPr>
          <w:noProof/>
        </w:rPr>
        <w:t>8</w:t>
      </w:r>
      <w:r>
        <w:rPr>
          <w:rFonts w:eastAsiaTheme="minorEastAsia"/>
        </w:rPr>
        <w:fldChar w:fldCharType="end"/>
      </w:r>
      <w:r w:rsidR="00CC447D">
        <w:rPr>
          <w:rFonts w:eastAsiaTheme="minorEastAsia"/>
        </w:rPr>
        <w:t xml:space="preserve"> or Figure S1-4</w:t>
      </w:r>
      <w:r>
        <w:rPr>
          <w:rFonts w:eastAsiaTheme="minorEastAsia"/>
        </w:rPr>
        <w:t xml:space="preserve">). Reproduction occurred in the middle of the monthly time-step, and all spawning individuals were assumed to die at the end of the same month; i.e.,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t>
            </m:r>
          </m:sub>
        </m:sSub>
      </m:oMath>
      <w:r w:rsidR="00983DD2">
        <w:rPr>
          <w:rFonts w:eastAsiaTheme="minorEastAsia"/>
        </w:rPr>
        <w:t xml:space="preserve"> (</w:t>
      </w:r>
      <w:r w:rsidR="00983DD2">
        <w:t>Table S1-4).</w:t>
      </w:r>
    </w:p>
    <w:p w:rsidR="00195113" w:rsidRDefault="00195113" w:rsidP="00195113">
      <w:pPr>
        <w:keepNext/>
        <w:jc w:val="center"/>
      </w:pPr>
      <w:r>
        <w:rPr>
          <w:rFonts w:eastAsiaTheme="minorEastAsia"/>
          <w:noProof/>
        </w:rPr>
        <w:lastRenderedPageBreak/>
        <w:drawing>
          <wp:inline distT="0" distB="0" distL="0" distR="0" wp14:anchorId="4ACB8670" wp14:editId="7CF157CB">
            <wp:extent cx="3315198" cy="3015049"/>
            <wp:effectExtent l="0" t="0" r="0" b="0"/>
            <wp:docPr id="14955119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7278" cy="3016941"/>
                    </a:xfrm>
                    <a:prstGeom prst="rect">
                      <a:avLst/>
                    </a:prstGeom>
                    <a:noFill/>
                    <a:ln>
                      <a:noFill/>
                    </a:ln>
                  </pic:spPr>
                </pic:pic>
              </a:graphicData>
            </a:graphic>
          </wp:inline>
        </w:drawing>
      </w:r>
    </w:p>
    <w:p w:rsidR="00195113" w:rsidRDefault="00195113" w:rsidP="00195113">
      <w:pPr>
        <w:pStyle w:val="Caption"/>
      </w:pPr>
      <w:bookmarkStart w:id="17" w:name="_Ref139289171"/>
      <w:bookmarkStart w:id="18" w:name="_Toc145585793"/>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8</w:t>
      </w:r>
      <w:r>
        <w:rPr>
          <w:noProof/>
        </w:rPr>
        <w:fldChar w:fldCharType="end"/>
      </w:r>
      <w:bookmarkEnd w:id="17"/>
      <w:r>
        <w:t xml:space="preserve"> </w:t>
      </w:r>
      <w:r w:rsidR="00CC447D">
        <w:t xml:space="preserve">or Figure S1-4. </w:t>
      </w:r>
      <w:r>
        <w:t>Assumed probability of spawning-at-age for the simulation testing and application to the case study data.</w:t>
      </w:r>
      <w:bookmarkEnd w:id="18"/>
    </w:p>
    <w:p w:rsidR="00195113" w:rsidRPr="00FA292E" w:rsidRDefault="00195113" w:rsidP="00195113"/>
    <w:p w:rsidR="00195113" w:rsidRDefault="00195113" w:rsidP="00195113">
      <w:pPr>
        <w:pStyle w:val="Heading3"/>
      </w:pPr>
      <w:bookmarkStart w:id="19" w:name="_Toc145667819"/>
      <w:r>
        <w:t>Weight-at-Age</w:t>
      </w:r>
      <w:bookmarkEnd w:id="19"/>
    </w:p>
    <w:p w:rsidR="00195113" w:rsidRDefault="00195113" w:rsidP="00195113">
      <w:r>
        <w:t xml:space="preserve">Herwig et al. </w:t>
      </w:r>
      <w:r>
        <w:fldChar w:fldCharType="begin"/>
      </w:r>
      <w:r>
        <w:instrText xml:space="preserve"> ADDIN ZOTERO_ITEM CSL_CITATION {"citationID":"RLBoJ7Fa","properties":{"formattedCitation":"(2012)","plainCitation":"(2012)","noteIndex":0},"citationItems":[{"id":547,"uris":["http://zotero.org/users/2712903/items/LJ7J6QNK"],"itemData":{"id":547,"type":"article-journal","abstract":"Octopus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fitted five growth models (exponential, linear, logarithmic, power, and von </w:t>
      </w:r>
      <w:proofErr w:type="spellStart"/>
      <w:r>
        <w:t>Bertalanffy</w:t>
      </w:r>
      <w:proofErr w:type="spellEnd"/>
      <w:r>
        <w:t>) to weight-at-age data and found the power function provided the best fit. They also found no significant difference in growth between female and male octopus.</w:t>
      </w:r>
    </w:p>
    <w:p w:rsidR="00195113" w:rsidRDefault="00195113" w:rsidP="00195113">
      <w:pPr>
        <w:keepNext/>
      </w:pPr>
      <w:r>
        <w:t xml:space="preserve">The coefficients of the power function reported in Table 1 of Herwig et al. </w:t>
      </w:r>
      <w:r>
        <w:fldChar w:fldCharType="begin"/>
      </w:r>
      <w:r>
        <w:instrText xml:space="preserve"> ADDIN ZOTERO_ITEM CSL_CITATION {"citationID":"sGH5Mkba","properties":{"formattedCitation":"(2012)","plainCitation":"(2012)","noteIndex":0},"citationItems":[{"id":547,"uris":["http://zotero.org/users/2712903/items/LJ7J6QNK"],"itemData":{"id":547,"type":"article-journal","abstract":"Octopus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did not reproduce the mean weight-at-age curve shown in their Figure 1 (which reported different values for the coefficients that also did not reproduce the curve). We digitized the data shown in their Figure 1 and fitted a power function to the resulting data. This resulted in slightly different coefficients than reported those reported by Herwig et al. </w:t>
      </w:r>
      <w:r>
        <w:fldChar w:fldCharType="begin"/>
      </w:r>
      <w:r>
        <w:instrText xml:space="preserve"> ADDIN ZOTERO_ITEM CSL_CITATION {"citationID":"7MR578GO","properties":{"formattedCitation":"(2012)","plainCitation":"(2012)","noteIndex":0},"citationItems":[{"id":547,"uris":["http://zotero.org/users/2712903/items/LJ7J6QNK"],"itemData":{"id":547,"type":"article-journal","abstract":"Octopus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but showed a similar line of best fit to the data (</w:t>
      </w:r>
      <w:r>
        <w:rPr>
          <w:highlight w:val="yellow"/>
        </w:rPr>
        <w:fldChar w:fldCharType="begin"/>
      </w:r>
      <w:r>
        <w:instrText xml:space="preserve"> REF _Ref139287820 \h </w:instrText>
      </w:r>
      <w:r>
        <w:rPr>
          <w:highlight w:val="yellow"/>
        </w:rPr>
      </w:r>
      <w:r>
        <w:rPr>
          <w:highlight w:val="yellow"/>
        </w:rPr>
        <w:fldChar w:fldCharType="separate"/>
      </w:r>
      <w:r>
        <w:t xml:space="preserve">Figure </w:t>
      </w:r>
      <w:r>
        <w:rPr>
          <w:noProof/>
        </w:rPr>
        <w:t>2</w:t>
      </w:r>
      <w:r>
        <w:noBreakHyphen/>
      </w:r>
      <w:r>
        <w:rPr>
          <w:noProof/>
        </w:rPr>
        <w:t>9</w:t>
      </w:r>
      <w:r>
        <w:rPr>
          <w:highlight w:val="yellow"/>
        </w:rPr>
        <w:fldChar w:fldCharType="end"/>
      </w:r>
      <w:r w:rsidR="00C71A89">
        <w:t xml:space="preserve"> or Figure S1-5</w:t>
      </w:r>
      <w:r>
        <w:t>). The standard deviation of the log-normally distributed weight-at-age was estimated in the</w:t>
      </w:r>
      <w:r w:rsidRPr="007A10C3">
        <w:t xml:space="preserve"> </w:t>
      </w:r>
      <w:r>
        <w:t xml:space="preserve">Herwig et al. </w:t>
      </w:r>
      <w:r>
        <w:fldChar w:fldCharType="begin"/>
      </w:r>
      <w:r>
        <w:instrText xml:space="preserve"> ADDIN ZOTERO_ITEM CSL_CITATION {"citationID":"sGH5Mkba","properties":{"formattedCitation":"(2012)","plainCitation":"(2012)","noteIndex":0},"citationItems":[{"id":547,"uris":["http://zotero.org/users/2712903/items/LJ7J6QNK"],"itemData":{"id":547,"type":"article-journal","abstract":"Octopus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study to be 0.48. </w:t>
      </w:r>
    </w:p>
    <w:p w:rsidR="00195113" w:rsidRDefault="00195113" w:rsidP="00195113">
      <w:pPr>
        <w:keepNext/>
      </w:pPr>
      <w:r>
        <w:t xml:space="preserve">To account for the differences in water temperature between the location of the Herwig et al. </w:t>
      </w:r>
      <w:r>
        <w:fldChar w:fldCharType="begin"/>
      </w:r>
      <w:r>
        <w:instrText xml:space="preserve"> ADDIN ZOTERO_ITEM CSL_CITATION {"citationID":"sGH5Mkba","properties":{"formattedCitation":"(2012)","plainCitation":"(2012)","noteIndex":0},"citationItems":[{"id":547,"uris":["http://zotero.org/users/2712903/items/LJ7J6QNK"],"itemData":{"id":547,"type":"article-journal","abstract":"Octopus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study in Ningaloo reef, Western Australia, and the more northern waters of Indonesia </w:t>
      </w:r>
      <w:r>
        <w:lastRenderedPageBreak/>
        <w:t>with higher water temperature, we scaled the estimated mean weight-at-age schedule using a local estimate of weight-at-maturity.</w:t>
      </w:r>
    </w:p>
    <w:p w:rsidR="00195113" w:rsidRDefault="00195113" w:rsidP="00195113">
      <w:pPr>
        <w:keepNext/>
      </w:pPr>
      <w:r>
        <w:t>At data set of weight of 575 octopus and their maturity stage (Immature or Mature), collected from throughout Indonesia, was provided by Blue Ventures. The probability of maturity-at-weight was estimated from these data using logistic regression with a general linear model (</w:t>
      </w:r>
      <w:r>
        <w:fldChar w:fldCharType="begin"/>
      </w:r>
      <w:r>
        <w:instrText xml:space="preserve"> REF _Ref143180434 \h </w:instrText>
      </w:r>
      <w:r>
        <w:fldChar w:fldCharType="separate"/>
      </w:r>
      <w:r>
        <w:t xml:space="preserve">Figure </w:t>
      </w:r>
      <w:r>
        <w:rPr>
          <w:noProof/>
        </w:rPr>
        <w:t>2</w:t>
      </w:r>
      <w:r>
        <w:noBreakHyphen/>
      </w:r>
      <w:r>
        <w:rPr>
          <w:noProof/>
        </w:rPr>
        <w:t>10</w:t>
      </w:r>
      <w:r>
        <w:fldChar w:fldCharType="end"/>
      </w:r>
      <w:r w:rsidR="00C71A89">
        <w:t xml:space="preserve"> or Figure S1-6</w:t>
      </w:r>
      <w:r>
        <w:t xml:space="preserve">). For a given mean weight-at-age schedule, and this estimated maturity-at-weight schedule, the corresponding maturity-at-age schedule can be calculated. We optimized the weight-at-age schedule by scaling the mean weight-at-age estimated by Herwig et al. </w:t>
      </w:r>
      <w:r>
        <w:fldChar w:fldCharType="begin"/>
      </w:r>
      <w:r>
        <w:instrText xml:space="preserve"> ADDIN ZOTERO_ITEM CSL_CITATION {"citationID":"7MR578GO","properties":{"formattedCitation":"(2012)","plainCitation":"(2012)","noteIndex":0},"citationItems":[{"id":547,"uris":["http://zotero.org/users/2712903/items/LJ7J6QNK"],"itemData":{"id":547,"type":"article-journal","abstract":"Octopus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until the predicted maturity-at-age schedule matched the assumed schedule described above. This resulted in a smaller assumed mean weight-at-age schedule for Indonesia compared to that estimated by Herwig et al. </w:t>
      </w:r>
      <w:r>
        <w:fldChar w:fldCharType="begin"/>
      </w:r>
      <w:r>
        <w:instrText xml:space="preserve"> ADDIN ZOTERO_ITEM CSL_CITATION {"citationID":"7MR578GO","properties":{"formattedCitation":"(2012)","plainCitation":"(2012)","noteIndex":0},"citationItems":[{"id":547,"uris":["http://zotero.org/users/2712903/items/LJ7J6QNK"],"itemData":{"id":547,"type":"article-journal","abstract":"Octopus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w:t>
      </w:r>
      <w:r>
        <w:fldChar w:fldCharType="begin"/>
      </w:r>
      <w:r>
        <w:instrText xml:space="preserve"> REF _Ref139287916 \h </w:instrText>
      </w:r>
      <w:r>
        <w:fldChar w:fldCharType="separate"/>
      </w:r>
      <w:r>
        <w:t xml:space="preserve">Figure </w:t>
      </w:r>
      <w:r>
        <w:rPr>
          <w:noProof/>
        </w:rPr>
        <w:t>2</w:t>
      </w:r>
      <w:r>
        <w:noBreakHyphen/>
      </w:r>
      <w:r>
        <w:rPr>
          <w:noProof/>
        </w:rPr>
        <w:t>11</w:t>
      </w:r>
      <w:r>
        <w:fldChar w:fldCharType="end"/>
      </w:r>
      <w:r w:rsidR="00C71A89">
        <w:t xml:space="preserve"> or Figure S1-7</w:t>
      </w:r>
      <w:r>
        <w:t xml:space="preserve">). </w:t>
      </w:r>
    </w:p>
    <w:p w:rsidR="00195113" w:rsidRDefault="00195113" w:rsidP="00195113">
      <w:pPr>
        <w:keepNext/>
      </w:pPr>
      <w:r>
        <w:t>We assumed a maximum age of 14 months, and used these results to calculate the mean weight-at-age and standard deviation used in the assessment model and simulation testing (</w:t>
      </w:r>
      <w:r>
        <w:fldChar w:fldCharType="begin"/>
      </w:r>
      <w:r>
        <w:instrText xml:space="preserve"> REF _Ref139287916 \h </w:instrText>
      </w:r>
      <w:r>
        <w:fldChar w:fldCharType="separate"/>
      </w:r>
      <w:r>
        <w:t xml:space="preserve">Figure </w:t>
      </w:r>
      <w:r>
        <w:rPr>
          <w:noProof/>
        </w:rPr>
        <w:t>2</w:t>
      </w:r>
      <w:r>
        <w:noBreakHyphen/>
      </w:r>
      <w:r>
        <w:rPr>
          <w:noProof/>
        </w:rPr>
        <w:t>11</w:t>
      </w:r>
      <w:r>
        <w:fldChar w:fldCharType="end"/>
      </w:r>
      <w:r w:rsidR="00C71A89" w:rsidRPr="00C71A89">
        <w:t xml:space="preserve"> </w:t>
      </w:r>
      <w:r w:rsidR="00C71A89">
        <w:t>or Figure S1-7</w:t>
      </w:r>
      <w:r>
        <w:t xml:space="preserve">; </w:t>
      </w:r>
      <w:r w:rsidR="00983DD2">
        <w:t>Table S1-4</w:t>
      </w:r>
      <w:r>
        <w:t xml:space="preserve">). </w:t>
      </w:r>
    </w:p>
    <w:p w:rsidR="00195113" w:rsidRDefault="00195113" w:rsidP="00195113">
      <w:pPr>
        <w:pStyle w:val="Heading3"/>
      </w:pPr>
      <w:bookmarkStart w:id="20" w:name="_Toc145667820"/>
      <w:r>
        <w:t>Stock-Recruit Relationship</w:t>
      </w:r>
      <w:bookmarkEnd w:id="20"/>
    </w:p>
    <w:p w:rsidR="00195113" w:rsidRDefault="00195113" w:rsidP="00195113">
      <w:r>
        <w:t xml:space="preserve">The stock assessment and the monthly fishing optimization models require an estimate of the steepness of the </w:t>
      </w:r>
      <w:proofErr w:type="spellStart"/>
      <w:r>
        <w:t>Beverton</w:t>
      </w:r>
      <w:proofErr w:type="spellEnd"/>
      <w:r>
        <w:t xml:space="preserve">-Holt stock-recruit relationship. The assessment model could be run assuming a per-recruit model, i.e., </w:t>
      </w:r>
      <m:oMath>
        <m:r>
          <w:rPr>
            <w:rFonts w:ascii="Cambria Math" w:hAnsi="Cambria Math"/>
          </w:rPr>
          <m:t>h=1</m:t>
        </m:r>
      </m:oMath>
      <w:r>
        <w:rPr>
          <w:rFonts w:eastAsiaTheme="minorEastAsia"/>
        </w:rPr>
        <w:t xml:space="preserve">, however, using this assumption in the fishing mortality </w:t>
      </w:r>
      <w:r>
        <w:t xml:space="preserve">optimization routine is likely to result in very high estimates of optimal fishing mortality, as the model will assume eggs will continue to be produced even if the spawning biomass is reduced to very low levels. </w:t>
      </w:r>
    </w:p>
    <w:p w:rsidR="00195113" w:rsidRDefault="00195113" w:rsidP="00195113">
      <w:pPr>
        <w:rPr>
          <w:rFonts w:eastAsiaTheme="minorEastAsia"/>
        </w:rPr>
      </w:pPr>
      <w:r>
        <w:t xml:space="preserve">Steepness is difficult to estimate for most species, and there appears to be no published studies of steepness for </w:t>
      </w:r>
      <w:proofErr w:type="gramStart"/>
      <w:r>
        <w:t>octopus</w:t>
      </w:r>
      <w:proofErr w:type="gramEnd"/>
      <w:r>
        <w:t xml:space="preserve"> species. Given that octopus populations are often considered to be highly productive, we assumed a relatively high value of 0.85 for steepness of the stock-recruit relationship. </w:t>
      </w:r>
      <w:r>
        <w:rPr>
          <w:rFonts w:eastAsiaTheme="minorEastAsia"/>
        </w:rPr>
        <w:t xml:space="preserve">Likely values for the recruitment process error </w:t>
      </w:r>
      <m:oMath>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m:t>
                </m:r>
              </m:sub>
              <m:sup>
                <m:r>
                  <w:rPr>
                    <w:rFonts w:ascii="Cambria Math" w:eastAsiaTheme="minorEastAsia" w:hAnsi="Cambria Math"/>
                  </w:rPr>
                  <m:t>2</m:t>
                </m:r>
              </m:sup>
            </m:sSubSup>
          </m:e>
        </m:d>
      </m:oMath>
      <w:r>
        <w:rPr>
          <w:rFonts w:eastAsiaTheme="minorEastAsia"/>
        </w:rPr>
        <w:t xml:space="preserve"> are unknown, and a value of 0.4 was assumed for the simulation testing and application to the case studies.</w:t>
      </w:r>
    </w:p>
    <w:p w:rsidR="00195113" w:rsidRDefault="00195113" w:rsidP="00195113">
      <w:pPr>
        <w:keepNext/>
      </w:pPr>
    </w:p>
    <w:p w:rsidR="00195113" w:rsidRDefault="00195113" w:rsidP="00195113">
      <w:pPr>
        <w:keepNext/>
      </w:pPr>
    </w:p>
    <w:p w:rsidR="00195113" w:rsidRDefault="00195113" w:rsidP="00195113">
      <w:pPr>
        <w:keepNext/>
        <w:jc w:val="center"/>
      </w:pPr>
      <w:bookmarkStart w:id="21" w:name="_Ref106357250"/>
      <w:r>
        <w:rPr>
          <w:noProof/>
        </w:rPr>
        <w:drawing>
          <wp:inline distT="0" distB="0" distL="0" distR="0" wp14:anchorId="51C1F02B" wp14:editId="18279158">
            <wp:extent cx="3055783" cy="3055783"/>
            <wp:effectExtent l="0" t="0" r="0" b="0"/>
            <wp:docPr id="1" name="Picture 1" descr="C:\Users\User\AppData\Local\Microsoft\Windows\INetCache\Content.Word\Weight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INetCache\Content.Word\Weight_Age.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60808" cy="3060808"/>
                    </a:xfrm>
                    <a:prstGeom prst="rect">
                      <a:avLst/>
                    </a:prstGeom>
                    <a:noFill/>
                    <a:ln>
                      <a:noFill/>
                    </a:ln>
                  </pic:spPr>
                </pic:pic>
              </a:graphicData>
            </a:graphic>
          </wp:inline>
        </w:drawing>
      </w:r>
      <w:bookmarkEnd w:id="21"/>
    </w:p>
    <w:p w:rsidR="00195113" w:rsidRDefault="00195113" w:rsidP="00195113">
      <w:pPr>
        <w:pStyle w:val="Caption"/>
      </w:pPr>
      <w:bookmarkStart w:id="22" w:name="_Ref139287820"/>
      <w:bookmarkStart w:id="23" w:name="_Toc145585794"/>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9</w:t>
      </w:r>
      <w:r>
        <w:rPr>
          <w:noProof/>
        </w:rPr>
        <w:fldChar w:fldCharType="end"/>
      </w:r>
      <w:bookmarkEnd w:id="22"/>
      <w:r w:rsidR="00A57A2C">
        <w:t xml:space="preserve"> or Figure S1-5</w:t>
      </w:r>
      <w:r>
        <w:t xml:space="preserve">. The digitized data points from Herwig et al. </w:t>
      </w:r>
      <w:r>
        <w:fldChar w:fldCharType="begin"/>
      </w:r>
      <w:r>
        <w:instrText xml:space="preserve"> ADDIN ZOTERO_ITEM CSL_CITATION {"citationID":"EUR5gQfE","properties":{"formattedCitation":"(2012)","plainCitation":"(2012)","noteIndex":0},"citationItems":[{"id":547,"uris":["http://zotero.org/users/2712903/items/LJ7J6QNK"],"itemData":{"id":547,"type":"article-journal","abstract":"Octopus cyanea is taken as an unregulated, recreationally fished species from the intertidal reefs of Ningaloo, Western Australia. Yet despite its exploitation and importance in many artisanal fisheries throughout the world, little is known about its life history, ecology and vulnerability. We used stylet increment analysis to age a wild O. cyanea population for the first time and gonad histology to examine their reproductive characteristics. O. cyanea conforms to many cephalopod life history generalisations having rapid, non-asymptotic growth, a short life-span and high levels of mortality. Males were found to mature at much younger ages and sizes than females with reproductive activity concentrated in the spring and summer months. The female dominated sex-ratios in association with female brooding behaviours also suggest that larger conspicuous females may be more prone to capture and suggests that this intertidal octopus population has the potential to be negatively impacted in an unregulated fishery. Size at age and maturity comparisons between our temperate bordering population and lower latitude Tanzanian and Hawaiian populations indicated stark differences in growth rates that correlate with water temperatures. The variability in life history traits between global populations suggests that management of O. cyanea populations should be tailored to each unique set of life history characteristics and that stylet increment analysis may provide the integrity needed to accurately assess this.","container-title":"PLOS ONE","DOI":"10.1371/journal.pone.0043679","ISSN":"1932-6203","issue":"8","journalAbbreviation":"PLOS ONE","language":"en","note":"publisher: Public Library of Science","page":"e43679","source":"PLoS Journals","title":"Using Age-Based Life History Data to Investigate the Life Cycle and Vulnerability of Octopus cyanea","volume":"7","author":[{"family":"Herwig","given":"Jade N."},{"family":"Depczynski","given":"Martial"},{"family":"Roberts","given":"John D."},{"family":"Semmens","given":"Jayson M."},{"family":"Gagliano","given":"Monica"},{"family":"Heyward","given":"Andrew J."}],"issued":{"date-parts":[["2012",8,17]]}},"suppress-author":true}],"schema":"https://github.com/citation-style-language/schema/raw/master/csl-citation.json"} </w:instrText>
      </w:r>
      <w:r>
        <w:fldChar w:fldCharType="separate"/>
      </w:r>
      <w:r w:rsidRPr="000C73A8">
        <w:rPr>
          <w:rFonts w:cs="Times New Roman"/>
        </w:rPr>
        <w:t>(2012)</w:t>
      </w:r>
      <w:r>
        <w:fldChar w:fldCharType="end"/>
      </w:r>
      <w:r>
        <w:t xml:space="preserve"> showing the weight-at-age for the octopus from Ningaloo reef, and the line of best fit for the power function fitted to the data.</w:t>
      </w:r>
      <w:bookmarkEnd w:id="23"/>
    </w:p>
    <w:p w:rsidR="00195113" w:rsidRDefault="00195113" w:rsidP="00195113">
      <w:pPr>
        <w:keepNext/>
        <w:jc w:val="center"/>
      </w:pPr>
      <w:r>
        <w:rPr>
          <w:noProof/>
        </w:rPr>
        <w:drawing>
          <wp:inline distT="0" distB="0" distL="0" distR="0" wp14:anchorId="40FF89C7" wp14:editId="26556299">
            <wp:extent cx="3804920" cy="3068955"/>
            <wp:effectExtent l="0" t="0" r="5080" b="4445"/>
            <wp:docPr id="197612778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920" cy="3068955"/>
                    </a:xfrm>
                    <a:prstGeom prst="rect">
                      <a:avLst/>
                    </a:prstGeom>
                    <a:noFill/>
                    <a:ln>
                      <a:noFill/>
                    </a:ln>
                  </pic:spPr>
                </pic:pic>
              </a:graphicData>
            </a:graphic>
          </wp:inline>
        </w:drawing>
      </w:r>
    </w:p>
    <w:p w:rsidR="00195113" w:rsidRPr="007A10C3" w:rsidRDefault="00195113" w:rsidP="00195113">
      <w:pPr>
        <w:pStyle w:val="Caption"/>
      </w:pPr>
      <w:bookmarkStart w:id="24" w:name="_Ref143180434"/>
      <w:bookmarkStart w:id="25" w:name="_Toc145585795"/>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10</w:t>
      </w:r>
      <w:r>
        <w:rPr>
          <w:noProof/>
        </w:rPr>
        <w:fldChar w:fldCharType="end"/>
      </w:r>
      <w:bookmarkEnd w:id="24"/>
      <w:r w:rsidR="00A57A2C">
        <w:rPr>
          <w:noProof/>
        </w:rPr>
        <w:t xml:space="preserve"> </w:t>
      </w:r>
      <w:r w:rsidR="00A57A2C">
        <w:t>or Figure S1-6</w:t>
      </w:r>
      <w:r>
        <w:t>. The observed proportion of animals mature in each weight class (bars) and the predicted maturity-at-weight curve (line) for a dataset of 575 individual octopus.</w:t>
      </w:r>
      <w:bookmarkEnd w:id="25"/>
    </w:p>
    <w:p w:rsidR="00195113" w:rsidRDefault="00195113" w:rsidP="00195113">
      <w:pPr>
        <w:keepNext/>
        <w:jc w:val="center"/>
      </w:pPr>
      <w:r>
        <w:rPr>
          <w:noProof/>
        </w:rPr>
        <w:lastRenderedPageBreak/>
        <w:drawing>
          <wp:inline distT="0" distB="0" distL="0" distR="0" wp14:anchorId="34B4501D" wp14:editId="04723BC9">
            <wp:extent cx="3657600" cy="3657600"/>
            <wp:effectExtent l="0" t="0" r="0" b="0"/>
            <wp:docPr id="191091345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195113" w:rsidRPr="003C6CAC" w:rsidRDefault="00195113" w:rsidP="00195113">
      <w:bookmarkStart w:id="26" w:name="_Ref139287916"/>
      <w:bookmarkStart w:id="27" w:name="_Toc145585796"/>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11</w:t>
      </w:r>
      <w:r>
        <w:rPr>
          <w:noProof/>
        </w:rPr>
        <w:fldChar w:fldCharType="end"/>
      </w:r>
      <w:bookmarkEnd w:id="26"/>
      <w:r w:rsidR="00A57A2C">
        <w:rPr>
          <w:noProof/>
        </w:rPr>
        <w:t xml:space="preserve"> </w:t>
      </w:r>
      <w:r w:rsidR="00A57A2C">
        <w:t>or Figure S1-7</w:t>
      </w:r>
      <w:r>
        <w:t>. The assumed mean (and 25</w:t>
      </w:r>
      <w:r w:rsidRPr="003C6CAC">
        <w:rPr>
          <w:vertAlign w:val="superscript"/>
        </w:rPr>
        <w:t>th</w:t>
      </w:r>
      <w:r>
        <w:t xml:space="preserve"> and 75</w:t>
      </w:r>
      <w:r w:rsidRPr="003C6CAC">
        <w:rPr>
          <w:vertAlign w:val="superscript"/>
        </w:rPr>
        <w:t>th</w:t>
      </w:r>
      <w:r>
        <w:t xml:space="preserve"> percentiles) weight-at-age schedule used for the simulation testing and application to case study data.</w:t>
      </w:r>
      <w:bookmarkEnd w:id="27"/>
      <w:r>
        <w:t xml:space="preserve"> </w:t>
      </w:r>
    </w:p>
    <w:p w:rsidR="00195113" w:rsidRDefault="00983DD2" w:rsidP="00195113">
      <w:pPr>
        <w:pStyle w:val="Caption"/>
        <w:keepNext/>
      </w:pPr>
      <w:bookmarkStart w:id="28" w:name="_Toc143691731"/>
      <w:r>
        <w:t xml:space="preserve">Table S1-4. </w:t>
      </w:r>
      <w:r w:rsidR="00195113">
        <w:t>The mean weight-at-age and standard deviation schedules used in the simulation testing and assessment of the case study data.</w:t>
      </w:r>
      <w:bookmarkEnd w:id="28"/>
    </w:p>
    <w:p w:rsidR="00CC447D" w:rsidRPr="00CC447D" w:rsidRDefault="00CC447D" w:rsidP="00CC447D">
      <w:pPr>
        <w:spacing w:line="240" w:lineRule="auto"/>
        <w:jc w:val="center"/>
      </w:pPr>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1927"/>
        <w:gridCol w:w="3125"/>
      </w:tblGrid>
      <w:tr w:rsidR="00195113" w:rsidTr="00EB5065">
        <w:tc>
          <w:tcPr>
            <w:tcW w:w="0" w:type="auto"/>
            <w:tcBorders>
              <w:top w:val="single" w:sz="4" w:space="0" w:color="auto"/>
              <w:bottom w:val="single" w:sz="4" w:space="0" w:color="auto"/>
            </w:tcBorders>
          </w:tcPr>
          <w:p w:rsidR="00195113" w:rsidRPr="002E75DB" w:rsidRDefault="00195113" w:rsidP="00CC447D">
            <w:pPr>
              <w:pStyle w:val="NoSpacing"/>
              <w:jc w:val="center"/>
              <w:rPr>
                <w:b/>
              </w:rPr>
            </w:pPr>
            <w:r w:rsidRPr="002E75DB">
              <w:rPr>
                <w:b/>
              </w:rPr>
              <w:t>Age (months)</w:t>
            </w:r>
          </w:p>
        </w:tc>
        <w:tc>
          <w:tcPr>
            <w:tcW w:w="0" w:type="auto"/>
            <w:tcBorders>
              <w:top w:val="single" w:sz="4" w:space="0" w:color="auto"/>
              <w:bottom w:val="single" w:sz="4" w:space="0" w:color="auto"/>
            </w:tcBorders>
          </w:tcPr>
          <w:p w:rsidR="00195113" w:rsidRPr="002E75DB" w:rsidRDefault="00195113" w:rsidP="00CC447D">
            <w:pPr>
              <w:pStyle w:val="NoSpacing"/>
              <w:jc w:val="center"/>
              <w:rPr>
                <w:b/>
              </w:rPr>
            </w:pPr>
            <w:r w:rsidRPr="002E75DB">
              <w:rPr>
                <w:b/>
              </w:rPr>
              <w:t>Mean Weight</w:t>
            </w:r>
            <w:r>
              <w:rPr>
                <w:b/>
              </w:rPr>
              <w:t xml:space="preserve"> (kg)</w:t>
            </w:r>
          </w:p>
        </w:tc>
        <w:tc>
          <w:tcPr>
            <w:tcW w:w="0" w:type="auto"/>
            <w:tcBorders>
              <w:top w:val="single" w:sz="4" w:space="0" w:color="auto"/>
              <w:bottom w:val="single" w:sz="4" w:space="0" w:color="auto"/>
            </w:tcBorders>
          </w:tcPr>
          <w:p w:rsidR="00195113" w:rsidRPr="002E75DB" w:rsidRDefault="00195113" w:rsidP="00CC447D">
            <w:pPr>
              <w:pStyle w:val="NoSpacing"/>
              <w:jc w:val="center"/>
              <w:rPr>
                <w:b/>
              </w:rPr>
            </w:pPr>
            <w:r w:rsidRPr="002E75DB">
              <w:rPr>
                <w:b/>
              </w:rPr>
              <w:t>Standard Deviation (log-space)</w:t>
            </w:r>
          </w:p>
        </w:tc>
      </w:tr>
      <w:tr w:rsidR="00195113" w:rsidTr="00EB5065">
        <w:tc>
          <w:tcPr>
            <w:tcW w:w="0" w:type="auto"/>
            <w:tcBorders>
              <w:top w:val="single" w:sz="4" w:space="0" w:color="auto"/>
            </w:tcBorders>
          </w:tcPr>
          <w:p w:rsidR="00195113" w:rsidRDefault="00195113" w:rsidP="00CC447D">
            <w:pPr>
              <w:pStyle w:val="NoSpacing"/>
              <w:jc w:val="center"/>
            </w:pPr>
            <w:r>
              <w:t>0</w:t>
            </w:r>
          </w:p>
        </w:tc>
        <w:tc>
          <w:tcPr>
            <w:tcW w:w="0" w:type="auto"/>
            <w:tcBorders>
              <w:top w:val="single" w:sz="4" w:space="0" w:color="auto"/>
            </w:tcBorders>
            <w:vAlign w:val="bottom"/>
          </w:tcPr>
          <w:p w:rsidR="00195113" w:rsidRPr="00A24952" w:rsidRDefault="00195113" w:rsidP="00CC447D">
            <w:pPr>
              <w:pStyle w:val="NoSpacing"/>
              <w:jc w:val="center"/>
              <w:rPr>
                <w:rFonts w:cs="Times New Roman"/>
              </w:rPr>
            </w:pPr>
            <w:r w:rsidRPr="00A24952">
              <w:rPr>
                <w:rFonts w:cs="Times New Roman"/>
                <w:color w:val="000000"/>
              </w:rPr>
              <w:t>0.00</w:t>
            </w:r>
          </w:p>
        </w:tc>
        <w:tc>
          <w:tcPr>
            <w:tcW w:w="0" w:type="auto"/>
            <w:tcBorders>
              <w:top w:val="single" w:sz="4" w:space="0" w:color="auto"/>
            </w:tcBorders>
          </w:tcPr>
          <w:p w:rsidR="00195113" w:rsidRDefault="00195113" w:rsidP="00CC447D">
            <w:pPr>
              <w:pStyle w:val="NoSpacing"/>
              <w:jc w:val="center"/>
            </w:pPr>
            <w:r>
              <w:t>0.48</w:t>
            </w:r>
          </w:p>
        </w:tc>
      </w:tr>
      <w:tr w:rsidR="00195113" w:rsidTr="00EB5065">
        <w:tc>
          <w:tcPr>
            <w:tcW w:w="0" w:type="auto"/>
          </w:tcPr>
          <w:p w:rsidR="00195113" w:rsidRDefault="00195113" w:rsidP="00CC447D">
            <w:pPr>
              <w:pStyle w:val="NoSpacing"/>
              <w:jc w:val="center"/>
            </w:pPr>
            <w:r>
              <w:t>1</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0.01</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2</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0.03</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3</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0.08</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4</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0.15</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5</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0.27</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6</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0.40</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7</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0.57</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8</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0.78</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9</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1.03</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10</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1.31</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11</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1.63</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12</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1.99</w:t>
            </w:r>
          </w:p>
        </w:tc>
        <w:tc>
          <w:tcPr>
            <w:tcW w:w="0" w:type="auto"/>
          </w:tcPr>
          <w:p w:rsidR="00195113" w:rsidRDefault="00195113" w:rsidP="00CC447D">
            <w:pPr>
              <w:pStyle w:val="NoSpacing"/>
              <w:jc w:val="center"/>
            </w:pPr>
            <w:r w:rsidRPr="00EC4048">
              <w:t>0.48</w:t>
            </w:r>
          </w:p>
        </w:tc>
      </w:tr>
      <w:tr w:rsidR="00195113" w:rsidTr="00EB5065">
        <w:trPr>
          <w:trHeight w:val="56"/>
        </w:trPr>
        <w:tc>
          <w:tcPr>
            <w:tcW w:w="0" w:type="auto"/>
          </w:tcPr>
          <w:p w:rsidR="00195113" w:rsidRDefault="00195113" w:rsidP="00CC447D">
            <w:pPr>
              <w:pStyle w:val="NoSpacing"/>
              <w:jc w:val="center"/>
            </w:pPr>
            <w:r>
              <w:t>13</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2.40</w:t>
            </w:r>
          </w:p>
        </w:tc>
        <w:tc>
          <w:tcPr>
            <w:tcW w:w="0" w:type="auto"/>
          </w:tcPr>
          <w:p w:rsidR="00195113" w:rsidRDefault="00195113" w:rsidP="00CC447D">
            <w:pPr>
              <w:pStyle w:val="NoSpacing"/>
              <w:jc w:val="center"/>
            </w:pPr>
            <w:r w:rsidRPr="00EC4048">
              <w:t>0.48</w:t>
            </w:r>
          </w:p>
        </w:tc>
      </w:tr>
      <w:tr w:rsidR="00195113" w:rsidTr="00EB5065">
        <w:tc>
          <w:tcPr>
            <w:tcW w:w="0" w:type="auto"/>
          </w:tcPr>
          <w:p w:rsidR="00195113" w:rsidRDefault="00195113" w:rsidP="00CC447D">
            <w:pPr>
              <w:pStyle w:val="NoSpacing"/>
              <w:jc w:val="center"/>
            </w:pPr>
            <w:r>
              <w:t>14</w:t>
            </w:r>
          </w:p>
        </w:tc>
        <w:tc>
          <w:tcPr>
            <w:tcW w:w="0" w:type="auto"/>
            <w:vAlign w:val="bottom"/>
          </w:tcPr>
          <w:p w:rsidR="00195113" w:rsidRPr="00A24952" w:rsidRDefault="00195113" w:rsidP="00CC447D">
            <w:pPr>
              <w:pStyle w:val="NoSpacing"/>
              <w:jc w:val="center"/>
              <w:rPr>
                <w:rFonts w:cs="Times New Roman"/>
              </w:rPr>
            </w:pPr>
            <w:r w:rsidRPr="00A24952">
              <w:rPr>
                <w:rFonts w:cs="Times New Roman"/>
                <w:color w:val="000000"/>
              </w:rPr>
              <w:t>2.85</w:t>
            </w:r>
          </w:p>
        </w:tc>
        <w:tc>
          <w:tcPr>
            <w:tcW w:w="0" w:type="auto"/>
          </w:tcPr>
          <w:p w:rsidR="00195113" w:rsidRDefault="00195113" w:rsidP="00CC447D">
            <w:pPr>
              <w:pStyle w:val="NoSpacing"/>
              <w:jc w:val="center"/>
            </w:pPr>
            <w:r w:rsidRPr="00EC4048">
              <w:t>0.48</w:t>
            </w:r>
          </w:p>
        </w:tc>
      </w:tr>
    </w:tbl>
    <w:p w:rsidR="004170E7" w:rsidRPr="00B246AC" w:rsidRDefault="004170E7" w:rsidP="00CC447D">
      <w:pPr>
        <w:spacing w:line="240" w:lineRule="auto"/>
        <w:jc w:val="center"/>
        <w:sectPr w:rsidR="004170E7" w:rsidRPr="00B246AC" w:rsidSect="004F40E9">
          <w:pgSz w:w="12240" w:h="15840"/>
          <w:pgMar w:top="1440" w:right="1440" w:bottom="1440" w:left="1440" w:header="720" w:footer="720" w:gutter="0"/>
          <w:cols w:space="720"/>
          <w:docGrid w:linePitch="360"/>
        </w:sectPr>
      </w:pPr>
    </w:p>
    <w:p w:rsidR="004170E7" w:rsidRDefault="004170E7" w:rsidP="004170E7">
      <w:pPr>
        <w:pStyle w:val="Heading2"/>
      </w:pPr>
      <w:bookmarkStart w:id="29" w:name="_Toc145667814"/>
      <w:r>
        <w:lastRenderedPageBreak/>
        <w:t>Simulation Testing</w:t>
      </w:r>
      <w:bookmarkEnd w:id="29"/>
    </w:p>
    <w:p w:rsidR="004170E7" w:rsidRDefault="004170E7" w:rsidP="004170E7">
      <w:r>
        <w:t xml:space="preserve">A set of simulation tests were run to evaluate the assessment model’s ability to estimate fishing mortality, the spawning potential ratio (SPR), and the seasonal recruitment pattern under a range of different data scenarios. </w:t>
      </w:r>
    </w:p>
    <w:p w:rsidR="004170E7" w:rsidRDefault="004170E7" w:rsidP="004170E7">
      <w:r>
        <w:t xml:space="preserve">An operating model (OM) was developed, following the same structure as the assessment model described above, but coded separately from the assessment model using the R statistical computing environment </w:t>
      </w:r>
      <w:r>
        <w:fldChar w:fldCharType="begin"/>
      </w:r>
      <w:r>
        <w:instrText xml:space="preserve"> ADDIN ZOTERO_ITEM CSL_CITATION {"citationID":"R80lbT3S","properties":{"formattedCitation":"(R Core Team, 2022)","plainCitation":"(R Core Team, 2022)","noteIndex":0},"citationItems":[{"id":129,"uris":["http://zotero.org/users/2712903/items/3UJKZWIM"],"itemData":{"id":129,"type":"report","event-place":"Vienna, Austria","genre":"manual","note":"tex.organization: R Foundation for Statistical Computing","publisher-place":"Vienna, Austria","title":"R: A language and environment for statistical computing","URL":"https://www.R-project.org/","author":[{"literal":"R Core Team"}],"issued":{"date-parts":[["2022"]]}}}],"schema":"https://github.com/citation-style-language/schema/raw/master/csl-citation.json"} </w:instrText>
      </w:r>
      <w:r>
        <w:fldChar w:fldCharType="separate"/>
      </w:r>
      <w:r w:rsidRPr="00726A33">
        <w:rPr>
          <w:rFonts w:cs="Times New Roman"/>
        </w:rPr>
        <w:t>(R Core Team, 2022)</w:t>
      </w:r>
      <w:r>
        <w:fldChar w:fldCharType="end"/>
      </w:r>
      <w:r>
        <w:t xml:space="preserve">. </w:t>
      </w:r>
    </w:p>
    <w:p w:rsidR="004170E7" w:rsidRDefault="004170E7" w:rsidP="004170E7">
      <w:pPr>
        <w:keepNext/>
      </w:pPr>
      <w:r>
        <w:t xml:space="preserve">Two seasonal patterns in recruitment were considered (Constant and Pulse; </w:t>
      </w:r>
      <w:r>
        <w:fldChar w:fldCharType="begin"/>
      </w:r>
      <w:r>
        <w:instrText xml:space="preserve"> REF _Ref139278828 \h </w:instrText>
      </w:r>
      <w:r>
        <w:fldChar w:fldCharType="separate"/>
      </w:r>
      <w:r>
        <w:t xml:space="preserve">Figure </w:t>
      </w:r>
      <w:r>
        <w:rPr>
          <w:noProof/>
        </w:rPr>
        <w:t>2</w:t>
      </w:r>
      <w:r>
        <w:noBreakHyphen/>
      </w:r>
      <w:r>
        <w:rPr>
          <w:noProof/>
        </w:rPr>
        <w:t>3</w:t>
      </w:r>
      <w:r>
        <w:fldChar w:fldCharType="end"/>
      </w:r>
      <w:r>
        <w:t xml:space="preserve">). Each recruitment scenario had 100 individual simulations, with stochastic samples of the recruitment process error and observation processes in each simulation. </w:t>
      </w:r>
    </w:p>
    <w:p w:rsidR="004170E7" w:rsidRDefault="004170E7" w:rsidP="004170E7">
      <w:r>
        <w:t xml:space="preserve">The simulated fishery was initialized in an equilibrium unfished state and then fished for a 30-year period, nominally referred to as January 1994 to December 2023. The fishing effort was assumed to linearly increase from 0 in the first month to a maximum value of 100 units after 10-years, and then remained on average at this maximum level with log-normally distributed monthly deviations (coefficient of variation (CV) of 10%). Fishing mortality was calculated from the fishing effort, assuming a stationary catchability coefficient </w:t>
      </w:r>
      <w:r w:rsidRPr="003D0E53">
        <w:rPr>
          <w:i/>
        </w:rPr>
        <w:t>q</w:t>
      </w:r>
      <w:r>
        <w:t xml:space="preserve"> of 0.003. For the Pulse recruitment scenario, the pattern in fishing effort in each year was calculated from the HARA model assuming a HARA coefficient of 0.3 (</w:t>
      </w:r>
      <w:r>
        <w:fldChar w:fldCharType="begin"/>
      </w:r>
      <w:r>
        <w:instrText xml:space="preserve"> REF _Ref139280326 \h </w:instrText>
      </w:r>
      <w:r>
        <w:fldChar w:fldCharType="separate"/>
      </w:r>
      <w:r>
        <w:t xml:space="preserve">Figure </w:t>
      </w:r>
      <w:r>
        <w:rPr>
          <w:noProof/>
        </w:rPr>
        <w:t>2</w:t>
      </w:r>
      <w:r>
        <w:noBreakHyphen/>
      </w:r>
      <w:r>
        <w:rPr>
          <w:noProof/>
        </w:rPr>
        <w:t>4</w:t>
      </w:r>
      <w:r>
        <w:fldChar w:fldCharType="end"/>
      </w:r>
      <w:r>
        <w:t xml:space="preserve">). The selectivity-at-age parameters were set to 5.5 and 6.5 for </w:t>
      </w:r>
      <w:r w:rsidRPr="0077730C">
        <w:rPr>
          <w:i/>
        </w:rPr>
        <w:t>S</w:t>
      </w:r>
      <w:r w:rsidRPr="0077730C">
        <w:rPr>
          <w:i/>
          <w:vertAlign w:val="subscript"/>
        </w:rPr>
        <w:t>50</w:t>
      </w:r>
      <w:r>
        <w:t xml:space="preserve"> and </w:t>
      </w:r>
      <w:r w:rsidRPr="0077730C">
        <w:rPr>
          <w:i/>
        </w:rPr>
        <w:t>S</w:t>
      </w:r>
      <w:r w:rsidRPr="0077730C">
        <w:rPr>
          <w:i/>
          <w:vertAlign w:val="subscript"/>
        </w:rPr>
        <w:t>95</w:t>
      </w:r>
      <w:r>
        <w:t xml:space="preserve"> </w:t>
      </w:r>
      <w:proofErr w:type="gramStart"/>
      <w:r>
        <w:t xml:space="preserve">respectively </w:t>
      </w:r>
      <w:r w:rsidR="00F42590">
        <w:t xml:space="preserve"> (</w:t>
      </w:r>
      <w:proofErr w:type="gramEnd"/>
      <w:r w:rsidR="00F42590">
        <w:t>Table S1-3)</w:t>
      </w:r>
      <w:r>
        <w:t xml:space="preserve">. The life-history parameters used for the simulation testing and application to the case studies are described in the next section below. </w:t>
      </w:r>
    </w:p>
    <w:p w:rsidR="004170E7" w:rsidRDefault="004170E7" w:rsidP="004170E7">
      <w:r>
        <w:t>For each iteration, fishery data was generated from the simulated population assuming an effective sample size of 400 for the monthly samples of catch-at-weight, and a 15% CV for the observed indices of catch, effort, and index of abundance (</w:t>
      </w:r>
      <w:r w:rsidR="00F42590">
        <w:t>Table S1-3</w:t>
      </w:r>
      <w:r>
        <w:t>).</w:t>
      </w:r>
    </w:p>
    <w:p w:rsidR="004170E7" w:rsidRDefault="004170E7" w:rsidP="004170E7">
      <w:r>
        <w:t>Five data scenarios were considered (</w:t>
      </w:r>
      <w:r w:rsidR="00F42590">
        <w:t>Table S1-5</w:t>
      </w:r>
      <w:r>
        <w:t xml:space="preserve">. For each data scenario, the model was fit assuming 12, 24, 36, 48, and 60 months of recent data were available. This resulted in a total of 50 scenarios: 5 different data series, available for 5 different time-periods, and 2 seasonal recruitment patterns. The model was not fit to indices of effort, catch, and abundance, because the index of abundance was generated from the catch and effort data. </w:t>
      </w:r>
    </w:p>
    <w:p w:rsidR="004170E7" w:rsidRDefault="004170E7" w:rsidP="004170E7">
      <w:r>
        <w:t xml:space="preserve">The assessment model was applied to each simulation in each scenario and the results were summarized as the median relative error (MRE) in estimated </w:t>
      </w:r>
      <w:r w:rsidRPr="0023386E">
        <w:rPr>
          <w:i/>
        </w:rPr>
        <w:t>F</w:t>
      </w:r>
      <w:r>
        <w:t xml:space="preserve"> and SPR for each run. The </w:t>
      </w:r>
      <w:r>
        <w:lastRenderedPageBreak/>
        <w:t>estimated seasonal recruitment pattern was also compared to the true seasonal pattern in the operating model.</w:t>
      </w:r>
    </w:p>
    <w:p w:rsidR="004170E7" w:rsidRDefault="004170E7" w:rsidP="004170E7"/>
    <w:p w:rsidR="004170E7" w:rsidRDefault="004170E7" w:rsidP="004170E7">
      <w:pPr>
        <w:keepNext/>
        <w:jc w:val="center"/>
      </w:pPr>
      <w:r>
        <w:rPr>
          <w:noProof/>
        </w:rPr>
        <w:drawing>
          <wp:inline distT="0" distB="0" distL="0" distR="0" wp14:anchorId="550B600C" wp14:editId="3070823A">
            <wp:extent cx="4087640" cy="2725093"/>
            <wp:effectExtent l="0" t="0" r="8255" b="0"/>
            <wp:docPr id="16" name="Picture 16" descr="C:\Users\User\AppData\Local\Microsoft\Windows\INetCache\Content.Word\Recruitment_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INetCache\Content.Word\Recruitment_Scenari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9818" cy="2726545"/>
                    </a:xfrm>
                    <a:prstGeom prst="rect">
                      <a:avLst/>
                    </a:prstGeom>
                    <a:noFill/>
                    <a:ln>
                      <a:noFill/>
                    </a:ln>
                  </pic:spPr>
                </pic:pic>
              </a:graphicData>
            </a:graphic>
          </wp:inline>
        </w:drawing>
      </w:r>
    </w:p>
    <w:p w:rsidR="004170E7" w:rsidRDefault="004170E7" w:rsidP="004170E7">
      <w:pPr>
        <w:pStyle w:val="Caption"/>
      </w:pPr>
      <w:bookmarkStart w:id="30" w:name="_Ref139278828"/>
      <w:bookmarkStart w:id="31" w:name="_Toc145585788"/>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bookmarkEnd w:id="30"/>
      <w:r w:rsidR="00A57A2C">
        <w:rPr>
          <w:noProof/>
        </w:rPr>
        <w:t xml:space="preserve"> </w:t>
      </w:r>
      <w:r w:rsidR="00A57A2C">
        <w:t>or Figure S1-8</w:t>
      </w:r>
      <w:r>
        <w:t>. The two patterns in seasonal recruitment evaluated in the simulation tests of the short-lived assessment model.</w:t>
      </w:r>
      <w:bookmarkEnd w:id="31"/>
    </w:p>
    <w:p w:rsidR="004170E7" w:rsidRDefault="004170E7" w:rsidP="004170E7">
      <w:pPr>
        <w:keepNext/>
      </w:pPr>
      <w:r>
        <w:rPr>
          <w:noProof/>
        </w:rPr>
        <w:drawing>
          <wp:inline distT="0" distB="0" distL="0" distR="0" wp14:anchorId="6740CB0D" wp14:editId="3BBAA5B6">
            <wp:extent cx="5939155" cy="2969260"/>
            <wp:effectExtent l="0" t="0" r="4445" b="2540"/>
            <wp:docPr id="17" name="Picture 17" descr="C:\Users\User\AppData\Local\Microsoft\Windows\INetCache\Content.Word\Fishing_Mor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User\AppData\Local\Microsoft\Windows\INetCache\Content.Word\Fishing_Mortali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2969260"/>
                    </a:xfrm>
                    <a:prstGeom prst="rect">
                      <a:avLst/>
                    </a:prstGeom>
                    <a:noFill/>
                    <a:ln>
                      <a:noFill/>
                    </a:ln>
                  </pic:spPr>
                </pic:pic>
              </a:graphicData>
            </a:graphic>
          </wp:inline>
        </w:drawing>
      </w:r>
    </w:p>
    <w:p w:rsidR="004170E7" w:rsidRDefault="004170E7" w:rsidP="004170E7">
      <w:pPr>
        <w:pStyle w:val="Caption"/>
      </w:pPr>
      <w:bookmarkStart w:id="32" w:name="_Ref139280326"/>
      <w:bookmarkStart w:id="33" w:name="_Toc145585789"/>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bookmarkEnd w:id="32"/>
      <w:r w:rsidR="00A57A2C">
        <w:rPr>
          <w:noProof/>
        </w:rPr>
        <w:t xml:space="preserve"> </w:t>
      </w:r>
      <w:r w:rsidR="00A57A2C">
        <w:t>or Figure S1-8</w:t>
      </w:r>
      <w:r>
        <w:t>. An example of the pattern in fishing mortality for the Constant and Pulse recruitment scenarios. This figure shows a single simulation. Each of the 100 simulations had stochastic process error in fishing effort drawn from a log-normal distribution with CV of 10%.</w:t>
      </w:r>
      <w:bookmarkEnd w:id="33"/>
      <w:r>
        <w:t xml:space="preserve"> </w:t>
      </w:r>
    </w:p>
    <w:p w:rsidR="004170E7" w:rsidRDefault="00983DD2" w:rsidP="004170E7">
      <w:pPr>
        <w:pStyle w:val="Caption"/>
        <w:keepNext/>
      </w:pPr>
      <w:bookmarkStart w:id="34" w:name="_Toc143691729"/>
      <w:r>
        <w:lastRenderedPageBreak/>
        <w:t xml:space="preserve">Table S1-5. </w:t>
      </w:r>
      <w:r w:rsidR="004170E7">
        <w:t>The Data Scenarios considered in the Simulation Testing.</w:t>
      </w:r>
      <w:bookmarkEnd w:id="34"/>
      <w:r w:rsidR="004170E7">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2652"/>
        <w:gridCol w:w="5040"/>
      </w:tblGrid>
      <w:tr w:rsidR="004170E7" w:rsidTr="00EB5065">
        <w:tc>
          <w:tcPr>
            <w:tcW w:w="0" w:type="auto"/>
            <w:tcBorders>
              <w:top w:val="single" w:sz="4" w:space="0" w:color="auto"/>
              <w:bottom w:val="single" w:sz="4" w:space="0" w:color="auto"/>
            </w:tcBorders>
          </w:tcPr>
          <w:p w:rsidR="004170E7" w:rsidRPr="003846AA" w:rsidRDefault="004170E7" w:rsidP="00EB5065">
            <w:pPr>
              <w:pStyle w:val="NoSpacing"/>
              <w:jc w:val="center"/>
              <w:rPr>
                <w:b/>
              </w:rPr>
            </w:pPr>
            <w:r w:rsidRPr="003846AA">
              <w:rPr>
                <w:b/>
              </w:rPr>
              <w:t>Scenario Number</w:t>
            </w:r>
          </w:p>
        </w:tc>
        <w:tc>
          <w:tcPr>
            <w:tcW w:w="2652" w:type="dxa"/>
            <w:tcBorders>
              <w:top w:val="single" w:sz="4" w:space="0" w:color="auto"/>
              <w:bottom w:val="single" w:sz="4" w:space="0" w:color="auto"/>
            </w:tcBorders>
          </w:tcPr>
          <w:p w:rsidR="004170E7" w:rsidRPr="003846AA" w:rsidRDefault="004170E7" w:rsidP="00EB5065">
            <w:pPr>
              <w:pStyle w:val="NoSpacing"/>
              <w:rPr>
                <w:b/>
              </w:rPr>
            </w:pPr>
            <w:r w:rsidRPr="003846AA">
              <w:rPr>
                <w:b/>
              </w:rPr>
              <w:t>Scenario Name</w:t>
            </w:r>
          </w:p>
        </w:tc>
        <w:tc>
          <w:tcPr>
            <w:tcW w:w="5040" w:type="dxa"/>
            <w:tcBorders>
              <w:top w:val="single" w:sz="4" w:space="0" w:color="auto"/>
              <w:bottom w:val="single" w:sz="4" w:space="0" w:color="auto"/>
            </w:tcBorders>
          </w:tcPr>
          <w:p w:rsidR="004170E7" w:rsidRPr="003846AA" w:rsidRDefault="004170E7" w:rsidP="00EB5065">
            <w:pPr>
              <w:pStyle w:val="NoSpacing"/>
              <w:rPr>
                <w:b/>
              </w:rPr>
            </w:pPr>
            <w:r w:rsidRPr="003846AA">
              <w:rPr>
                <w:b/>
              </w:rPr>
              <w:t>Description</w:t>
            </w:r>
          </w:p>
        </w:tc>
      </w:tr>
      <w:tr w:rsidR="004170E7" w:rsidTr="00EB5065">
        <w:tc>
          <w:tcPr>
            <w:tcW w:w="0" w:type="auto"/>
            <w:tcBorders>
              <w:top w:val="single" w:sz="4" w:space="0" w:color="auto"/>
            </w:tcBorders>
          </w:tcPr>
          <w:p w:rsidR="004170E7" w:rsidRDefault="004170E7" w:rsidP="00EB5065">
            <w:pPr>
              <w:pStyle w:val="NoSpacing"/>
              <w:jc w:val="center"/>
            </w:pPr>
            <w:r>
              <w:t>1</w:t>
            </w:r>
          </w:p>
        </w:tc>
        <w:tc>
          <w:tcPr>
            <w:tcW w:w="2652" w:type="dxa"/>
            <w:tcBorders>
              <w:top w:val="single" w:sz="4" w:space="0" w:color="auto"/>
            </w:tcBorders>
          </w:tcPr>
          <w:p w:rsidR="004170E7" w:rsidRDefault="004170E7" w:rsidP="00EB5065">
            <w:pPr>
              <w:pStyle w:val="NoSpacing"/>
            </w:pPr>
            <w:r>
              <w:t>CAW Only</w:t>
            </w:r>
          </w:p>
        </w:tc>
        <w:tc>
          <w:tcPr>
            <w:tcW w:w="5040" w:type="dxa"/>
            <w:tcBorders>
              <w:top w:val="single" w:sz="4" w:space="0" w:color="auto"/>
            </w:tcBorders>
          </w:tcPr>
          <w:p w:rsidR="004170E7" w:rsidRDefault="004170E7" w:rsidP="00EB5065">
            <w:pPr>
              <w:pStyle w:val="NoSpacing"/>
            </w:pPr>
            <w:r>
              <w:t>Assessment model fit only to catch-at-weight (CAW) data</w:t>
            </w:r>
          </w:p>
        </w:tc>
      </w:tr>
      <w:tr w:rsidR="004170E7" w:rsidTr="00EB5065">
        <w:tc>
          <w:tcPr>
            <w:tcW w:w="0" w:type="auto"/>
          </w:tcPr>
          <w:p w:rsidR="004170E7" w:rsidRDefault="004170E7" w:rsidP="00EB5065">
            <w:pPr>
              <w:pStyle w:val="NoSpacing"/>
              <w:jc w:val="center"/>
            </w:pPr>
            <w:r>
              <w:t>2</w:t>
            </w:r>
          </w:p>
        </w:tc>
        <w:tc>
          <w:tcPr>
            <w:tcW w:w="2652" w:type="dxa"/>
          </w:tcPr>
          <w:p w:rsidR="004170E7" w:rsidRDefault="004170E7" w:rsidP="00EB5065">
            <w:pPr>
              <w:pStyle w:val="NoSpacing"/>
            </w:pPr>
            <w:r>
              <w:t>CAW + Catch</w:t>
            </w:r>
          </w:p>
        </w:tc>
        <w:tc>
          <w:tcPr>
            <w:tcW w:w="5040" w:type="dxa"/>
          </w:tcPr>
          <w:p w:rsidR="004170E7" w:rsidRDefault="004170E7" w:rsidP="00EB5065">
            <w:pPr>
              <w:pStyle w:val="NoSpacing"/>
            </w:pPr>
            <w:r>
              <w:t>Assessment model fit only to CAW data and an index of catch</w:t>
            </w:r>
          </w:p>
        </w:tc>
      </w:tr>
      <w:tr w:rsidR="004170E7" w:rsidTr="00EB5065">
        <w:tc>
          <w:tcPr>
            <w:tcW w:w="0" w:type="auto"/>
          </w:tcPr>
          <w:p w:rsidR="004170E7" w:rsidRDefault="004170E7" w:rsidP="00EB5065">
            <w:pPr>
              <w:pStyle w:val="NoSpacing"/>
              <w:jc w:val="center"/>
            </w:pPr>
            <w:r>
              <w:t>3</w:t>
            </w:r>
          </w:p>
        </w:tc>
        <w:tc>
          <w:tcPr>
            <w:tcW w:w="2652" w:type="dxa"/>
          </w:tcPr>
          <w:p w:rsidR="004170E7" w:rsidRDefault="004170E7" w:rsidP="00EB5065">
            <w:pPr>
              <w:pStyle w:val="NoSpacing"/>
            </w:pPr>
            <w:r>
              <w:t>CAW + Catch + Index</w:t>
            </w:r>
          </w:p>
        </w:tc>
        <w:tc>
          <w:tcPr>
            <w:tcW w:w="5040" w:type="dxa"/>
          </w:tcPr>
          <w:p w:rsidR="004170E7" w:rsidRDefault="004170E7" w:rsidP="00EB5065">
            <w:pPr>
              <w:pStyle w:val="NoSpacing"/>
            </w:pPr>
            <w:r>
              <w:t>Assessment model fit only to CAW data, an index of catch, and an index of abundance</w:t>
            </w:r>
            <w:r w:rsidR="00FD1D62">
              <w:t xml:space="preserve"> (CPUE)</w:t>
            </w:r>
          </w:p>
        </w:tc>
      </w:tr>
      <w:tr w:rsidR="004170E7" w:rsidTr="00EB5065">
        <w:tc>
          <w:tcPr>
            <w:tcW w:w="0" w:type="auto"/>
          </w:tcPr>
          <w:p w:rsidR="004170E7" w:rsidRDefault="004170E7" w:rsidP="00EB5065">
            <w:pPr>
              <w:pStyle w:val="NoSpacing"/>
              <w:jc w:val="center"/>
            </w:pPr>
            <w:r>
              <w:t>4</w:t>
            </w:r>
          </w:p>
        </w:tc>
        <w:tc>
          <w:tcPr>
            <w:tcW w:w="2652" w:type="dxa"/>
          </w:tcPr>
          <w:p w:rsidR="004170E7" w:rsidRDefault="004170E7" w:rsidP="00EB5065">
            <w:pPr>
              <w:pStyle w:val="NoSpacing"/>
            </w:pPr>
            <w:r>
              <w:t>CAW + Effort</w:t>
            </w:r>
          </w:p>
        </w:tc>
        <w:tc>
          <w:tcPr>
            <w:tcW w:w="5040" w:type="dxa"/>
          </w:tcPr>
          <w:p w:rsidR="004170E7" w:rsidRDefault="004170E7" w:rsidP="00EB5065">
            <w:pPr>
              <w:pStyle w:val="NoSpacing"/>
            </w:pPr>
            <w:r>
              <w:t>Assessment model fit only to CAW data and an index of effort</w:t>
            </w:r>
          </w:p>
        </w:tc>
      </w:tr>
      <w:tr w:rsidR="004170E7" w:rsidTr="00EB5065">
        <w:tc>
          <w:tcPr>
            <w:tcW w:w="0" w:type="auto"/>
          </w:tcPr>
          <w:p w:rsidR="004170E7" w:rsidRDefault="004170E7" w:rsidP="00EB5065">
            <w:pPr>
              <w:pStyle w:val="NoSpacing"/>
              <w:jc w:val="center"/>
            </w:pPr>
            <w:r>
              <w:t>5</w:t>
            </w:r>
          </w:p>
        </w:tc>
        <w:tc>
          <w:tcPr>
            <w:tcW w:w="2652" w:type="dxa"/>
          </w:tcPr>
          <w:p w:rsidR="004170E7" w:rsidRDefault="004170E7" w:rsidP="00EB5065">
            <w:pPr>
              <w:pStyle w:val="NoSpacing"/>
            </w:pPr>
            <w:r>
              <w:t>CAW + Effort + Index</w:t>
            </w:r>
          </w:p>
        </w:tc>
        <w:tc>
          <w:tcPr>
            <w:tcW w:w="5040" w:type="dxa"/>
          </w:tcPr>
          <w:p w:rsidR="004170E7" w:rsidRDefault="004170E7" w:rsidP="00EB5065">
            <w:pPr>
              <w:pStyle w:val="NoSpacing"/>
            </w:pPr>
            <w:r>
              <w:t>Assessment model fit only to CAW data, an index of effort, and an index of abundance</w:t>
            </w:r>
            <w:r w:rsidR="00FD1D62">
              <w:t xml:space="preserve"> (CPUE)</w:t>
            </w:r>
          </w:p>
        </w:tc>
      </w:tr>
    </w:tbl>
    <w:p w:rsidR="004170E7" w:rsidRDefault="004170E7" w:rsidP="004170E7"/>
    <w:p w:rsidR="004170E7" w:rsidRDefault="004170E7" w:rsidP="004170E7">
      <w:pPr>
        <w:pStyle w:val="Heading2"/>
      </w:pPr>
      <w:bookmarkStart w:id="35" w:name="_Toc145667815"/>
      <w:r>
        <w:t>Application to Case Studies</w:t>
      </w:r>
      <w:bookmarkEnd w:id="35"/>
    </w:p>
    <w:p w:rsidR="004170E7" w:rsidRDefault="004170E7" w:rsidP="004170E7">
      <w:r>
        <w:t>Fishery data was available from 45 villages throughout Indonesia. Villages that were close together were considered to be fishing the same local stock of octopus, and the data from these villages were aggregated into a single case study site. This resulted in 29 individual case study sites. The data were filter to only include catch composition data where at least 50 individuals were sampled in each month. Two sites (</w:t>
      </w:r>
      <w:proofErr w:type="spellStart"/>
      <w:r>
        <w:t>Maurongga</w:t>
      </w:r>
      <w:proofErr w:type="spellEnd"/>
      <w:r>
        <w:t xml:space="preserve"> &amp; Mola) had less than 50 individuals sampled in all months, and were excluded from the study. This resulted in data from 43 villages and a total of 27 case study sites. </w:t>
      </w:r>
    </w:p>
    <w:p w:rsidR="004170E7" w:rsidRDefault="004170E7" w:rsidP="004170E7">
      <w:r>
        <w:t>The assessment model requires at least 12 continuous months of weight composition data. Cases where weight composition data was missing for a single month where interpolated as the mean of the sampled weight composition data from the month prior and after the month with missing data. The data sets were filtered to only include the longest time period that had at least 12 months of continuous weight composition data (including interpolated data for a missing single month). Nine sites had less than 12 continuous months of weight composition data and were removed from the analysis. The weight composition data for one site (</w:t>
      </w:r>
      <w:proofErr w:type="spellStart"/>
      <w:r>
        <w:t>Tetandara</w:t>
      </w:r>
      <w:proofErr w:type="spellEnd"/>
      <w:r>
        <w:t xml:space="preserve"> (</w:t>
      </w:r>
      <w:proofErr w:type="spellStart"/>
      <w:r>
        <w:t>Arubura</w:t>
      </w:r>
      <w:proofErr w:type="spellEnd"/>
      <w:r>
        <w:t>)) was recorded in 0.5 kg increments, too coarse for this analysis, and therefore this data was removed from the analysis.</w:t>
      </w:r>
    </w:p>
    <w:p w:rsidR="004170E7" w:rsidRDefault="004170E7" w:rsidP="004170E7">
      <w:r>
        <w:t>This resulted in 17 sites, consisting of data from 33 villages, where the assessment model was applied to the octopus data (</w:t>
      </w:r>
      <w:r>
        <w:fldChar w:fldCharType="begin"/>
      </w:r>
      <w:r>
        <w:instrText xml:space="preserve"> REF _Ref138967239 \h </w:instrText>
      </w:r>
      <w:r>
        <w:fldChar w:fldCharType="separate"/>
      </w:r>
      <w:r>
        <w:t xml:space="preserve">Figure </w:t>
      </w:r>
      <w:r>
        <w:rPr>
          <w:noProof/>
        </w:rPr>
        <w:t>2</w:t>
      </w:r>
      <w:r>
        <w:noBreakHyphen/>
      </w:r>
      <w:r>
        <w:rPr>
          <w:noProof/>
        </w:rPr>
        <w:t>5</w:t>
      </w:r>
      <w:r>
        <w:fldChar w:fldCharType="end"/>
      </w:r>
      <w:r>
        <w:t xml:space="preserve">, </w:t>
      </w:r>
      <w:r w:rsidR="00F42590">
        <w:t xml:space="preserve">Table S1-6) </w:t>
      </w:r>
      <w:r>
        <w:t xml:space="preserve">The data was collected on a daily basis and included information on the time spent fishing, the fishing method used, and the weight (kg), mantle length (cm), and sex of the individual octopus caught by each fisher. Effort data </w:t>
      </w:r>
      <w:r>
        <w:lastRenderedPageBreak/>
        <w:t>was not available for the majority of fishers in each site, and was not available for all months in each data set (</w:t>
      </w:r>
      <w:r w:rsidR="00F42590">
        <w:t>Table S1-6</w:t>
      </w:r>
      <w:r>
        <w:t>).</w:t>
      </w:r>
    </w:p>
    <w:p w:rsidR="004170E7" w:rsidRDefault="004170E7" w:rsidP="004170E7">
      <w:r>
        <w:t xml:space="preserve">The observed catch-at-weight data were aggregated into monthly samples, and then binned into discrete weight classes of 100 grams, with a maximum weight class of 4 kg. All observations greater than 4 kg were aggregated into the maximum weight class. The weight frequency data was calculated for both male and female octopus combined together. The effective sample size of the CAW data was set to the monthly sample size of catch-at-weight observations, with a maximum value of 200 individuals. </w:t>
      </w:r>
      <w:r>
        <w:fldChar w:fldCharType="begin"/>
      </w:r>
      <w:r>
        <w:instrText xml:space="preserve"> REF _Ref143689193 \h </w:instrText>
      </w:r>
      <w:r>
        <w:fldChar w:fldCharType="separate"/>
      </w:r>
      <w:r>
        <w:t xml:space="preserve">Figure </w:t>
      </w:r>
      <w:r>
        <w:rPr>
          <w:noProof/>
        </w:rPr>
        <w:t>2</w:t>
      </w:r>
      <w:r>
        <w:noBreakHyphen/>
      </w:r>
      <w:r>
        <w:rPr>
          <w:noProof/>
        </w:rPr>
        <w:t>6</w:t>
      </w:r>
      <w:r>
        <w:fldChar w:fldCharType="end"/>
      </w:r>
      <w:r>
        <w:t xml:space="preserve"> shows the overall weight composition data, summed across all available months, for each case study site.</w:t>
      </w:r>
    </w:p>
    <w:p w:rsidR="004170E7" w:rsidRPr="00A610C4" w:rsidRDefault="004170E7" w:rsidP="004170E7">
      <w:r>
        <w:t xml:space="preserve">A time-series of the monthly catch was generated by summing the observed weight-at-age data for each month. Effort data was not recorded for each observation of catch-at-weight, with the majority of fishers not reporting the fishing effort corresponding with each catch-at-weight observation. Consequently, the assessment model was fit to the index of catch for each case study site. </w:t>
      </w:r>
    </w:p>
    <w:p w:rsidR="004170E7" w:rsidRDefault="004170E7" w:rsidP="004170E7">
      <w:r>
        <w:t xml:space="preserve">The mean monthly catch-per-unit effort (CPUE) was calculated using a linear model of log-CPUE with individual fishers (where available) and </w:t>
      </w:r>
      <w:proofErr w:type="spellStart"/>
      <w:proofErr w:type="gramStart"/>
      <w:r>
        <w:t>Year:Month</w:t>
      </w:r>
      <w:proofErr w:type="spellEnd"/>
      <w:proofErr w:type="gramEnd"/>
      <w:r>
        <w:t xml:space="preserve"> as covariate factors, and calculating the mean and standard deviation for the monthly CPUE. </w:t>
      </w:r>
    </w:p>
    <w:p w:rsidR="004170E7" w:rsidRDefault="004170E7" w:rsidP="004170E7">
      <w:r>
        <w:t xml:space="preserve">Reference points where calculated using the HARA model with an assumed exponent value of 0.4. </w:t>
      </w:r>
    </w:p>
    <w:p w:rsidR="004170E7" w:rsidRDefault="004170E7" w:rsidP="004170E7">
      <w:pPr>
        <w:keepNext/>
      </w:pPr>
      <w:r>
        <w:rPr>
          <w:noProof/>
        </w:rPr>
        <w:lastRenderedPageBreak/>
        <w:drawing>
          <wp:inline distT="0" distB="0" distL="0" distR="0" wp14:anchorId="027417DB" wp14:editId="3AC3CCC7">
            <wp:extent cx="5928360" cy="3115310"/>
            <wp:effectExtent l="0" t="0" r="2540" b="0"/>
            <wp:docPr id="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360" cy="3115310"/>
                    </a:xfrm>
                    <a:prstGeom prst="rect">
                      <a:avLst/>
                    </a:prstGeom>
                    <a:noFill/>
                    <a:ln>
                      <a:noFill/>
                    </a:ln>
                  </pic:spPr>
                </pic:pic>
              </a:graphicData>
            </a:graphic>
          </wp:inline>
        </w:drawing>
      </w:r>
    </w:p>
    <w:p w:rsidR="004170E7" w:rsidRDefault="004170E7" w:rsidP="004170E7">
      <w:pPr>
        <w:pStyle w:val="Caption"/>
      </w:pPr>
      <w:bookmarkStart w:id="36" w:name="_Ref138967239"/>
      <w:bookmarkStart w:id="37" w:name="_Toc145585790"/>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5</w:t>
      </w:r>
      <w:r>
        <w:rPr>
          <w:noProof/>
        </w:rPr>
        <w:fldChar w:fldCharType="end"/>
      </w:r>
      <w:bookmarkEnd w:id="36"/>
      <w:r w:rsidR="00A57A2C">
        <w:rPr>
          <w:noProof/>
        </w:rPr>
        <w:t xml:space="preserve"> </w:t>
      </w:r>
      <w:r w:rsidR="00A57A2C">
        <w:t>or Figure S1-9</w:t>
      </w:r>
      <w:r>
        <w:t>. Map of villages in Indonesia where the stock assessment model was applied to the octopus fishery data. Location data for two villages (</w:t>
      </w:r>
      <w:proofErr w:type="spellStart"/>
      <w:r>
        <w:t>Grogos</w:t>
      </w:r>
      <w:proofErr w:type="spellEnd"/>
      <w:r>
        <w:t xml:space="preserve"> and </w:t>
      </w:r>
      <w:proofErr w:type="spellStart"/>
      <w:r>
        <w:t>Torosiaje</w:t>
      </w:r>
      <w:proofErr w:type="spellEnd"/>
      <w:r>
        <w:t>) was not available and these villages are not shown on the map. Adjacent villages where data was combined are shown in the same color (17 sites in total).</w:t>
      </w:r>
      <w:bookmarkEnd w:id="37"/>
    </w:p>
    <w:p w:rsidR="004170E7" w:rsidRPr="00A21250" w:rsidRDefault="004170E7" w:rsidP="004170E7"/>
    <w:p w:rsidR="004170E7" w:rsidRDefault="00983DD2" w:rsidP="004170E7">
      <w:pPr>
        <w:pStyle w:val="Caption"/>
        <w:keepNext/>
        <w:keepLines/>
      </w:pPr>
      <w:bookmarkStart w:id="38" w:name="_Toc143691730"/>
      <w:r>
        <w:lastRenderedPageBreak/>
        <w:t xml:space="preserve">Table S1-6. </w:t>
      </w:r>
      <w:r w:rsidR="004170E7">
        <w:t xml:space="preserve">Summary table of the 17 case study sites where the stock assessment model was applied to the </w:t>
      </w:r>
      <w:proofErr w:type="gramStart"/>
      <w:r w:rsidR="004170E7">
        <w:t>octopus</w:t>
      </w:r>
      <w:proofErr w:type="gramEnd"/>
      <w:r w:rsidR="004170E7">
        <w:t xml:space="preserve"> data.</w:t>
      </w:r>
      <w:bookmarkEnd w:id="38"/>
      <w:r w:rsidR="004170E7">
        <w:t xml:space="preserve"> </w:t>
      </w:r>
    </w:p>
    <w:tbl>
      <w:tblPr>
        <w:tblW w:w="0" w:type="auto"/>
        <w:jc w:val="center"/>
        <w:tblBorders>
          <w:top w:val="single" w:sz="4" w:space="0" w:color="auto"/>
          <w:bottom w:val="single" w:sz="4" w:space="0" w:color="auto"/>
        </w:tblBorders>
        <w:tblLook w:val="0420" w:firstRow="1" w:lastRow="0" w:firstColumn="0" w:lastColumn="0" w:noHBand="0" w:noVBand="1"/>
      </w:tblPr>
      <w:tblGrid>
        <w:gridCol w:w="1004"/>
        <w:gridCol w:w="1664"/>
        <w:gridCol w:w="1871"/>
        <w:gridCol w:w="886"/>
        <w:gridCol w:w="1289"/>
        <w:gridCol w:w="1303"/>
        <w:gridCol w:w="1003"/>
      </w:tblGrid>
      <w:tr w:rsidR="004170E7" w:rsidTr="00EB5065">
        <w:trPr>
          <w:tblHeader/>
          <w:jc w:val="center"/>
        </w:trPr>
        <w:tc>
          <w:tcPr>
            <w:tcW w:w="1021" w:type="dxa"/>
            <w:tcBorders>
              <w:top w:val="single" w:sz="4" w:space="0" w:color="auto"/>
              <w:bottom w:val="single" w:sz="4" w:space="0" w:color="auto"/>
            </w:tcBorders>
            <w:shd w:val="clear" w:color="auto" w:fill="FFFFFF"/>
            <w:tcMar>
              <w:top w:w="0" w:type="dxa"/>
              <w:left w:w="0" w:type="dxa"/>
              <w:bottom w:w="0" w:type="dxa"/>
              <w:right w:w="0" w:type="dxa"/>
            </w:tcMar>
            <w:vAlign w:val="center"/>
          </w:tcPr>
          <w:p w:rsidR="004170E7" w:rsidRPr="009F6264" w:rsidRDefault="004170E7" w:rsidP="00EB5065">
            <w:pPr>
              <w:pStyle w:val="NoSpacing"/>
              <w:keepNext/>
              <w:keepLines/>
              <w:jc w:val="center"/>
              <w:rPr>
                <w:b/>
              </w:rPr>
            </w:pPr>
            <w:r w:rsidRPr="009F6264">
              <w:rPr>
                <w:b/>
              </w:rPr>
              <w:t>Site Number</w:t>
            </w:r>
          </w:p>
        </w:tc>
        <w:tc>
          <w:tcPr>
            <w:tcW w:w="1714" w:type="dxa"/>
            <w:tcBorders>
              <w:top w:val="single" w:sz="4" w:space="0" w:color="auto"/>
              <w:bottom w:val="single" w:sz="4" w:space="0" w:color="auto"/>
            </w:tcBorders>
            <w:shd w:val="clear" w:color="auto" w:fill="FFFFFF"/>
            <w:tcMar>
              <w:top w:w="0" w:type="dxa"/>
              <w:left w:w="0" w:type="dxa"/>
              <w:bottom w:w="0" w:type="dxa"/>
              <w:right w:w="0" w:type="dxa"/>
            </w:tcMar>
            <w:vAlign w:val="center"/>
          </w:tcPr>
          <w:p w:rsidR="004170E7" w:rsidRPr="009F6264" w:rsidRDefault="004170E7" w:rsidP="00EB5065">
            <w:pPr>
              <w:pStyle w:val="NoSpacing"/>
              <w:keepNext/>
              <w:keepLines/>
              <w:rPr>
                <w:b/>
              </w:rPr>
            </w:pPr>
            <w:r w:rsidRPr="009F6264">
              <w:rPr>
                <w:b/>
              </w:rPr>
              <w:t>Villages</w:t>
            </w:r>
          </w:p>
        </w:tc>
        <w:tc>
          <w:tcPr>
            <w:tcW w:w="2013" w:type="dxa"/>
            <w:tcBorders>
              <w:top w:val="single" w:sz="4" w:space="0" w:color="auto"/>
              <w:bottom w:val="single" w:sz="4" w:space="0" w:color="auto"/>
            </w:tcBorders>
            <w:shd w:val="clear" w:color="auto" w:fill="FFFFFF"/>
            <w:tcMar>
              <w:top w:w="0" w:type="dxa"/>
              <w:left w:w="0" w:type="dxa"/>
              <w:bottom w:w="0" w:type="dxa"/>
              <w:right w:w="0" w:type="dxa"/>
            </w:tcMar>
            <w:vAlign w:val="center"/>
          </w:tcPr>
          <w:p w:rsidR="004170E7" w:rsidRPr="009F6264" w:rsidRDefault="004170E7" w:rsidP="00EB5065">
            <w:pPr>
              <w:pStyle w:val="NoSpacing"/>
              <w:keepNext/>
              <w:keepLines/>
              <w:jc w:val="center"/>
              <w:rPr>
                <w:b/>
              </w:rPr>
            </w:pPr>
            <w:r w:rsidRPr="009F6264">
              <w:rPr>
                <w:b/>
              </w:rPr>
              <w:t>Data Date Range</w:t>
            </w:r>
          </w:p>
        </w:tc>
        <w:tc>
          <w:tcPr>
            <w:tcW w:w="898" w:type="dxa"/>
            <w:tcBorders>
              <w:top w:val="single" w:sz="4" w:space="0" w:color="auto"/>
              <w:bottom w:val="single" w:sz="4" w:space="0" w:color="auto"/>
            </w:tcBorders>
            <w:shd w:val="clear" w:color="auto" w:fill="FFFFFF"/>
            <w:tcMar>
              <w:top w:w="0" w:type="dxa"/>
              <w:left w:w="0" w:type="dxa"/>
              <w:bottom w:w="0" w:type="dxa"/>
              <w:right w:w="0" w:type="dxa"/>
            </w:tcMar>
            <w:vAlign w:val="center"/>
          </w:tcPr>
          <w:p w:rsidR="004170E7" w:rsidRPr="009F6264" w:rsidRDefault="004170E7" w:rsidP="00EB5065">
            <w:pPr>
              <w:pStyle w:val="NoSpacing"/>
              <w:keepNext/>
              <w:keepLines/>
              <w:jc w:val="center"/>
              <w:rPr>
                <w:b/>
              </w:rPr>
            </w:pPr>
            <w:r w:rsidRPr="009F6264">
              <w:rPr>
                <w:b/>
              </w:rPr>
              <w:t xml:space="preserve">N. Months </w:t>
            </w:r>
          </w:p>
        </w:tc>
        <w:tc>
          <w:tcPr>
            <w:tcW w:w="1348" w:type="dxa"/>
            <w:tcBorders>
              <w:top w:val="single" w:sz="4" w:space="0" w:color="auto"/>
              <w:bottom w:val="single" w:sz="4" w:space="0" w:color="auto"/>
            </w:tcBorders>
            <w:shd w:val="clear" w:color="auto" w:fill="FFFFFF"/>
            <w:tcMar>
              <w:top w:w="0" w:type="dxa"/>
              <w:left w:w="0" w:type="dxa"/>
              <w:bottom w:w="0" w:type="dxa"/>
              <w:right w:w="0" w:type="dxa"/>
            </w:tcMar>
            <w:vAlign w:val="center"/>
          </w:tcPr>
          <w:p w:rsidR="004170E7" w:rsidRPr="009F6264" w:rsidRDefault="004170E7" w:rsidP="00EB5065">
            <w:pPr>
              <w:pStyle w:val="NoSpacing"/>
              <w:keepNext/>
              <w:keepLines/>
              <w:jc w:val="center"/>
              <w:rPr>
                <w:b/>
              </w:rPr>
            </w:pPr>
            <w:r>
              <w:rPr>
                <w:b/>
              </w:rPr>
              <w:t>N. Months CAW Data</w:t>
            </w:r>
          </w:p>
        </w:tc>
        <w:tc>
          <w:tcPr>
            <w:tcW w:w="1363" w:type="dxa"/>
            <w:tcBorders>
              <w:top w:val="single" w:sz="4" w:space="0" w:color="auto"/>
              <w:bottom w:val="single" w:sz="4" w:space="0" w:color="auto"/>
            </w:tcBorders>
            <w:shd w:val="clear" w:color="auto" w:fill="FFFFFF"/>
            <w:tcMar>
              <w:top w:w="0" w:type="dxa"/>
              <w:left w:w="0" w:type="dxa"/>
              <w:bottom w:w="0" w:type="dxa"/>
              <w:right w:w="0" w:type="dxa"/>
            </w:tcMar>
            <w:vAlign w:val="center"/>
          </w:tcPr>
          <w:p w:rsidR="004170E7" w:rsidRPr="009F6264" w:rsidRDefault="004170E7" w:rsidP="00EB5065">
            <w:pPr>
              <w:pStyle w:val="NoSpacing"/>
              <w:keepNext/>
              <w:keepLines/>
              <w:jc w:val="center"/>
              <w:rPr>
                <w:b/>
              </w:rPr>
            </w:pPr>
            <w:r>
              <w:rPr>
                <w:b/>
              </w:rPr>
              <w:t>N. Months Effort Data</w:t>
            </w:r>
          </w:p>
        </w:tc>
        <w:tc>
          <w:tcPr>
            <w:tcW w:w="1003" w:type="dxa"/>
            <w:tcBorders>
              <w:top w:val="single" w:sz="4" w:space="0" w:color="auto"/>
              <w:bottom w:val="single" w:sz="4" w:space="0" w:color="auto"/>
            </w:tcBorders>
            <w:shd w:val="clear" w:color="auto" w:fill="FFFFFF"/>
          </w:tcPr>
          <w:p w:rsidR="004170E7" w:rsidRDefault="004170E7" w:rsidP="00EB5065">
            <w:pPr>
              <w:pStyle w:val="NoSpacing"/>
              <w:keepNext/>
              <w:keepLines/>
              <w:jc w:val="center"/>
              <w:rPr>
                <w:b/>
              </w:rPr>
            </w:pPr>
            <w:r>
              <w:rPr>
                <w:b/>
              </w:rPr>
              <w:t>N. Months Catch Data</w:t>
            </w:r>
          </w:p>
        </w:tc>
      </w:tr>
      <w:tr w:rsidR="004170E7" w:rsidTr="00EB5065">
        <w:trPr>
          <w:jc w:val="center"/>
        </w:trPr>
        <w:tc>
          <w:tcPr>
            <w:tcW w:w="1021" w:type="dxa"/>
            <w:tcBorders>
              <w:top w:val="single" w:sz="4" w:space="0" w:color="auto"/>
            </w:tcBorders>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w:t>
            </w:r>
          </w:p>
        </w:tc>
        <w:tc>
          <w:tcPr>
            <w:tcW w:w="1714" w:type="dxa"/>
            <w:tcBorders>
              <w:top w:val="single" w:sz="4" w:space="0" w:color="auto"/>
            </w:tcBorders>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Bulutui</w:t>
            </w:r>
            <w:proofErr w:type="spellEnd"/>
            <w:r w:rsidRPr="00B402EF">
              <w:t xml:space="preserve">, </w:t>
            </w:r>
            <w:proofErr w:type="spellStart"/>
            <w:r w:rsidRPr="00B402EF">
              <w:t>Gangga</w:t>
            </w:r>
            <w:proofErr w:type="spellEnd"/>
            <w:r w:rsidRPr="00B402EF">
              <w:t xml:space="preserve"> Satu, </w:t>
            </w:r>
            <w:proofErr w:type="spellStart"/>
            <w:r w:rsidRPr="00B402EF">
              <w:t>Likupang</w:t>
            </w:r>
            <w:proofErr w:type="spellEnd"/>
            <w:r w:rsidRPr="00B402EF">
              <w:t xml:space="preserve"> </w:t>
            </w:r>
            <w:proofErr w:type="spellStart"/>
            <w:r w:rsidRPr="00B402EF">
              <w:t>Dua</w:t>
            </w:r>
            <w:proofErr w:type="spellEnd"/>
          </w:p>
        </w:tc>
        <w:tc>
          <w:tcPr>
            <w:tcW w:w="2013" w:type="dxa"/>
            <w:tcBorders>
              <w:top w:val="single" w:sz="4" w:space="0" w:color="auto"/>
            </w:tcBorders>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2019-04 </w:t>
            </w:r>
            <w:r>
              <w:t xml:space="preserve">– </w:t>
            </w:r>
            <w:r w:rsidRPr="00B402EF">
              <w:t>2023-05</w:t>
            </w:r>
          </w:p>
        </w:tc>
        <w:tc>
          <w:tcPr>
            <w:tcW w:w="898" w:type="dxa"/>
            <w:tcBorders>
              <w:top w:val="single" w:sz="4" w:space="0" w:color="auto"/>
            </w:tcBorders>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50</w:t>
            </w:r>
          </w:p>
        </w:tc>
        <w:tc>
          <w:tcPr>
            <w:tcW w:w="1348" w:type="dxa"/>
            <w:tcBorders>
              <w:top w:val="single" w:sz="4" w:space="0" w:color="auto"/>
            </w:tcBorders>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50</w:t>
            </w:r>
          </w:p>
        </w:tc>
        <w:tc>
          <w:tcPr>
            <w:tcW w:w="1363" w:type="dxa"/>
            <w:tcBorders>
              <w:top w:val="single" w:sz="4" w:space="0" w:color="auto"/>
            </w:tcBorders>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41</w:t>
            </w:r>
          </w:p>
        </w:tc>
        <w:tc>
          <w:tcPr>
            <w:tcW w:w="1003" w:type="dxa"/>
            <w:tcBorders>
              <w:top w:val="single" w:sz="4" w:space="0" w:color="auto"/>
            </w:tcBorders>
            <w:shd w:val="clear" w:color="auto" w:fill="FFFFFF"/>
            <w:vAlign w:val="center"/>
          </w:tcPr>
          <w:p w:rsidR="004170E7" w:rsidRPr="007412CB" w:rsidRDefault="004170E7" w:rsidP="00EB5065">
            <w:pPr>
              <w:pStyle w:val="NoSpacing"/>
              <w:jc w:val="center"/>
            </w:pPr>
            <w:r>
              <w:t>50</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2</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Darawa</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2020-11 </w:t>
            </w:r>
            <w:r>
              <w:t>–</w:t>
            </w:r>
            <w:r w:rsidRPr="00B402EF">
              <w:t xml:space="preserve"> 2023-04</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30</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28</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28</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3</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Grogos</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t xml:space="preserve">2020-08 – </w:t>
            </w:r>
            <w:r w:rsidRPr="00B402EF">
              <w:t>2022-04</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21</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19</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19</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4</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Jaya Makmur, </w:t>
            </w:r>
            <w:proofErr w:type="spellStart"/>
            <w:r w:rsidRPr="00B402EF">
              <w:t>Kampo-Kampo</w:t>
            </w:r>
            <w:proofErr w:type="spellEnd"/>
            <w:r w:rsidRPr="00B402EF">
              <w:t xml:space="preserve">, </w:t>
            </w:r>
            <w:proofErr w:type="spellStart"/>
            <w:r w:rsidRPr="00B402EF">
              <w:t>Lagongga</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2018-04 </w:t>
            </w:r>
            <w:r>
              <w:t>–</w:t>
            </w:r>
            <w:r w:rsidRPr="00B402EF">
              <w:t xml:space="preserve"> 2019-04</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13</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12</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12</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5</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Kabita</w:t>
            </w:r>
            <w:proofErr w:type="spellEnd"/>
            <w:r w:rsidRPr="00B402EF">
              <w:t xml:space="preserve">, </w:t>
            </w:r>
            <w:proofErr w:type="spellStart"/>
            <w:r w:rsidRPr="00B402EF">
              <w:t>Kabita</w:t>
            </w:r>
            <w:proofErr w:type="spellEnd"/>
            <w:r w:rsidRPr="00B402EF">
              <w:t xml:space="preserve"> Togo, Kapota, Kapota Utara</w:t>
            </w:r>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2021-03 </w:t>
            </w:r>
            <w:r>
              <w:t>–</w:t>
            </w:r>
            <w:r w:rsidRPr="00B402EF">
              <w:t xml:space="preserve"> 2022-12</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22</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18</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18</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6</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Kadoda</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2021-06 </w:t>
            </w:r>
            <w:r>
              <w:t>–</w:t>
            </w:r>
            <w:r w:rsidRPr="00B402EF">
              <w:t xml:space="preserve"> 2023-03</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22</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22</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w:t>
            </w:r>
          </w:p>
        </w:tc>
        <w:tc>
          <w:tcPr>
            <w:tcW w:w="1003" w:type="dxa"/>
            <w:shd w:val="clear" w:color="auto" w:fill="FFFFFF"/>
            <w:vAlign w:val="center"/>
          </w:tcPr>
          <w:p w:rsidR="004170E7" w:rsidRPr="007412CB" w:rsidRDefault="004170E7" w:rsidP="00EB5065">
            <w:pPr>
              <w:pStyle w:val="NoSpacing"/>
              <w:jc w:val="center"/>
            </w:pPr>
            <w:r>
              <w:t>22</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7</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Kahu-</w:t>
            </w:r>
            <w:proofErr w:type="spellStart"/>
            <w:r w:rsidRPr="00B402EF">
              <w:t>kahu</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2020-09 </w:t>
            </w:r>
            <w:r>
              <w:t>–</w:t>
            </w:r>
            <w:r w:rsidRPr="00B402EF">
              <w:t xml:space="preserve"> 2023-03</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31</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29</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29</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8</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Kalumbatan</w:t>
            </w:r>
            <w:proofErr w:type="spellEnd"/>
            <w:r w:rsidRPr="00B402EF">
              <w:t xml:space="preserve">, </w:t>
            </w:r>
            <w:proofErr w:type="spellStart"/>
            <w:r w:rsidRPr="00B402EF">
              <w:t>Lobuton</w:t>
            </w:r>
            <w:proofErr w:type="spellEnd"/>
            <w:r w:rsidRPr="00B402EF">
              <w:t xml:space="preserve">, </w:t>
            </w:r>
            <w:proofErr w:type="spellStart"/>
            <w:r w:rsidRPr="00B402EF">
              <w:t>Popisi</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2017-01 </w:t>
            </w:r>
            <w:r>
              <w:t>–</w:t>
            </w:r>
            <w:r w:rsidRPr="00B402EF">
              <w:t xml:space="preserve"> 2023-05</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77</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77</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77</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9</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Ketapang</w:t>
            </w:r>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2022-01 </w:t>
            </w:r>
            <w:r>
              <w:t>–</w:t>
            </w:r>
            <w:r w:rsidRPr="00B402EF">
              <w:t xml:space="preserve"> 2022-12</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12</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12</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11</w:t>
            </w:r>
          </w:p>
        </w:tc>
        <w:tc>
          <w:tcPr>
            <w:tcW w:w="1003" w:type="dxa"/>
            <w:shd w:val="clear" w:color="auto" w:fill="FFFFFF"/>
            <w:vAlign w:val="center"/>
          </w:tcPr>
          <w:p w:rsidR="004170E7" w:rsidRPr="007412CB" w:rsidRDefault="004170E7" w:rsidP="00EB5065">
            <w:pPr>
              <w:pStyle w:val="NoSpacing"/>
              <w:jc w:val="center"/>
            </w:pPr>
            <w:r>
              <w:t>12</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10</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Labuhan</w:t>
            </w:r>
            <w:proofErr w:type="spellEnd"/>
            <w:r w:rsidRPr="00B402EF">
              <w:t xml:space="preserve"> Bajau, </w:t>
            </w:r>
            <w:proofErr w:type="spellStart"/>
            <w:r w:rsidRPr="00B402EF">
              <w:t>Labuhan</w:t>
            </w:r>
            <w:proofErr w:type="spellEnd"/>
            <w:r w:rsidRPr="00B402EF">
              <w:t xml:space="preserve"> </w:t>
            </w:r>
            <w:proofErr w:type="spellStart"/>
            <w:r w:rsidRPr="00B402EF">
              <w:t>Bakti</w:t>
            </w:r>
            <w:proofErr w:type="spellEnd"/>
            <w:r w:rsidRPr="00B402EF">
              <w:t xml:space="preserve">, </w:t>
            </w:r>
            <w:proofErr w:type="spellStart"/>
            <w:r w:rsidRPr="00B402EF">
              <w:t>Labuhan</w:t>
            </w:r>
            <w:proofErr w:type="spellEnd"/>
            <w:r w:rsidRPr="00B402EF">
              <w:t xml:space="preserve"> Jaya</w:t>
            </w:r>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2022-04 </w:t>
            </w:r>
            <w:r>
              <w:t>–</w:t>
            </w:r>
            <w:r w:rsidRPr="00B402EF">
              <w:t xml:space="preserve"> 2023-12</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21</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20</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11</w:t>
            </w:r>
          </w:p>
        </w:tc>
        <w:tc>
          <w:tcPr>
            <w:tcW w:w="1003" w:type="dxa"/>
            <w:shd w:val="clear" w:color="auto" w:fill="FFFFFF"/>
            <w:vAlign w:val="center"/>
          </w:tcPr>
          <w:p w:rsidR="004170E7" w:rsidRPr="007412CB" w:rsidRDefault="004170E7" w:rsidP="00EB5065">
            <w:pPr>
              <w:pStyle w:val="NoSpacing"/>
              <w:jc w:val="center"/>
            </w:pPr>
            <w:r>
              <w:t>20</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11</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Labuhan</w:t>
            </w:r>
            <w:proofErr w:type="spellEnd"/>
            <w:r w:rsidRPr="00B402EF">
              <w:t xml:space="preserve"> Lombok, </w:t>
            </w:r>
            <w:proofErr w:type="spellStart"/>
            <w:r w:rsidRPr="00B402EF">
              <w:t>Poto</w:t>
            </w:r>
            <w:proofErr w:type="spellEnd"/>
            <w:r w:rsidRPr="00B402EF">
              <w:t xml:space="preserve"> Tano, </w:t>
            </w:r>
            <w:proofErr w:type="spellStart"/>
            <w:r w:rsidRPr="00B402EF">
              <w:t>Seruni</w:t>
            </w:r>
            <w:proofErr w:type="spellEnd"/>
            <w:r w:rsidRPr="00B402EF">
              <w:t xml:space="preserve"> </w:t>
            </w:r>
            <w:proofErr w:type="spellStart"/>
            <w:r w:rsidRPr="00B402EF">
              <w:t>Mumbul</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2019-10 </w:t>
            </w:r>
            <w:r>
              <w:t>–</w:t>
            </w:r>
            <w:r w:rsidRPr="00B402EF">
              <w:t xml:space="preserve"> 2023-04</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43</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43</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40</w:t>
            </w:r>
          </w:p>
        </w:tc>
        <w:tc>
          <w:tcPr>
            <w:tcW w:w="1003" w:type="dxa"/>
            <w:shd w:val="clear" w:color="auto" w:fill="FFFFFF"/>
            <w:vAlign w:val="center"/>
          </w:tcPr>
          <w:p w:rsidR="004170E7" w:rsidRPr="007412CB" w:rsidRDefault="004170E7" w:rsidP="00EB5065">
            <w:pPr>
              <w:pStyle w:val="NoSpacing"/>
              <w:jc w:val="center"/>
            </w:pPr>
            <w:r>
              <w:t>43</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12</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Linau</w:t>
            </w:r>
            <w:proofErr w:type="spellEnd"/>
            <w:r w:rsidRPr="00B402EF">
              <w:t xml:space="preserve">, </w:t>
            </w:r>
            <w:proofErr w:type="spellStart"/>
            <w:r w:rsidRPr="00B402EF">
              <w:t>Merpas</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2021-06 </w:t>
            </w:r>
            <w:r>
              <w:t>–</w:t>
            </w:r>
            <w:r w:rsidRPr="00B402EF">
              <w:t xml:space="preserve"> 2023-03</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22</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22</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3</w:t>
            </w:r>
          </w:p>
        </w:tc>
        <w:tc>
          <w:tcPr>
            <w:tcW w:w="1003" w:type="dxa"/>
            <w:shd w:val="clear" w:color="auto" w:fill="FFFFFF"/>
            <w:vAlign w:val="center"/>
          </w:tcPr>
          <w:p w:rsidR="004170E7" w:rsidRPr="007412CB" w:rsidRDefault="004170E7" w:rsidP="00EB5065">
            <w:pPr>
              <w:pStyle w:val="NoSpacing"/>
              <w:jc w:val="center"/>
            </w:pPr>
            <w:r>
              <w:t>22</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13</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Maubasa</w:t>
            </w:r>
            <w:proofErr w:type="spellEnd"/>
            <w:r w:rsidRPr="00B402EF">
              <w:t xml:space="preserve">, </w:t>
            </w:r>
            <w:proofErr w:type="spellStart"/>
            <w:r w:rsidRPr="00B402EF">
              <w:t>Maubasa</w:t>
            </w:r>
            <w:proofErr w:type="spellEnd"/>
            <w:r w:rsidRPr="00B402EF">
              <w:t xml:space="preserve"> Timur, </w:t>
            </w:r>
            <w:proofErr w:type="spellStart"/>
            <w:r w:rsidRPr="00B402EF">
              <w:t>Serandori</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2021-09 </w:t>
            </w:r>
            <w:r>
              <w:t>–</w:t>
            </w:r>
            <w:r w:rsidRPr="00B402EF">
              <w:t xml:space="preserve"> 2023-06</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22</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22</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19</w:t>
            </w:r>
          </w:p>
        </w:tc>
        <w:tc>
          <w:tcPr>
            <w:tcW w:w="1003" w:type="dxa"/>
            <w:shd w:val="clear" w:color="auto" w:fill="FFFFFF"/>
            <w:vAlign w:val="center"/>
          </w:tcPr>
          <w:p w:rsidR="004170E7" w:rsidRPr="007412CB" w:rsidRDefault="004170E7" w:rsidP="00EB5065">
            <w:pPr>
              <w:pStyle w:val="NoSpacing"/>
              <w:jc w:val="center"/>
            </w:pPr>
            <w:r>
              <w:t>22</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14</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Mekar</w:t>
            </w:r>
            <w:proofErr w:type="spellEnd"/>
            <w:r w:rsidRPr="00B402EF">
              <w:t xml:space="preserve"> Indah</w:t>
            </w:r>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2021-02 </w:t>
            </w:r>
            <w:r>
              <w:t>–</w:t>
            </w:r>
            <w:r w:rsidRPr="00B402EF">
              <w:t xml:space="preserve"> 2023-03</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26</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25</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0</w:t>
            </w:r>
          </w:p>
        </w:tc>
        <w:tc>
          <w:tcPr>
            <w:tcW w:w="1003" w:type="dxa"/>
            <w:shd w:val="clear" w:color="auto" w:fill="FFFFFF"/>
            <w:vAlign w:val="center"/>
          </w:tcPr>
          <w:p w:rsidR="004170E7" w:rsidRPr="007412CB" w:rsidRDefault="004170E7" w:rsidP="00EB5065">
            <w:pPr>
              <w:pStyle w:val="NoSpacing"/>
              <w:jc w:val="center"/>
            </w:pPr>
            <w:r>
              <w:t>25</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15</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Sinaka</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2022-03 </w:t>
            </w:r>
            <w:r>
              <w:t>–</w:t>
            </w:r>
            <w:r w:rsidRPr="00B402EF">
              <w:t xml:space="preserve"> 2023-12</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22</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22</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10</w:t>
            </w:r>
          </w:p>
        </w:tc>
        <w:tc>
          <w:tcPr>
            <w:tcW w:w="1003" w:type="dxa"/>
            <w:shd w:val="clear" w:color="auto" w:fill="FFFFFF"/>
            <w:vAlign w:val="center"/>
          </w:tcPr>
          <w:p w:rsidR="004170E7" w:rsidRPr="007412CB" w:rsidRDefault="004170E7" w:rsidP="00EB5065">
            <w:pPr>
              <w:pStyle w:val="NoSpacing"/>
              <w:jc w:val="center"/>
            </w:pPr>
            <w:r>
              <w:t>22</w:t>
            </w:r>
          </w:p>
        </w:tc>
      </w:tr>
      <w:tr w:rsidR="004170E7" w:rsidTr="00EB5065">
        <w:trPr>
          <w:trHeight w:val="60"/>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16</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Torosiaje</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2021-06 </w:t>
            </w:r>
            <w:r>
              <w:t>–</w:t>
            </w:r>
            <w:r w:rsidRPr="00B402EF">
              <w:t xml:space="preserve"> 2023-10</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29</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28</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21</w:t>
            </w:r>
          </w:p>
        </w:tc>
        <w:tc>
          <w:tcPr>
            <w:tcW w:w="1003" w:type="dxa"/>
            <w:shd w:val="clear" w:color="auto" w:fill="FFFFFF"/>
            <w:vAlign w:val="center"/>
          </w:tcPr>
          <w:p w:rsidR="004170E7" w:rsidRPr="007412CB" w:rsidRDefault="004170E7" w:rsidP="00EB5065">
            <w:pPr>
              <w:pStyle w:val="NoSpacing"/>
              <w:jc w:val="center"/>
            </w:pPr>
            <w:r>
              <w:t>28</w:t>
            </w:r>
          </w:p>
        </w:tc>
      </w:tr>
      <w:tr w:rsidR="004170E7" w:rsidTr="00EB5065">
        <w:trPr>
          <w:jc w:val="center"/>
        </w:trPr>
        <w:tc>
          <w:tcPr>
            <w:tcW w:w="1021" w:type="dxa"/>
            <w:shd w:val="clear" w:color="auto" w:fill="FFFFFF"/>
            <w:tcMar>
              <w:top w:w="0" w:type="dxa"/>
              <w:left w:w="0" w:type="dxa"/>
              <w:bottom w:w="0" w:type="dxa"/>
              <w:right w:w="0" w:type="dxa"/>
            </w:tcMar>
            <w:vAlign w:val="center"/>
          </w:tcPr>
          <w:p w:rsidR="004170E7" w:rsidRDefault="004170E7" w:rsidP="00EB5065">
            <w:pPr>
              <w:pStyle w:val="NoSpacing"/>
              <w:keepNext/>
              <w:keepLines/>
              <w:jc w:val="center"/>
            </w:pPr>
            <w:r>
              <w:t>17</w:t>
            </w:r>
          </w:p>
        </w:tc>
        <w:tc>
          <w:tcPr>
            <w:tcW w:w="1714" w:type="dxa"/>
            <w:shd w:val="clear" w:color="auto" w:fill="FFFFFF"/>
            <w:tcMar>
              <w:top w:w="0" w:type="dxa"/>
              <w:left w:w="0" w:type="dxa"/>
              <w:bottom w:w="0" w:type="dxa"/>
              <w:right w:w="0" w:type="dxa"/>
            </w:tcMar>
            <w:vAlign w:val="center"/>
          </w:tcPr>
          <w:p w:rsidR="004170E7" w:rsidRPr="00B402EF" w:rsidRDefault="004170E7" w:rsidP="00EB5065">
            <w:pPr>
              <w:pStyle w:val="NoSpacing"/>
            </w:pPr>
            <w:proofErr w:type="spellStart"/>
            <w:r w:rsidRPr="00B402EF">
              <w:t>Uwedikan</w:t>
            </w:r>
            <w:proofErr w:type="spellEnd"/>
          </w:p>
        </w:tc>
        <w:tc>
          <w:tcPr>
            <w:tcW w:w="2013" w:type="dxa"/>
            <w:shd w:val="clear" w:color="auto" w:fill="FFFFFF"/>
            <w:tcMar>
              <w:top w:w="0" w:type="dxa"/>
              <w:left w:w="0" w:type="dxa"/>
              <w:bottom w:w="0" w:type="dxa"/>
              <w:right w:w="0" w:type="dxa"/>
            </w:tcMar>
            <w:vAlign w:val="center"/>
          </w:tcPr>
          <w:p w:rsidR="004170E7" w:rsidRPr="00B402EF" w:rsidRDefault="004170E7" w:rsidP="00EB5065">
            <w:pPr>
              <w:pStyle w:val="NoSpacing"/>
            </w:pPr>
            <w:r w:rsidRPr="00B402EF">
              <w:t xml:space="preserve">2020-09 </w:t>
            </w:r>
            <w:r>
              <w:t>–</w:t>
            </w:r>
            <w:r w:rsidRPr="00B402EF">
              <w:t xml:space="preserve"> 2022-10</w:t>
            </w:r>
          </w:p>
        </w:tc>
        <w:tc>
          <w:tcPr>
            <w:tcW w:w="898" w:type="dxa"/>
            <w:shd w:val="clear" w:color="auto" w:fill="FFFFFF"/>
            <w:tcMar>
              <w:top w:w="0" w:type="dxa"/>
              <w:left w:w="0" w:type="dxa"/>
              <w:bottom w:w="0" w:type="dxa"/>
              <w:right w:w="0" w:type="dxa"/>
            </w:tcMar>
            <w:vAlign w:val="center"/>
          </w:tcPr>
          <w:p w:rsidR="004170E7" w:rsidRPr="00B402EF" w:rsidRDefault="004170E7" w:rsidP="00EB5065">
            <w:pPr>
              <w:pStyle w:val="NoSpacing"/>
              <w:jc w:val="center"/>
            </w:pPr>
            <w:r w:rsidRPr="00B402EF">
              <w:t>26</w:t>
            </w:r>
          </w:p>
        </w:tc>
        <w:tc>
          <w:tcPr>
            <w:tcW w:w="1348"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24</w:t>
            </w:r>
          </w:p>
        </w:tc>
        <w:tc>
          <w:tcPr>
            <w:tcW w:w="1363" w:type="dxa"/>
            <w:shd w:val="clear" w:color="auto" w:fill="FFFFFF"/>
            <w:tcMar>
              <w:top w:w="0" w:type="dxa"/>
              <w:left w:w="0" w:type="dxa"/>
              <w:bottom w:w="0" w:type="dxa"/>
              <w:right w:w="0" w:type="dxa"/>
            </w:tcMar>
            <w:vAlign w:val="center"/>
          </w:tcPr>
          <w:p w:rsidR="004170E7" w:rsidRPr="00B50216" w:rsidRDefault="004170E7" w:rsidP="00EB5065">
            <w:pPr>
              <w:pStyle w:val="NoSpacing"/>
              <w:jc w:val="center"/>
            </w:pPr>
            <w:r>
              <w:t>2</w:t>
            </w:r>
          </w:p>
        </w:tc>
        <w:tc>
          <w:tcPr>
            <w:tcW w:w="1003" w:type="dxa"/>
            <w:shd w:val="clear" w:color="auto" w:fill="FFFFFF"/>
            <w:vAlign w:val="center"/>
          </w:tcPr>
          <w:p w:rsidR="004170E7" w:rsidRPr="007412CB" w:rsidRDefault="004170E7" w:rsidP="00EB5065">
            <w:pPr>
              <w:pStyle w:val="NoSpacing"/>
              <w:jc w:val="center"/>
            </w:pPr>
            <w:r>
              <w:t>24</w:t>
            </w:r>
          </w:p>
        </w:tc>
      </w:tr>
    </w:tbl>
    <w:p w:rsidR="004170E7" w:rsidRPr="00B50216" w:rsidRDefault="004170E7" w:rsidP="004170E7"/>
    <w:p w:rsidR="004170E7" w:rsidRDefault="004170E7" w:rsidP="004170E7">
      <w:pPr>
        <w:keepNext/>
      </w:pPr>
      <w:r>
        <w:rPr>
          <w:noProof/>
        </w:rPr>
        <w:lastRenderedPageBreak/>
        <w:drawing>
          <wp:inline distT="0" distB="0" distL="0" distR="0" wp14:anchorId="0493CC2F" wp14:editId="350CE20B">
            <wp:extent cx="5943600" cy="3564890"/>
            <wp:effectExtent l="0" t="0" r="0" b="3810"/>
            <wp:docPr id="102203136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64890"/>
                    </a:xfrm>
                    <a:prstGeom prst="rect">
                      <a:avLst/>
                    </a:prstGeom>
                    <a:noFill/>
                    <a:ln>
                      <a:noFill/>
                    </a:ln>
                  </pic:spPr>
                </pic:pic>
              </a:graphicData>
            </a:graphic>
          </wp:inline>
        </w:drawing>
      </w:r>
    </w:p>
    <w:p w:rsidR="004170E7" w:rsidRDefault="004170E7" w:rsidP="004170E7">
      <w:pPr>
        <w:pStyle w:val="Caption"/>
      </w:pPr>
      <w:bookmarkStart w:id="39" w:name="_Ref143689193"/>
      <w:bookmarkStart w:id="40" w:name="_Toc145585791"/>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6</w:t>
      </w:r>
      <w:r>
        <w:rPr>
          <w:noProof/>
        </w:rPr>
        <w:fldChar w:fldCharType="end"/>
      </w:r>
      <w:bookmarkEnd w:id="39"/>
      <w:r w:rsidR="00A57A2C">
        <w:rPr>
          <w:noProof/>
        </w:rPr>
        <w:t xml:space="preserve"> </w:t>
      </w:r>
      <w:r w:rsidR="00A57A2C">
        <w:t>or Figure S1-10</w:t>
      </w:r>
      <w:r>
        <w:t>. The overall weight composition data from each of the 17 case study sites. The weight composition data for each site is summed over all months of data, and standardized to sum to 1 across the weight bins.</w:t>
      </w:r>
      <w:bookmarkEnd w:id="40"/>
    </w:p>
    <w:bookmarkEnd w:id="8"/>
    <w:p w:rsidR="004170E7" w:rsidRDefault="004170E7" w:rsidP="004170E7"/>
    <w:p w:rsidR="00191F0F" w:rsidRDefault="00191F0F"/>
    <w:sectPr w:rsidR="00191F0F" w:rsidSect="009F0F1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Body C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C5B2F"/>
    <w:multiLevelType w:val="hybridMultilevel"/>
    <w:tmpl w:val="D76E3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51A5B"/>
    <w:multiLevelType w:val="hybridMultilevel"/>
    <w:tmpl w:val="927C0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A131C"/>
    <w:multiLevelType w:val="hybridMultilevel"/>
    <w:tmpl w:val="CDF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9D65D3"/>
    <w:multiLevelType w:val="hybridMultilevel"/>
    <w:tmpl w:val="1E68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73F2E"/>
    <w:multiLevelType w:val="hybridMultilevel"/>
    <w:tmpl w:val="2258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C6E56"/>
    <w:multiLevelType w:val="hybridMultilevel"/>
    <w:tmpl w:val="7526A77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15:restartNumberingAfterBreak="0">
    <w:nsid w:val="50644CFD"/>
    <w:multiLevelType w:val="multilevel"/>
    <w:tmpl w:val="F4F876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4C554AF"/>
    <w:multiLevelType w:val="hybridMultilevel"/>
    <w:tmpl w:val="2A8C870C"/>
    <w:lvl w:ilvl="0" w:tplc="8F9839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207D35"/>
    <w:multiLevelType w:val="multilevel"/>
    <w:tmpl w:val="71F061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6F65BA2"/>
    <w:multiLevelType w:val="multilevel"/>
    <w:tmpl w:val="DBB0AD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9A94215"/>
    <w:multiLevelType w:val="multilevel"/>
    <w:tmpl w:val="DBB0A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9D94206"/>
    <w:multiLevelType w:val="multilevel"/>
    <w:tmpl w:val="676C0E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914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A2D75C0"/>
    <w:multiLevelType w:val="hybridMultilevel"/>
    <w:tmpl w:val="3E68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70D5F"/>
    <w:multiLevelType w:val="multilevel"/>
    <w:tmpl w:val="230AA7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BEF54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FB2E25"/>
    <w:multiLevelType w:val="hybridMultilevel"/>
    <w:tmpl w:val="EB22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1775E"/>
    <w:multiLevelType w:val="multilevel"/>
    <w:tmpl w:val="33F22C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6990204">
    <w:abstractNumId w:val="1"/>
  </w:num>
  <w:num w:numId="2" w16cid:durableId="1135366620">
    <w:abstractNumId w:val="5"/>
  </w:num>
  <w:num w:numId="3" w16cid:durableId="468867128">
    <w:abstractNumId w:val="15"/>
  </w:num>
  <w:num w:numId="4" w16cid:durableId="730352986">
    <w:abstractNumId w:val="0"/>
  </w:num>
  <w:num w:numId="5" w16cid:durableId="769086482">
    <w:abstractNumId w:val="4"/>
  </w:num>
  <w:num w:numId="6" w16cid:durableId="253587497">
    <w:abstractNumId w:val="12"/>
  </w:num>
  <w:num w:numId="7" w16cid:durableId="699670228">
    <w:abstractNumId w:val="10"/>
  </w:num>
  <w:num w:numId="8" w16cid:durableId="1731658286">
    <w:abstractNumId w:val="2"/>
  </w:num>
  <w:num w:numId="9" w16cid:durableId="1384475856">
    <w:abstractNumId w:val="14"/>
  </w:num>
  <w:num w:numId="10" w16cid:durableId="999305679">
    <w:abstractNumId w:val="8"/>
  </w:num>
  <w:num w:numId="11" w16cid:durableId="7274149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8186847">
    <w:abstractNumId w:val="13"/>
  </w:num>
  <w:num w:numId="13" w16cid:durableId="1918631936">
    <w:abstractNumId w:val="7"/>
  </w:num>
  <w:num w:numId="14" w16cid:durableId="516313213">
    <w:abstractNumId w:val="9"/>
  </w:num>
  <w:num w:numId="15" w16cid:durableId="2131971110">
    <w:abstractNumId w:val="16"/>
  </w:num>
  <w:num w:numId="16" w16cid:durableId="526981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9395973">
    <w:abstractNumId w:val="6"/>
  </w:num>
  <w:num w:numId="18" w16cid:durableId="1643462540">
    <w:abstractNumId w:val="11"/>
  </w:num>
  <w:num w:numId="19" w16cid:durableId="501899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0E7"/>
    <w:rsid w:val="00034536"/>
    <w:rsid w:val="00191F0F"/>
    <w:rsid w:val="00195113"/>
    <w:rsid w:val="00324DC1"/>
    <w:rsid w:val="004170E7"/>
    <w:rsid w:val="0058106F"/>
    <w:rsid w:val="008D724B"/>
    <w:rsid w:val="008F7D0F"/>
    <w:rsid w:val="00983DD2"/>
    <w:rsid w:val="009F0F1D"/>
    <w:rsid w:val="00A57A2C"/>
    <w:rsid w:val="00C71A89"/>
    <w:rsid w:val="00CC0E4B"/>
    <w:rsid w:val="00CC447D"/>
    <w:rsid w:val="00D639A9"/>
    <w:rsid w:val="00DE4428"/>
    <w:rsid w:val="00E0481C"/>
    <w:rsid w:val="00EB261A"/>
    <w:rsid w:val="00F42590"/>
    <w:rsid w:val="00FD1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3C9BAE-1CA4-974C-9EBF-8983ED7AA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0E7"/>
    <w:pPr>
      <w:spacing w:after="120" w:line="360" w:lineRule="auto"/>
    </w:pPr>
    <w:rPr>
      <w:rFonts w:ascii="Times New Roman" w:hAnsi="Times New Roman"/>
      <w:szCs w:val="22"/>
      <w:lang w:val="en-US"/>
    </w:rPr>
  </w:style>
  <w:style w:type="paragraph" w:styleId="Heading1">
    <w:name w:val="heading 1"/>
    <w:basedOn w:val="Normal"/>
    <w:next w:val="Normal"/>
    <w:link w:val="Heading1Char"/>
    <w:uiPriority w:val="9"/>
    <w:qFormat/>
    <w:rsid w:val="004170E7"/>
    <w:pPr>
      <w:keepNext/>
      <w:keepLines/>
      <w:numPr>
        <w:numId w:val="18"/>
      </w:numPr>
      <w:spacing w:before="240" w:line="240" w:lineRule="auto"/>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4170E7"/>
    <w:pPr>
      <w:keepNext/>
      <w:keepLines/>
      <w:numPr>
        <w:ilvl w:val="1"/>
        <w:numId w:val="18"/>
      </w:numPr>
      <w:spacing w:before="240" w:after="240" w:line="240" w:lineRule="auto"/>
      <w:ind w:left="0" w:firstLine="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4170E7"/>
    <w:pPr>
      <w:keepNext/>
      <w:keepLines/>
      <w:numPr>
        <w:ilvl w:val="2"/>
        <w:numId w:val="18"/>
      </w:numPr>
      <w:spacing w:before="240" w:line="24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4170E7"/>
    <w:pPr>
      <w:keepNext/>
      <w:keepLines/>
      <w:numPr>
        <w:ilvl w:val="3"/>
        <w:numId w:val="18"/>
      </w:numPr>
      <w:spacing w:before="40" w:after="0"/>
      <w:ind w:left="90" w:hanging="9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4170E7"/>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70E7"/>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170E7"/>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170E7"/>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70E7"/>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0E7"/>
    <w:rPr>
      <w:rFonts w:ascii="Times New Roman" w:eastAsiaTheme="majorEastAsia" w:hAnsi="Times New Roman" w:cstheme="majorBidi"/>
      <w:b/>
      <w:color w:val="000000" w:themeColor="text1"/>
      <w:sz w:val="32"/>
      <w:szCs w:val="32"/>
      <w:lang w:val="en-US"/>
    </w:rPr>
  </w:style>
  <w:style w:type="character" w:customStyle="1" w:styleId="Heading2Char">
    <w:name w:val="Heading 2 Char"/>
    <w:basedOn w:val="DefaultParagraphFont"/>
    <w:link w:val="Heading2"/>
    <w:uiPriority w:val="9"/>
    <w:rsid w:val="004170E7"/>
    <w:rPr>
      <w:rFonts w:ascii="Times New Roman" w:eastAsiaTheme="majorEastAsia" w:hAnsi="Times New Roman" w:cstheme="majorBidi"/>
      <w:b/>
      <w:color w:val="000000" w:themeColor="text1"/>
      <w:sz w:val="28"/>
      <w:szCs w:val="26"/>
      <w:lang w:val="en-US"/>
    </w:rPr>
  </w:style>
  <w:style w:type="character" w:customStyle="1" w:styleId="Heading3Char">
    <w:name w:val="Heading 3 Char"/>
    <w:basedOn w:val="DefaultParagraphFont"/>
    <w:link w:val="Heading3"/>
    <w:uiPriority w:val="9"/>
    <w:rsid w:val="004170E7"/>
    <w:rPr>
      <w:rFonts w:ascii="Times New Roman" w:eastAsiaTheme="majorEastAsia" w:hAnsi="Times New Roman" w:cstheme="majorBidi"/>
      <w:b/>
      <w:color w:val="000000" w:themeColor="text1"/>
      <w:lang w:val="en-US"/>
    </w:rPr>
  </w:style>
  <w:style w:type="character" w:customStyle="1" w:styleId="Heading4Char">
    <w:name w:val="Heading 4 Char"/>
    <w:basedOn w:val="DefaultParagraphFont"/>
    <w:link w:val="Heading4"/>
    <w:uiPriority w:val="9"/>
    <w:rsid w:val="004170E7"/>
    <w:rPr>
      <w:rFonts w:ascii="Times New Roman" w:eastAsiaTheme="majorEastAsia" w:hAnsi="Times New Roman" w:cstheme="majorBidi"/>
      <w:i/>
      <w:iCs/>
      <w:szCs w:val="22"/>
      <w:lang w:val="en-US"/>
    </w:rPr>
  </w:style>
  <w:style w:type="character" w:customStyle="1" w:styleId="Heading5Char">
    <w:name w:val="Heading 5 Char"/>
    <w:basedOn w:val="DefaultParagraphFont"/>
    <w:link w:val="Heading5"/>
    <w:uiPriority w:val="9"/>
    <w:semiHidden/>
    <w:rsid w:val="004170E7"/>
    <w:rPr>
      <w:rFonts w:asciiTheme="majorHAnsi" w:eastAsiaTheme="majorEastAsia" w:hAnsiTheme="majorHAnsi" w:cstheme="majorBidi"/>
      <w:color w:val="2F5496" w:themeColor="accent1" w:themeShade="BF"/>
      <w:szCs w:val="22"/>
      <w:lang w:val="en-US"/>
    </w:rPr>
  </w:style>
  <w:style w:type="character" w:customStyle="1" w:styleId="Heading6Char">
    <w:name w:val="Heading 6 Char"/>
    <w:basedOn w:val="DefaultParagraphFont"/>
    <w:link w:val="Heading6"/>
    <w:uiPriority w:val="9"/>
    <w:semiHidden/>
    <w:rsid w:val="004170E7"/>
    <w:rPr>
      <w:rFonts w:asciiTheme="majorHAnsi" w:eastAsiaTheme="majorEastAsia" w:hAnsiTheme="majorHAnsi" w:cstheme="majorBidi"/>
      <w:color w:val="1F3763" w:themeColor="accent1" w:themeShade="7F"/>
      <w:szCs w:val="22"/>
      <w:lang w:val="en-US"/>
    </w:rPr>
  </w:style>
  <w:style w:type="character" w:customStyle="1" w:styleId="Heading7Char">
    <w:name w:val="Heading 7 Char"/>
    <w:basedOn w:val="DefaultParagraphFont"/>
    <w:link w:val="Heading7"/>
    <w:uiPriority w:val="9"/>
    <w:semiHidden/>
    <w:rsid w:val="004170E7"/>
    <w:rPr>
      <w:rFonts w:asciiTheme="majorHAnsi" w:eastAsiaTheme="majorEastAsia" w:hAnsiTheme="majorHAnsi" w:cstheme="majorBidi"/>
      <w:i/>
      <w:iCs/>
      <w:color w:val="1F3763" w:themeColor="accent1" w:themeShade="7F"/>
      <w:szCs w:val="22"/>
      <w:lang w:val="en-US"/>
    </w:rPr>
  </w:style>
  <w:style w:type="character" w:customStyle="1" w:styleId="Heading8Char">
    <w:name w:val="Heading 8 Char"/>
    <w:basedOn w:val="DefaultParagraphFont"/>
    <w:link w:val="Heading8"/>
    <w:uiPriority w:val="9"/>
    <w:semiHidden/>
    <w:rsid w:val="004170E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170E7"/>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rsid w:val="004170E7"/>
    <w:pPr>
      <w:spacing w:after="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4170E7"/>
    <w:rPr>
      <w:rFonts w:ascii="Times New Roman" w:eastAsiaTheme="majorEastAsia" w:hAnsi="Times New Roman" w:cstheme="majorBidi"/>
      <w:spacing w:val="-10"/>
      <w:kern w:val="28"/>
      <w:sz w:val="36"/>
      <w:szCs w:val="56"/>
      <w:lang w:val="en-US"/>
    </w:rPr>
  </w:style>
  <w:style w:type="paragraph" w:styleId="Subtitle">
    <w:name w:val="Subtitle"/>
    <w:basedOn w:val="Normal"/>
    <w:next w:val="Normal"/>
    <w:link w:val="SubtitleChar"/>
    <w:uiPriority w:val="11"/>
    <w:qFormat/>
    <w:rsid w:val="004170E7"/>
    <w:pPr>
      <w:numPr>
        <w:ilvl w:val="1"/>
      </w:numPr>
      <w:spacing w:after="160"/>
    </w:pPr>
    <w:rPr>
      <w:rFonts w:eastAsiaTheme="minorEastAsia"/>
      <w:spacing w:val="15"/>
      <w:sz w:val="22"/>
    </w:rPr>
  </w:style>
  <w:style w:type="character" w:customStyle="1" w:styleId="SubtitleChar">
    <w:name w:val="Subtitle Char"/>
    <w:basedOn w:val="DefaultParagraphFont"/>
    <w:link w:val="Subtitle"/>
    <w:uiPriority w:val="11"/>
    <w:rsid w:val="004170E7"/>
    <w:rPr>
      <w:rFonts w:ascii="Times New Roman" w:eastAsiaTheme="minorEastAsia" w:hAnsi="Times New Roman"/>
      <w:spacing w:val="15"/>
      <w:sz w:val="22"/>
      <w:szCs w:val="22"/>
      <w:lang w:val="en-US"/>
    </w:rPr>
  </w:style>
  <w:style w:type="character" w:styleId="SubtleEmphasis">
    <w:name w:val="Subtle Emphasis"/>
    <w:basedOn w:val="DefaultParagraphFont"/>
    <w:uiPriority w:val="19"/>
    <w:qFormat/>
    <w:rsid w:val="004170E7"/>
    <w:rPr>
      <w:i/>
      <w:iCs/>
      <w:color w:val="404040" w:themeColor="text1" w:themeTint="BF"/>
    </w:rPr>
  </w:style>
  <w:style w:type="character" w:styleId="Emphasis">
    <w:name w:val="Emphasis"/>
    <w:basedOn w:val="DefaultParagraphFont"/>
    <w:uiPriority w:val="20"/>
    <w:qFormat/>
    <w:rsid w:val="004170E7"/>
    <w:rPr>
      <w:i/>
      <w:iCs/>
    </w:rPr>
  </w:style>
  <w:style w:type="character" w:styleId="Hyperlink">
    <w:name w:val="Hyperlink"/>
    <w:basedOn w:val="DefaultParagraphFont"/>
    <w:uiPriority w:val="99"/>
    <w:unhideWhenUsed/>
    <w:rsid w:val="004170E7"/>
    <w:rPr>
      <w:color w:val="0563C1" w:themeColor="hyperlink"/>
      <w:u w:val="single"/>
    </w:rPr>
  </w:style>
  <w:style w:type="paragraph" w:styleId="Header">
    <w:name w:val="header"/>
    <w:basedOn w:val="Normal"/>
    <w:link w:val="HeaderChar"/>
    <w:uiPriority w:val="99"/>
    <w:unhideWhenUsed/>
    <w:rsid w:val="00417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0E7"/>
    <w:rPr>
      <w:rFonts w:ascii="Times New Roman" w:hAnsi="Times New Roman"/>
      <w:szCs w:val="22"/>
      <w:lang w:val="en-US"/>
    </w:rPr>
  </w:style>
  <w:style w:type="paragraph" w:styleId="Footer">
    <w:name w:val="footer"/>
    <w:basedOn w:val="Normal"/>
    <w:link w:val="FooterChar"/>
    <w:uiPriority w:val="99"/>
    <w:unhideWhenUsed/>
    <w:rsid w:val="00417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0E7"/>
    <w:rPr>
      <w:rFonts w:ascii="Times New Roman" w:hAnsi="Times New Roman"/>
      <w:szCs w:val="22"/>
      <w:lang w:val="en-US"/>
    </w:rPr>
  </w:style>
  <w:style w:type="paragraph" w:styleId="TOCHeading">
    <w:name w:val="TOC Heading"/>
    <w:basedOn w:val="Heading1"/>
    <w:next w:val="Normal"/>
    <w:uiPriority w:val="39"/>
    <w:unhideWhenUsed/>
    <w:qFormat/>
    <w:rsid w:val="004170E7"/>
    <w:pPr>
      <w:spacing w:after="0"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4170E7"/>
    <w:pPr>
      <w:spacing w:after="100"/>
    </w:pPr>
  </w:style>
  <w:style w:type="paragraph" w:styleId="TOC2">
    <w:name w:val="toc 2"/>
    <w:basedOn w:val="Normal"/>
    <w:next w:val="Normal"/>
    <w:autoRedefine/>
    <w:uiPriority w:val="39"/>
    <w:unhideWhenUsed/>
    <w:rsid w:val="004170E7"/>
    <w:pPr>
      <w:spacing w:after="100"/>
      <w:ind w:left="240"/>
    </w:pPr>
  </w:style>
  <w:style w:type="paragraph" w:styleId="ListParagraph">
    <w:name w:val="List Paragraph"/>
    <w:basedOn w:val="Normal"/>
    <w:uiPriority w:val="34"/>
    <w:qFormat/>
    <w:rsid w:val="004170E7"/>
    <w:pPr>
      <w:ind w:left="720"/>
      <w:contextualSpacing/>
    </w:pPr>
  </w:style>
  <w:style w:type="paragraph" w:styleId="Bibliography">
    <w:name w:val="Bibliography"/>
    <w:basedOn w:val="Normal"/>
    <w:next w:val="Normal"/>
    <w:uiPriority w:val="37"/>
    <w:unhideWhenUsed/>
    <w:rsid w:val="004170E7"/>
    <w:pPr>
      <w:spacing w:after="0" w:line="480" w:lineRule="auto"/>
      <w:ind w:left="720" w:hanging="720"/>
    </w:pPr>
  </w:style>
  <w:style w:type="character" w:styleId="PlaceholderText">
    <w:name w:val="Placeholder Text"/>
    <w:basedOn w:val="DefaultParagraphFont"/>
    <w:uiPriority w:val="99"/>
    <w:semiHidden/>
    <w:rsid w:val="004170E7"/>
    <w:rPr>
      <w:color w:val="808080"/>
    </w:rPr>
  </w:style>
  <w:style w:type="paragraph" w:styleId="TOC3">
    <w:name w:val="toc 3"/>
    <w:basedOn w:val="Normal"/>
    <w:next w:val="Normal"/>
    <w:autoRedefine/>
    <w:uiPriority w:val="39"/>
    <w:unhideWhenUsed/>
    <w:rsid w:val="004170E7"/>
    <w:pPr>
      <w:spacing w:after="100"/>
      <w:ind w:left="480"/>
    </w:pPr>
  </w:style>
  <w:style w:type="character" w:styleId="CommentReference">
    <w:name w:val="annotation reference"/>
    <w:basedOn w:val="DefaultParagraphFont"/>
    <w:uiPriority w:val="99"/>
    <w:semiHidden/>
    <w:unhideWhenUsed/>
    <w:rsid w:val="004170E7"/>
    <w:rPr>
      <w:sz w:val="16"/>
      <w:szCs w:val="16"/>
    </w:rPr>
  </w:style>
  <w:style w:type="paragraph" w:styleId="CommentText">
    <w:name w:val="annotation text"/>
    <w:basedOn w:val="Normal"/>
    <w:link w:val="CommentTextChar"/>
    <w:uiPriority w:val="99"/>
    <w:semiHidden/>
    <w:unhideWhenUsed/>
    <w:rsid w:val="004170E7"/>
    <w:pPr>
      <w:spacing w:line="240" w:lineRule="auto"/>
    </w:pPr>
    <w:rPr>
      <w:sz w:val="20"/>
      <w:szCs w:val="20"/>
    </w:rPr>
  </w:style>
  <w:style w:type="character" w:customStyle="1" w:styleId="CommentTextChar">
    <w:name w:val="Comment Text Char"/>
    <w:basedOn w:val="DefaultParagraphFont"/>
    <w:link w:val="CommentText"/>
    <w:uiPriority w:val="99"/>
    <w:semiHidden/>
    <w:rsid w:val="004170E7"/>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4170E7"/>
    <w:rPr>
      <w:b/>
      <w:bCs/>
    </w:rPr>
  </w:style>
  <w:style w:type="character" w:customStyle="1" w:styleId="CommentSubjectChar">
    <w:name w:val="Comment Subject Char"/>
    <w:basedOn w:val="CommentTextChar"/>
    <w:link w:val="CommentSubject"/>
    <w:uiPriority w:val="99"/>
    <w:semiHidden/>
    <w:rsid w:val="004170E7"/>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4170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0E7"/>
    <w:rPr>
      <w:rFonts w:ascii="Segoe UI" w:hAnsi="Segoe UI" w:cs="Segoe UI"/>
      <w:sz w:val="18"/>
      <w:szCs w:val="18"/>
      <w:lang w:val="en-US"/>
    </w:rPr>
  </w:style>
  <w:style w:type="paragraph" w:styleId="Caption">
    <w:name w:val="caption"/>
    <w:basedOn w:val="Normal"/>
    <w:next w:val="Normal"/>
    <w:uiPriority w:val="35"/>
    <w:unhideWhenUsed/>
    <w:qFormat/>
    <w:rsid w:val="004170E7"/>
    <w:pPr>
      <w:spacing w:after="200" w:line="240" w:lineRule="auto"/>
    </w:pPr>
    <w:rPr>
      <w:iCs/>
      <w:szCs w:val="18"/>
    </w:rPr>
  </w:style>
  <w:style w:type="table" w:styleId="TableGrid">
    <w:name w:val="Table Grid"/>
    <w:basedOn w:val="TableNormal"/>
    <w:uiPriority w:val="39"/>
    <w:rsid w:val="004170E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70E7"/>
    <w:rPr>
      <w:rFonts w:ascii="Times New Roman" w:hAnsi="Times New Roman"/>
      <w:szCs w:val="22"/>
      <w:lang w:val="en-US"/>
    </w:rPr>
  </w:style>
  <w:style w:type="paragraph" w:styleId="TableofFigures">
    <w:name w:val="table of figures"/>
    <w:basedOn w:val="Normal"/>
    <w:next w:val="Normal"/>
    <w:uiPriority w:val="99"/>
    <w:unhideWhenUsed/>
    <w:rsid w:val="004170E7"/>
    <w:pPr>
      <w:spacing w:after="0"/>
    </w:pPr>
  </w:style>
  <w:style w:type="paragraph" w:styleId="HTMLPreformatted">
    <w:name w:val="HTML Preformatted"/>
    <w:basedOn w:val="Normal"/>
    <w:link w:val="HTMLPreformattedChar"/>
    <w:uiPriority w:val="99"/>
    <w:semiHidden/>
    <w:unhideWhenUsed/>
    <w:rsid w:val="004170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70E7"/>
    <w:rPr>
      <w:rFonts w:ascii="Consolas" w:hAnsi="Consolas"/>
      <w:sz w:val="20"/>
      <w:szCs w:val="20"/>
      <w:lang w:val="en-US"/>
    </w:rPr>
  </w:style>
  <w:style w:type="character" w:styleId="FollowedHyperlink">
    <w:name w:val="FollowedHyperlink"/>
    <w:basedOn w:val="DefaultParagraphFont"/>
    <w:uiPriority w:val="99"/>
    <w:semiHidden/>
    <w:unhideWhenUsed/>
    <w:rsid w:val="004170E7"/>
    <w:rPr>
      <w:color w:val="954F72" w:themeColor="followedHyperlink"/>
      <w:u w:val="single"/>
    </w:rPr>
  </w:style>
  <w:style w:type="character" w:styleId="UnresolvedMention">
    <w:name w:val="Unresolved Mention"/>
    <w:basedOn w:val="DefaultParagraphFont"/>
    <w:uiPriority w:val="99"/>
    <w:semiHidden/>
    <w:unhideWhenUsed/>
    <w:rsid w:val="00417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26</Pages>
  <Words>12580</Words>
  <Characters>71712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Prince</dc:creator>
  <cp:keywords/>
  <dc:description/>
  <cp:lastModifiedBy>Microsoft Office User</cp:lastModifiedBy>
  <cp:revision>10</cp:revision>
  <dcterms:created xsi:type="dcterms:W3CDTF">2023-10-08T03:52:00Z</dcterms:created>
  <dcterms:modified xsi:type="dcterms:W3CDTF">2025-09-17T00:22:00Z</dcterms:modified>
</cp:coreProperties>
</file>