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314D" w14:textId="1AAE0CE7" w:rsidR="00F76A75" w:rsidRPr="00522702" w:rsidRDefault="00522702" w:rsidP="00522702">
      <w:pPr>
        <w:pStyle w:val="NormalWeb"/>
        <w:ind w:hanging="851"/>
        <w:jc w:val="center"/>
        <w:rPr>
          <w:rFonts w:eastAsia="Arial"/>
          <w:b/>
          <w:iCs/>
          <w:sz w:val="28"/>
          <w:szCs w:val="28"/>
          <w:lang w:val="en-US"/>
        </w:rPr>
      </w:pPr>
      <w:r w:rsidRPr="00522702">
        <w:rPr>
          <w:rFonts w:eastAsia="Arial"/>
          <w:b/>
          <w:iCs/>
          <w:sz w:val="28"/>
          <w:szCs w:val="28"/>
          <w:lang w:val="en-US"/>
        </w:rPr>
        <w:t>Supplemen</w:t>
      </w:r>
      <w:r w:rsidR="006E240A">
        <w:rPr>
          <w:rFonts w:eastAsia="Arial"/>
          <w:b/>
          <w:iCs/>
          <w:sz w:val="28"/>
          <w:szCs w:val="28"/>
          <w:lang w:val="en-US"/>
        </w:rPr>
        <w:t>t</w:t>
      </w:r>
      <w:r w:rsidR="00D654DC">
        <w:rPr>
          <w:rFonts w:eastAsia="Arial"/>
          <w:b/>
          <w:iCs/>
          <w:sz w:val="28"/>
          <w:szCs w:val="28"/>
          <w:lang w:val="en-US"/>
        </w:rPr>
        <w:fldChar w:fldCharType="begin"/>
      </w:r>
      <w:r w:rsidR="00D654DC">
        <w:rPr>
          <w:rFonts w:eastAsia="Arial"/>
          <w:b/>
          <w:iCs/>
          <w:sz w:val="28"/>
          <w:szCs w:val="28"/>
          <w:lang w:val="en-US"/>
        </w:rPr>
        <w:instrText xml:space="preserve"> ADDIN EN.CITE &lt;EndNote&gt;&lt;Cite&gt;&lt;Author&gt;Ferri&lt;/Author&gt;&lt;Year&gt;2010&lt;/Year&gt;&lt;RecNum&gt;31&lt;/RecNum&gt;&lt;DisplayText&gt;[1]&lt;/DisplayText&gt;&lt;record&gt;&lt;rec-number&gt;31&lt;/rec-number&gt;&lt;foreign-keys&gt;&lt;key app="EN" db-id="5ddrzfpwad5arxeetflvffvcsdxwvz2vve0d" timestamp="1757342895"&gt;31&lt;/key&gt;&lt;/foreign-keys&gt;&lt;ref-type name="Journal Article"&gt;17&lt;/ref-type&gt;&lt;contributors&gt;&lt;authors&gt;&lt;author&gt;Ferri, R.&lt;/author&gt;&lt;author&gt;Rundo, F.&lt;/author&gt;&lt;author&gt;Manconi, M.&lt;/author&gt;&lt;author&gt;Plazzi, G.&lt;/author&gt;&lt;author&gt;Bruni, O.&lt;/author&gt;&lt;author&gt;Oldani, A.&lt;/author&gt;&lt;author&gt;Ferini-Strambi, L.&lt;/author&gt;&lt;author&gt;Zucconi, M.&lt;/author&gt;&lt;/authors&gt;&lt;/contributors&gt;&lt;auth-address&gt;Sleep Research Centre, Department of Neurology I.C., Oasi Institute for Research on Mental Retardation and Brain Aging (IRCCS), Via C. Ruggero 73, Troina, Italy. rferri@oasi.en.it&lt;/auth-address&gt;&lt;titles&gt;&lt;title&gt;Improved computation of the atonia index in normal controls and patients with REM sleep behavior disorder&lt;/title&gt;&lt;secondary-title&gt;Sleep Med&lt;/secondary-title&gt;&lt;/titles&gt;&lt;periodical&gt;&lt;full-title&gt;Sleep Med&lt;/full-title&gt;&lt;abbr-1&gt;Sleep medicine&lt;/abbr-1&gt;&lt;/periodical&gt;&lt;pages&gt;947-9&lt;/pages&gt;&lt;volume&gt;11&lt;/volume&gt;&lt;number&gt;9&lt;/number&gt;&lt;keywords&gt;&lt;keyword&gt;Adult&lt;/keyword&gt;&lt;keyword&gt;Age Factors&lt;/keyword&gt;&lt;keyword&gt;Aged&lt;/keyword&gt;&lt;keyword&gt;Case-Control Studies&lt;/keyword&gt;&lt;keyword&gt;Chin&lt;/keyword&gt;&lt;keyword&gt;*Electromyography/standards&lt;/keyword&gt;&lt;keyword&gt;Facial Muscles/physiology/physiopathology&lt;/keyword&gt;&lt;keyword&gt;Female&lt;/keyword&gt;&lt;keyword&gt;Humans&lt;/keyword&gt;&lt;keyword&gt;Male&lt;/keyword&gt;&lt;keyword&gt;Middle Aged&lt;/keyword&gt;&lt;keyword&gt;REM Sleep Behavior Disorder/diagnosis/*physiopathology&lt;/keyword&gt;&lt;keyword&gt;Sleep/physiology&lt;/keyword&gt;&lt;keyword&gt;Sleep, REM/physiology&lt;/keyword&gt;&lt;/keywords&gt;&lt;dates&gt;&lt;year&gt;2010&lt;/year&gt;&lt;pub-dates&gt;&lt;date&gt;Oct&lt;/date&gt;&lt;/pub-dates&gt;&lt;/dates&gt;&lt;isbn&gt;1878-5506 (Electronic)&amp;#xD;1389-9457 (Linking)&lt;/isbn&gt;&lt;accession-num&gt;20817596&lt;/accession-num&gt;&lt;urls&gt;&lt;related-urls&gt;&lt;url&gt;https://www.ncbi.nlm.nih.gov/pubmed/20817596&lt;/url&gt;&lt;/related-urls&gt;&lt;/urls&gt;&lt;electronic-resource-num&gt;10.1016/j.sleep.2010.06.003&lt;/electronic-resource-num&gt;&lt;/record&gt;&lt;/Cite&gt;&lt;/EndNote&gt;</w:instrText>
      </w:r>
      <w:r w:rsidR="00D654DC">
        <w:rPr>
          <w:rFonts w:eastAsia="Arial"/>
          <w:b/>
          <w:iCs/>
          <w:sz w:val="28"/>
          <w:szCs w:val="28"/>
          <w:lang w:val="en-US"/>
        </w:rPr>
        <w:fldChar w:fldCharType="separate"/>
      </w:r>
      <w:r w:rsidR="00D654DC">
        <w:rPr>
          <w:rFonts w:eastAsia="Arial"/>
          <w:b/>
          <w:iCs/>
          <w:noProof/>
          <w:sz w:val="28"/>
          <w:szCs w:val="28"/>
          <w:lang w:val="en-US"/>
        </w:rPr>
        <w:t>[1]</w:t>
      </w:r>
      <w:r w:rsidR="00D654DC">
        <w:rPr>
          <w:rFonts w:eastAsia="Arial"/>
          <w:b/>
          <w:iCs/>
          <w:sz w:val="28"/>
          <w:szCs w:val="28"/>
          <w:lang w:val="en-US"/>
        </w:rPr>
        <w:fldChar w:fldCharType="end"/>
      </w:r>
    </w:p>
    <w:p w14:paraId="78654071" w14:textId="77777777" w:rsidR="00660C3E" w:rsidRDefault="00660C3E" w:rsidP="00660C3E">
      <w:pPr>
        <w:pStyle w:val="NormalWeb"/>
        <w:ind w:hanging="709"/>
        <w:rPr>
          <w:rStyle w:val="Strong"/>
          <w:rFonts w:eastAsiaTheme="majorEastAsia"/>
          <w:sz w:val="18"/>
          <w:szCs w:val="18"/>
        </w:rPr>
      </w:pPr>
    </w:p>
    <w:p w14:paraId="00466EE4" w14:textId="61E8C6DF" w:rsidR="00660C3E" w:rsidRPr="00660C3E" w:rsidRDefault="00660C3E" w:rsidP="00660C3E">
      <w:pPr>
        <w:pStyle w:val="NormalWeb"/>
        <w:ind w:hanging="709"/>
        <w:rPr>
          <w:b/>
          <w:bCs/>
          <w:sz w:val="18"/>
          <w:szCs w:val="18"/>
        </w:rPr>
      </w:pPr>
      <w:r w:rsidRPr="00660C3E">
        <w:rPr>
          <w:rStyle w:val="Strong"/>
          <w:rFonts w:eastAsiaTheme="majorEastAsia"/>
          <w:sz w:val="18"/>
          <w:szCs w:val="18"/>
        </w:rPr>
        <w:t>Table S</w:t>
      </w:r>
      <w:r w:rsidR="00416FBB">
        <w:rPr>
          <w:rStyle w:val="Strong"/>
          <w:rFonts w:eastAsiaTheme="majorEastAsia"/>
          <w:sz w:val="18"/>
          <w:szCs w:val="18"/>
        </w:rPr>
        <w:t>1</w:t>
      </w:r>
      <w:r w:rsidRPr="00660C3E">
        <w:rPr>
          <w:rStyle w:val="Strong"/>
          <w:rFonts w:eastAsiaTheme="majorEastAsia"/>
          <w:sz w:val="18"/>
          <w:szCs w:val="18"/>
        </w:rPr>
        <w:t xml:space="preserve">. </w:t>
      </w:r>
      <w:r w:rsidRPr="00660C3E">
        <w:rPr>
          <w:rStyle w:val="Strong"/>
          <w:rFonts w:eastAsiaTheme="majorEastAsia"/>
          <w:b w:val="0"/>
          <w:bCs w:val="0"/>
          <w:sz w:val="18"/>
          <w:szCs w:val="18"/>
        </w:rPr>
        <w:t>Multiple Sleep Latency Test (MSLT) findings at baseline assessment.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694"/>
        <w:gridCol w:w="1276"/>
        <w:gridCol w:w="1275"/>
        <w:gridCol w:w="1276"/>
        <w:gridCol w:w="1418"/>
        <w:gridCol w:w="1417"/>
      </w:tblGrid>
      <w:tr w:rsidR="00660C3E" w:rsidRPr="00660C3E" w14:paraId="4CA33E75" w14:textId="77777777" w:rsidTr="00745DBE">
        <w:tc>
          <w:tcPr>
            <w:tcW w:w="2694" w:type="dxa"/>
          </w:tcPr>
          <w:p w14:paraId="2918BECD" w14:textId="77777777" w:rsidR="00660C3E" w:rsidRPr="00660C3E" w:rsidRDefault="00660C3E" w:rsidP="00745D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5C8B20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Nap 1</w:t>
            </w:r>
          </w:p>
        </w:tc>
        <w:tc>
          <w:tcPr>
            <w:tcW w:w="1275" w:type="dxa"/>
          </w:tcPr>
          <w:p w14:paraId="3A522BE2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Nap 2</w:t>
            </w:r>
          </w:p>
        </w:tc>
        <w:tc>
          <w:tcPr>
            <w:tcW w:w="1276" w:type="dxa"/>
          </w:tcPr>
          <w:p w14:paraId="7D6A4E18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Nap 3</w:t>
            </w:r>
          </w:p>
        </w:tc>
        <w:tc>
          <w:tcPr>
            <w:tcW w:w="1418" w:type="dxa"/>
          </w:tcPr>
          <w:p w14:paraId="7242FC7B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Nap 4</w:t>
            </w:r>
          </w:p>
        </w:tc>
        <w:tc>
          <w:tcPr>
            <w:tcW w:w="1417" w:type="dxa"/>
          </w:tcPr>
          <w:p w14:paraId="0EDCEE00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Average</w:t>
            </w:r>
          </w:p>
        </w:tc>
      </w:tr>
      <w:tr w:rsidR="00660C3E" w:rsidRPr="00660C3E" w14:paraId="5D445CF5" w14:textId="77777777" w:rsidTr="00745DBE">
        <w:tc>
          <w:tcPr>
            <w:tcW w:w="2694" w:type="dxa"/>
          </w:tcPr>
          <w:p w14:paraId="2D9FDAC8" w14:textId="77777777" w:rsidR="00660C3E" w:rsidRPr="00660C3E" w:rsidRDefault="00660C3E" w:rsidP="00745D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Lights Off</w:t>
            </w:r>
          </w:p>
        </w:tc>
        <w:tc>
          <w:tcPr>
            <w:tcW w:w="1276" w:type="dxa"/>
          </w:tcPr>
          <w:p w14:paraId="6899010C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08:31:44 AM</w:t>
            </w:r>
          </w:p>
        </w:tc>
        <w:tc>
          <w:tcPr>
            <w:tcW w:w="1275" w:type="dxa"/>
          </w:tcPr>
          <w:p w14:paraId="50CA13C2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10:29:43 AM</w:t>
            </w:r>
          </w:p>
        </w:tc>
        <w:tc>
          <w:tcPr>
            <w:tcW w:w="1276" w:type="dxa"/>
          </w:tcPr>
          <w:p w14:paraId="7364D09E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12:32:44 PM</w:t>
            </w:r>
          </w:p>
        </w:tc>
        <w:tc>
          <w:tcPr>
            <w:tcW w:w="1418" w:type="dxa"/>
          </w:tcPr>
          <w:p w14:paraId="7DA420C0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02:30:44 PM</w:t>
            </w:r>
          </w:p>
        </w:tc>
        <w:tc>
          <w:tcPr>
            <w:tcW w:w="1417" w:type="dxa"/>
          </w:tcPr>
          <w:p w14:paraId="1C896069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0C3E" w:rsidRPr="00660C3E" w14:paraId="0C8302C4" w14:textId="77777777" w:rsidTr="00745DBE">
        <w:tc>
          <w:tcPr>
            <w:tcW w:w="2694" w:type="dxa"/>
          </w:tcPr>
          <w:p w14:paraId="22AF016A" w14:textId="77777777" w:rsidR="00660C3E" w:rsidRPr="00660C3E" w:rsidRDefault="00660C3E" w:rsidP="00745D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Lights On</w:t>
            </w:r>
          </w:p>
        </w:tc>
        <w:tc>
          <w:tcPr>
            <w:tcW w:w="1276" w:type="dxa"/>
          </w:tcPr>
          <w:p w14:paraId="2ED61441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08:51:43 AM</w:t>
            </w:r>
          </w:p>
        </w:tc>
        <w:tc>
          <w:tcPr>
            <w:tcW w:w="1275" w:type="dxa"/>
          </w:tcPr>
          <w:p w14:paraId="65D3C5CC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10:51:13 AM</w:t>
            </w:r>
          </w:p>
        </w:tc>
        <w:tc>
          <w:tcPr>
            <w:tcW w:w="1276" w:type="dxa"/>
          </w:tcPr>
          <w:p w14:paraId="08580831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12:53:13 PM</w:t>
            </w:r>
          </w:p>
        </w:tc>
        <w:tc>
          <w:tcPr>
            <w:tcW w:w="1418" w:type="dxa"/>
          </w:tcPr>
          <w:p w14:paraId="343EF48D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02:51:13 PM</w:t>
            </w:r>
          </w:p>
        </w:tc>
        <w:tc>
          <w:tcPr>
            <w:tcW w:w="1417" w:type="dxa"/>
          </w:tcPr>
          <w:p w14:paraId="6E389A44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0C3E" w:rsidRPr="00660C3E" w14:paraId="2B32DA6D" w14:textId="77777777" w:rsidTr="00745DBE">
        <w:tc>
          <w:tcPr>
            <w:tcW w:w="2694" w:type="dxa"/>
          </w:tcPr>
          <w:p w14:paraId="190DC770" w14:textId="77777777" w:rsidR="00660C3E" w:rsidRPr="00660C3E" w:rsidRDefault="00660C3E" w:rsidP="00745D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Time In Bed</w:t>
            </w:r>
          </w:p>
        </w:tc>
        <w:tc>
          <w:tcPr>
            <w:tcW w:w="1276" w:type="dxa"/>
          </w:tcPr>
          <w:p w14:paraId="40A8C9F0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20.0</w:t>
            </w:r>
          </w:p>
        </w:tc>
        <w:tc>
          <w:tcPr>
            <w:tcW w:w="1275" w:type="dxa"/>
          </w:tcPr>
          <w:p w14:paraId="2657C326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21.5</w:t>
            </w:r>
          </w:p>
        </w:tc>
        <w:tc>
          <w:tcPr>
            <w:tcW w:w="1276" w:type="dxa"/>
          </w:tcPr>
          <w:p w14:paraId="0FE63CCF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20.5</w:t>
            </w:r>
          </w:p>
        </w:tc>
        <w:tc>
          <w:tcPr>
            <w:tcW w:w="1418" w:type="dxa"/>
          </w:tcPr>
          <w:p w14:paraId="0EB786ED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20.5</w:t>
            </w:r>
          </w:p>
        </w:tc>
        <w:tc>
          <w:tcPr>
            <w:tcW w:w="1417" w:type="dxa"/>
          </w:tcPr>
          <w:p w14:paraId="31BFEEA4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20.6</w:t>
            </w:r>
          </w:p>
        </w:tc>
      </w:tr>
      <w:tr w:rsidR="00660C3E" w:rsidRPr="00660C3E" w14:paraId="4271CB69" w14:textId="77777777" w:rsidTr="00745DBE">
        <w:tc>
          <w:tcPr>
            <w:tcW w:w="2694" w:type="dxa"/>
          </w:tcPr>
          <w:p w14:paraId="58F26110" w14:textId="77777777" w:rsidR="00660C3E" w:rsidRPr="00660C3E" w:rsidRDefault="00660C3E" w:rsidP="00745D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Sleep Time</w:t>
            </w:r>
          </w:p>
        </w:tc>
        <w:tc>
          <w:tcPr>
            <w:tcW w:w="1276" w:type="dxa"/>
          </w:tcPr>
          <w:p w14:paraId="65827801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942AC5B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15.0</w:t>
            </w:r>
          </w:p>
        </w:tc>
        <w:tc>
          <w:tcPr>
            <w:tcW w:w="1276" w:type="dxa"/>
          </w:tcPr>
          <w:p w14:paraId="6DDB11C5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845B64B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56F1B28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3.8</w:t>
            </w:r>
          </w:p>
        </w:tc>
      </w:tr>
      <w:tr w:rsidR="00660C3E" w:rsidRPr="00660C3E" w14:paraId="4EDD2136" w14:textId="77777777" w:rsidTr="00745DBE">
        <w:tc>
          <w:tcPr>
            <w:tcW w:w="2694" w:type="dxa"/>
          </w:tcPr>
          <w:p w14:paraId="22955AFB" w14:textId="77777777" w:rsidR="00660C3E" w:rsidRPr="00660C3E" w:rsidRDefault="00660C3E" w:rsidP="00745D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Sleep Efficiency</w:t>
            </w:r>
          </w:p>
        </w:tc>
        <w:tc>
          <w:tcPr>
            <w:tcW w:w="1276" w:type="dxa"/>
          </w:tcPr>
          <w:p w14:paraId="56D00EDF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0.0%</w:t>
            </w:r>
          </w:p>
        </w:tc>
        <w:tc>
          <w:tcPr>
            <w:tcW w:w="1275" w:type="dxa"/>
          </w:tcPr>
          <w:p w14:paraId="06D769FD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69.8%</w:t>
            </w:r>
          </w:p>
        </w:tc>
        <w:tc>
          <w:tcPr>
            <w:tcW w:w="1276" w:type="dxa"/>
          </w:tcPr>
          <w:p w14:paraId="1109D4BF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0.0%</w:t>
            </w:r>
          </w:p>
        </w:tc>
        <w:tc>
          <w:tcPr>
            <w:tcW w:w="1418" w:type="dxa"/>
          </w:tcPr>
          <w:p w14:paraId="413361F4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0.0%</w:t>
            </w:r>
          </w:p>
        </w:tc>
        <w:tc>
          <w:tcPr>
            <w:tcW w:w="1417" w:type="dxa"/>
          </w:tcPr>
          <w:p w14:paraId="6B419AD0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18.2%</w:t>
            </w:r>
          </w:p>
        </w:tc>
      </w:tr>
      <w:tr w:rsidR="00660C3E" w:rsidRPr="00660C3E" w14:paraId="4C28ED1A" w14:textId="77777777" w:rsidTr="00745DBE">
        <w:tc>
          <w:tcPr>
            <w:tcW w:w="2694" w:type="dxa"/>
          </w:tcPr>
          <w:p w14:paraId="144FF401" w14:textId="77777777" w:rsidR="00660C3E" w:rsidRPr="00660C3E" w:rsidRDefault="00660C3E" w:rsidP="00745D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Sleep Onset</w:t>
            </w:r>
          </w:p>
        </w:tc>
        <w:tc>
          <w:tcPr>
            <w:tcW w:w="1276" w:type="dxa"/>
          </w:tcPr>
          <w:p w14:paraId="5A50869B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E48C3A5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10:35:43 AM</w:t>
            </w:r>
          </w:p>
        </w:tc>
        <w:tc>
          <w:tcPr>
            <w:tcW w:w="1276" w:type="dxa"/>
          </w:tcPr>
          <w:p w14:paraId="28867AE4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A255086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48EFA67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0C3E" w:rsidRPr="00660C3E" w14:paraId="5E00AF30" w14:textId="77777777" w:rsidTr="00745DBE">
        <w:tc>
          <w:tcPr>
            <w:tcW w:w="2694" w:type="dxa"/>
          </w:tcPr>
          <w:p w14:paraId="591CD450" w14:textId="77777777" w:rsidR="00660C3E" w:rsidRPr="00660C3E" w:rsidRDefault="00660C3E" w:rsidP="00745D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Sleep Latency</w:t>
            </w:r>
          </w:p>
        </w:tc>
        <w:tc>
          <w:tcPr>
            <w:tcW w:w="1276" w:type="dxa"/>
          </w:tcPr>
          <w:p w14:paraId="4209E10C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20.0</w:t>
            </w:r>
          </w:p>
        </w:tc>
        <w:tc>
          <w:tcPr>
            <w:tcW w:w="1275" w:type="dxa"/>
          </w:tcPr>
          <w:p w14:paraId="100B56FD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6.0</w:t>
            </w:r>
          </w:p>
        </w:tc>
        <w:tc>
          <w:tcPr>
            <w:tcW w:w="1276" w:type="dxa"/>
          </w:tcPr>
          <w:p w14:paraId="1E14E248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20.0</w:t>
            </w:r>
          </w:p>
        </w:tc>
        <w:tc>
          <w:tcPr>
            <w:tcW w:w="1418" w:type="dxa"/>
          </w:tcPr>
          <w:p w14:paraId="2239AABE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20.0</w:t>
            </w:r>
          </w:p>
        </w:tc>
        <w:tc>
          <w:tcPr>
            <w:tcW w:w="1417" w:type="dxa"/>
          </w:tcPr>
          <w:p w14:paraId="1957F28C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16.5</w:t>
            </w:r>
          </w:p>
        </w:tc>
      </w:tr>
      <w:tr w:rsidR="00660C3E" w:rsidRPr="00660C3E" w14:paraId="1DAC3C02" w14:textId="77777777" w:rsidTr="00745DBE">
        <w:tc>
          <w:tcPr>
            <w:tcW w:w="2694" w:type="dxa"/>
          </w:tcPr>
          <w:p w14:paraId="5B4DA578" w14:textId="77777777" w:rsidR="00660C3E" w:rsidRPr="00660C3E" w:rsidRDefault="00660C3E" w:rsidP="00745D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REM Onset</w:t>
            </w:r>
          </w:p>
        </w:tc>
        <w:tc>
          <w:tcPr>
            <w:tcW w:w="1276" w:type="dxa"/>
          </w:tcPr>
          <w:p w14:paraId="4CD1CF0D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800F320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10:46:43 AM</w:t>
            </w:r>
          </w:p>
        </w:tc>
        <w:tc>
          <w:tcPr>
            <w:tcW w:w="1276" w:type="dxa"/>
          </w:tcPr>
          <w:p w14:paraId="477BDE74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7611DB15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260EB7C1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0C3E" w:rsidRPr="00660C3E" w14:paraId="7DBAEC04" w14:textId="77777777" w:rsidTr="00745DBE">
        <w:tc>
          <w:tcPr>
            <w:tcW w:w="2694" w:type="dxa"/>
          </w:tcPr>
          <w:p w14:paraId="7386EAD8" w14:textId="77777777" w:rsidR="00660C3E" w:rsidRPr="00660C3E" w:rsidRDefault="00660C3E" w:rsidP="00745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REM Sleep Onset</w:t>
            </w:r>
          </w:p>
          <w:p w14:paraId="19EC63AC" w14:textId="77777777" w:rsidR="00660C3E" w:rsidRPr="00660C3E" w:rsidRDefault="00660C3E" w:rsidP="00745D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Latency</w:t>
            </w:r>
          </w:p>
        </w:tc>
        <w:tc>
          <w:tcPr>
            <w:tcW w:w="1276" w:type="dxa"/>
          </w:tcPr>
          <w:p w14:paraId="1CB87310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B22DB6A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11.0</w:t>
            </w:r>
          </w:p>
        </w:tc>
        <w:tc>
          <w:tcPr>
            <w:tcW w:w="1276" w:type="dxa"/>
          </w:tcPr>
          <w:p w14:paraId="334870F6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226627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B5EFBD" w14:textId="77777777" w:rsidR="00660C3E" w:rsidRPr="00660C3E" w:rsidRDefault="00660C3E" w:rsidP="00745D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0C3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11.0</w:t>
            </w:r>
          </w:p>
        </w:tc>
      </w:tr>
    </w:tbl>
    <w:p w14:paraId="06FD44CD" w14:textId="25D4B62A" w:rsidR="00660C3E" w:rsidRPr="00660C3E" w:rsidRDefault="00660C3E" w:rsidP="00660C3E">
      <w:pPr>
        <w:pStyle w:val="NormalWeb"/>
        <w:ind w:hanging="567"/>
        <w:rPr>
          <w:sz w:val="15"/>
          <w:szCs w:val="15"/>
        </w:rPr>
      </w:pPr>
      <w:r w:rsidRPr="00660C3E">
        <w:rPr>
          <w:b/>
          <w:bCs/>
          <w:sz w:val="15"/>
          <w:szCs w:val="15"/>
        </w:rPr>
        <w:t>Abbreviations:</w:t>
      </w:r>
      <w:r w:rsidRPr="00660C3E">
        <w:rPr>
          <w:sz w:val="15"/>
          <w:szCs w:val="15"/>
        </w:rPr>
        <w:t xml:space="preserve"> </w:t>
      </w:r>
      <w:r w:rsidRPr="00660C3E">
        <w:rPr>
          <w:rStyle w:val="Strong"/>
          <w:rFonts w:eastAsiaTheme="majorEastAsia"/>
          <w:sz w:val="15"/>
          <w:szCs w:val="15"/>
        </w:rPr>
        <w:t>MSLT</w:t>
      </w:r>
      <w:r w:rsidRPr="00660C3E">
        <w:rPr>
          <w:sz w:val="15"/>
          <w:szCs w:val="15"/>
        </w:rPr>
        <w:t xml:space="preserve"> = Multiple Sleep Latency Test; </w:t>
      </w:r>
      <w:r w:rsidRPr="00660C3E">
        <w:rPr>
          <w:rStyle w:val="Strong"/>
          <w:rFonts w:eastAsiaTheme="majorEastAsia"/>
          <w:sz w:val="15"/>
          <w:szCs w:val="15"/>
        </w:rPr>
        <w:t>REM</w:t>
      </w:r>
      <w:r w:rsidRPr="00660C3E">
        <w:rPr>
          <w:sz w:val="15"/>
          <w:szCs w:val="15"/>
        </w:rPr>
        <w:t xml:space="preserve"> = rapid eye movement sleep</w:t>
      </w:r>
      <w:r>
        <w:rPr>
          <w:rStyle w:val="Strong"/>
          <w:rFonts w:eastAsiaTheme="majorEastAsia"/>
          <w:sz w:val="15"/>
          <w:szCs w:val="15"/>
        </w:rPr>
        <w:t xml:space="preserve">; </w:t>
      </w:r>
      <w:r w:rsidRPr="00660C3E">
        <w:rPr>
          <w:rStyle w:val="Strong"/>
          <w:rFonts w:eastAsiaTheme="majorEastAsia"/>
          <w:sz w:val="15"/>
          <w:szCs w:val="15"/>
        </w:rPr>
        <w:t>SOREMP</w:t>
      </w:r>
      <w:r w:rsidRPr="00660C3E">
        <w:rPr>
          <w:sz w:val="15"/>
          <w:szCs w:val="15"/>
        </w:rPr>
        <w:t xml:space="preserve"> = sleep-onset REM period</w:t>
      </w:r>
    </w:p>
    <w:p w14:paraId="4F234205" w14:textId="102927DA" w:rsidR="00E90CE2" w:rsidRPr="00397BE6" w:rsidRDefault="00660C3E" w:rsidP="00660C3E">
      <w:pPr>
        <w:spacing w:after="200" w:line="276" w:lineRule="auto"/>
        <w:ind w:hanging="709"/>
        <w:rPr>
          <w:rFonts w:ascii="Times New Roman" w:hAnsi="Times New Roman" w:cs="Times New Roman"/>
          <w:sz w:val="20"/>
          <w:szCs w:val="20"/>
        </w:rPr>
      </w:pPr>
      <w:r w:rsidRPr="00397BE6">
        <w:rPr>
          <w:rStyle w:val="Strong"/>
          <w:rFonts w:ascii="Times New Roman" w:hAnsi="Times New Roman" w:cs="Times New Roman"/>
          <w:sz w:val="20"/>
          <w:szCs w:val="20"/>
        </w:rPr>
        <w:t>Table S</w:t>
      </w:r>
      <w:r w:rsidR="00E96022">
        <w:rPr>
          <w:rStyle w:val="Strong"/>
          <w:rFonts w:ascii="Times New Roman" w:hAnsi="Times New Roman" w:cs="Times New Roman"/>
          <w:sz w:val="20"/>
          <w:szCs w:val="20"/>
        </w:rPr>
        <w:t>2</w:t>
      </w:r>
      <w:r w:rsidRPr="00397BE6">
        <w:rPr>
          <w:rStyle w:val="Strong"/>
          <w:rFonts w:ascii="Times New Roman" w:hAnsi="Times New Roman" w:cs="Times New Roman"/>
          <w:sz w:val="20"/>
          <w:szCs w:val="20"/>
        </w:rPr>
        <w:t xml:space="preserve">. </w:t>
      </w:r>
      <w:r w:rsidRPr="00660C3E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CARE-compliant clinical timeline of the patient’s disease course.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418"/>
        <w:gridCol w:w="3260"/>
        <w:gridCol w:w="1985"/>
        <w:gridCol w:w="3402"/>
      </w:tblGrid>
      <w:tr w:rsidR="00D528B8" w:rsidRPr="00F32D06" w14:paraId="16EE8BA3" w14:textId="77777777" w:rsidTr="00745DBE">
        <w:trPr>
          <w:trHeight w:val="165"/>
        </w:trPr>
        <w:tc>
          <w:tcPr>
            <w:tcW w:w="1418" w:type="dxa"/>
            <w:hideMark/>
          </w:tcPr>
          <w:p w14:paraId="3D22053F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Date/Period</w:t>
            </w:r>
          </w:p>
        </w:tc>
        <w:tc>
          <w:tcPr>
            <w:tcW w:w="3260" w:type="dxa"/>
            <w:hideMark/>
          </w:tcPr>
          <w:p w14:paraId="5D300612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Clinical Events</w:t>
            </w:r>
          </w:p>
        </w:tc>
        <w:tc>
          <w:tcPr>
            <w:tcW w:w="1985" w:type="dxa"/>
            <w:hideMark/>
          </w:tcPr>
          <w:p w14:paraId="1665C59F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Investigations</w:t>
            </w:r>
          </w:p>
        </w:tc>
        <w:tc>
          <w:tcPr>
            <w:tcW w:w="3402" w:type="dxa"/>
            <w:hideMark/>
          </w:tcPr>
          <w:p w14:paraId="595B1983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Treatments</w:t>
            </w:r>
          </w:p>
        </w:tc>
      </w:tr>
      <w:tr w:rsidR="00D528B8" w:rsidRPr="00F32D06" w14:paraId="497BB8D4" w14:textId="77777777" w:rsidTr="00745DBE">
        <w:trPr>
          <w:trHeight w:val="180"/>
        </w:trPr>
        <w:tc>
          <w:tcPr>
            <w:tcW w:w="1418" w:type="dxa"/>
            <w:hideMark/>
          </w:tcPr>
          <w:p w14:paraId="586FA5E9" w14:textId="255EFE74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2020</w:t>
            </w:r>
          </w:p>
        </w:tc>
        <w:tc>
          <w:tcPr>
            <w:tcW w:w="3260" w:type="dxa"/>
            <w:hideMark/>
          </w:tcPr>
          <w:p w14:paraId="4E3CB03D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Initial illness during COVID infection (mother &amp; grandmother hospitalised, grandfather deceased). Onset of neuropsychiatric symptoms: motor/vocal tics, paranoia, regression.</w:t>
            </w:r>
          </w:p>
        </w:tc>
        <w:tc>
          <w:tcPr>
            <w:tcW w:w="1985" w:type="dxa"/>
            <w:hideMark/>
          </w:tcPr>
          <w:p w14:paraId="0941F0C6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None at onset.</w:t>
            </w:r>
          </w:p>
        </w:tc>
        <w:tc>
          <w:tcPr>
            <w:tcW w:w="3402" w:type="dxa"/>
            <w:hideMark/>
          </w:tcPr>
          <w:p w14:paraId="41BEA2E3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None initially.</w:t>
            </w:r>
          </w:p>
        </w:tc>
      </w:tr>
      <w:tr w:rsidR="00D528B8" w:rsidRPr="00F32D06" w14:paraId="4E11916E" w14:textId="77777777" w:rsidTr="00745DBE">
        <w:trPr>
          <w:trHeight w:val="165"/>
        </w:trPr>
        <w:tc>
          <w:tcPr>
            <w:tcW w:w="1418" w:type="dxa"/>
            <w:hideMark/>
          </w:tcPr>
          <w:p w14:paraId="2A6E791B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2021</w:t>
            </w:r>
          </w:p>
        </w:tc>
        <w:tc>
          <w:tcPr>
            <w:tcW w:w="3260" w:type="dxa"/>
            <w:hideMark/>
          </w:tcPr>
          <w:p w14:paraId="6B28BD59" w14:textId="4F815530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Exacerbation during </w:t>
            </w:r>
            <w:r w:rsidR="0018020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school</w:t>
            </w: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exams with </w:t>
            </w:r>
            <w:r w:rsidR="0018020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significant</w:t>
            </w: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neuropsychiatric regression.</w:t>
            </w:r>
          </w:p>
        </w:tc>
        <w:tc>
          <w:tcPr>
            <w:tcW w:w="1985" w:type="dxa"/>
            <w:hideMark/>
          </w:tcPr>
          <w:p w14:paraId="14F4F68C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it-IT"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it-IT" w:eastAsia="en-GB"/>
                <w14:ligatures w14:val="none"/>
              </w:rPr>
              <w:t>Elevated ASO titre (&gt;800 IU/mL).</w:t>
            </w:r>
          </w:p>
        </w:tc>
        <w:tc>
          <w:tcPr>
            <w:tcW w:w="3402" w:type="dxa"/>
            <w:hideMark/>
          </w:tcPr>
          <w:p w14:paraId="14A30C0A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Propranolol (low dose) for anxiety under presumed functional tic disorder.</w:t>
            </w:r>
          </w:p>
        </w:tc>
      </w:tr>
      <w:tr w:rsidR="00D528B8" w:rsidRPr="00F32D06" w14:paraId="2E201C07" w14:textId="77777777" w:rsidTr="00745DBE">
        <w:trPr>
          <w:trHeight w:val="165"/>
        </w:trPr>
        <w:tc>
          <w:tcPr>
            <w:tcW w:w="1418" w:type="dxa"/>
            <w:hideMark/>
          </w:tcPr>
          <w:p w14:paraId="130512D6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2022</w:t>
            </w:r>
          </w:p>
        </w:tc>
        <w:tc>
          <w:tcPr>
            <w:tcW w:w="3260" w:type="dxa"/>
            <w:hideMark/>
          </w:tcPr>
          <w:p w14:paraId="44B06878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Recurrent episodes with paranoia, sensory hypersensitivity, cognitive regression.</w:t>
            </w:r>
          </w:p>
        </w:tc>
        <w:tc>
          <w:tcPr>
            <w:tcW w:w="1985" w:type="dxa"/>
            <w:hideMark/>
          </w:tcPr>
          <w:p w14:paraId="3EA49D6F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MRI and EEG clear; ANA positive (1:160, speckled); ferritin borderline low.</w:t>
            </w:r>
          </w:p>
        </w:tc>
        <w:tc>
          <w:tcPr>
            <w:tcW w:w="3402" w:type="dxa"/>
            <w:hideMark/>
          </w:tcPr>
          <w:p w14:paraId="4C387CFF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Supportive management only.</w:t>
            </w:r>
          </w:p>
        </w:tc>
      </w:tr>
      <w:tr w:rsidR="00D528B8" w:rsidRPr="00F32D06" w14:paraId="25CC8A92" w14:textId="77777777" w:rsidTr="00745DBE">
        <w:trPr>
          <w:trHeight w:val="165"/>
        </w:trPr>
        <w:tc>
          <w:tcPr>
            <w:tcW w:w="1418" w:type="dxa"/>
            <w:hideMark/>
          </w:tcPr>
          <w:p w14:paraId="20E006C5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2023</w:t>
            </w:r>
          </w:p>
        </w:tc>
        <w:tc>
          <w:tcPr>
            <w:tcW w:w="3260" w:type="dxa"/>
            <w:hideMark/>
          </w:tcPr>
          <w:p w14:paraId="4D707F52" w14:textId="77777777" w:rsidR="00D528B8" w:rsidRDefault="00D528B8" w:rsidP="00745DB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Formal diagnosis of PANDAS following streptococcal relapse</w:t>
            </w:r>
          </w:p>
          <w:p w14:paraId="6FD138C4" w14:textId="77777777" w:rsidR="00D528B8" w:rsidRDefault="00D528B8" w:rsidP="00745DB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87B9816" w14:textId="1B44E5E3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severe exacerbation post-pregnancy termination.</w:t>
            </w:r>
          </w:p>
        </w:tc>
        <w:tc>
          <w:tcPr>
            <w:tcW w:w="1985" w:type="dxa"/>
            <w:hideMark/>
          </w:tcPr>
          <w:p w14:paraId="48865896" w14:textId="77777777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Streptococcal testing positive during relapses.</w:t>
            </w:r>
          </w:p>
        </w:tc>
        <w:tc>
          <w:tcPr>
            <w:tcW w:w="3402" w:type="dxa"/>
            <w:hideMark/>
          </w:tcPr>
          <w:p w14:paraId="65014F1A" w14:textId="77777777" w:rsidR="00D528B8" w:rsidRDefault="00D528B8" w:rsidP="00745DB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Co-amoxiclav antibiotics (TID ×14 days, then daily ×28 days</w:t>
            </w:r>
            <w:proofErr w:type="gramStart"/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);</w:t>
            </w:r>
            <w:proofErr w:type="gramEnd"/>
          </w:p>
          <w:p w14:paraId="7E4485C3" w14:textId="1CA87101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CBT for anxiety/</w:t>
            </w:r>
            <w:r w:rsidR="00F9510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emotional regulation</w:t>
            </w: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</w:tr>
      <w:tr w:rsidR="00D528B8" w:rsidRPr="00F32D06" w14:paraId="2A5DA989" w14:textId="77777777" w:rsidTr="00745DBE">
        <w:trPr>
          <w:trHeight w:val="165"/>
        </w:trPr>
        <w:tc>
          <w:tcPr>
            <w:tcW w:w="1418" w:type="dxa"/>
            <w:hideMark/>
          </w:tcPr>
          <w:p w14:paraId="32ECB8C4" w14:textId="678E292D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2024</w:t>
            </w:r>
          </w:p>
        </w:tc>
        <w:tc>
          <w:tcPr>
            <w:tcW w:w="3260" w:type="dxa"/>
            <w:hideMark/>
          </w:tcPr>
          <w:p w14:paraId="3E78F3BF" w14:textId="07A34AAF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Baseline period with persistent sleep disturbance, cognitive </w:t>
            </w:r>
            <w:r w:rsidR="00A9603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complaints</w:t>
            </w: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.</w:t>
            </w:r>
          </w:p>
        </w:tc>
        <w:tc>
          <w:tcPr>
            <w:tcW w:w="1985" w:type="dxa"/>
            <w:hideMark/>
          </w:tcPr>
          <w:p w14:paraId="6D2FC2B3" w14:textId="6C59BA19" w:rsidR="00D528B8" w:rsidRDefault="00D528B8" w:rsidP="00745DB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Overnight </w:t>
            </w:r>
            <w:r w:rsidR="00B970C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</w:t>
            </w: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PSG</w:t>
            </w:r>
            <w:r w:rsidR="00B970C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and MSLT</w:t>
            </w: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: RSWA confirmed; AHI 0.1; sleep efficiency 90.8%.</w:t>
            </w:r>
          </w:p>
          <w:p w14:paraId="412BB73C" w14:textId="5C4D34E0" w:rsidR="005648C9" w:rsidRPr="00F32D06" w:rsidRDefault="005648C9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MSLT: mean latency 16.5 min; 1 nap with REM latency 11 min; &lt;2 SOREMPs.</w:t>
            </w:r>
          </w:p>
        </w:tc>
        <w:tc>
          <w:tcPr>
            <w:tcW w:w="3402" w:type="dxa"/>
            <w:hideMark/>
          </w:tcPr>
          <w:p w14:paraId="45215243" w14:textId="49454884" w:rsidR="00D528B8" w:rsidRPr="00F32D06" w:rsidRDefault="00D528B8" w:rsidP="00745DBE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None at time of </w:t>
            </w:r>
            <w:r w:rsidR="00B970C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</w:t>
            </w:r>
            <w:r w:rsidRPr="00F32D06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PSG (no antidepressants, no immunotherapy).</w:t>
            </w:r>
          </w:p>
        </w:tc>
      </w:tr>
    </w:tbl>
    <w:p w14:paraId="440A6C08" w14:textId="1824C7C7" w:rsidR="00397BE6" w:rsidRPr="00660C3E" w:rsidRDefault="00660C3E" w:rsidP="00660C3E">
      <w:pPr>
        <w:pStyle w:val="NormalWeb"/>
        <w:ind w:left="-426"/>
        <w:rPr>
          <w:sz w:val="15"/>
          <w:szCs w:val="15"/>
        </w:rPr>
      </w:pPr>
      <w:r>
        <w:rPr>
          <w:sz w:val="15"/>
          <w:szCs w:val="15"/>
        </w:rPr>
        <w:t>A</w:t>
      </w:r>
      <w:r w:rsidR="00397BE6" w:rsidRPr="00660C3E">
        <w:rPr>
          <w:sz w:val="15"/>
          <w:szCs w:val="15"/>
        </w:rPr>
        <w:t xml:space="preserve"> structured chronological overview of the patient’s clinical history according to CARE reporting standards. Key events include infectious triggers (COVID-19 in 2020, streptococcal relapses), symptom </w:t>
      </w:r>
      <w:r w:rsidR="00955117">
        <w:rPr>
          <w:sz w:val="15"/>
          <w:szCs w:val="15"/>
        </w:rPr>
        <w:t>flare ups</w:t>
      </w:r>
      <w:r w:rsidR="00397BE6" w:rsidRPr="00660C3E">
        <w:rPr>
          <w:sz w:val="15"/>
          <w:szCs w:val="15"/>
        </w:rPr>
        <w:t>, laboratory investigations (elevated ASO titres, ANA positivity, ferritin), neuroimaging and EEG findings, treatments (antibiotics, propranolol, CBT), and sleep evaluations (</w:t>
      </w:r>
      <w:r w:rsidR="00B970C0">
        <w:rPr>
          <w:sz w:val="15"/>
          <w:szCs w:val="15"/>
        </w:rPr>
        <w:t>v</w:t>
      </w:r>
      <w:r w:rsidR="00397BE6" w:rsidRPr="00660C3E">
        <w:rPr>
          <w:sz w:val="15"/>
          <w:szCs w:val="15"/>
        </w:rPr>
        <w:t>PSG and MSLT</w:t>
      </w:r>
      <w:r w:rsidR="002A2691">
        <w:rPr>
          <w:sz w:val="15"/>
          <w:szCs w:val="15"/>
        </w:rPr>
        <w:t>)</w:t>
      </w:r>
      <w:r w:rsidR="00397BE6" w:rsidRPr="00660C3E">
        <w:rPr>
          <w:sz w:val="15"/>
          <w:szCs w:val="15"/>
        </w:rPr>
        <w:t xml:space="preserve">. The </w:t>
      </w:r>
      <w:r w:rsidR="00955117">
        <w:rPr>
          <w:sz w:val="15"/>
          <w:szCs w:val="15"/>
        </w:rPr>
        <w:t>v</w:t>
      </w:r>
      <w:r w:rsidR="00397BE6" w:rsidRPr="00660C3E">
        <w:rPr>
          <w:sz w:val="15"/>
          <w:szCs w:val="15"/>
        </w:rPr>
        <w:t xml:space="preserve">PSG confirmed RSWA with negligible AHI (0.1 events/h), while the MSLT demonstrated normal mean latency (16.5 minutes) and </w:t>
      </w:r>
      <w:r w:rsidR="002A2691">
        <w:rPr>
          <w:sz w:val="15"/>
          <w:szCs w:val="15"/>
        </w:rPr>
        <w:t xml:space="preserve">1 </w:t>
      </w:r>
      <w:r w:rsidR="00397BE6" w:rsidRPr="00660C3E">
        <w:rPr>
          <w:sz w:val="15"/>
          <w:szCs w:val="15"/>
        </w:rPr>
        <w:t>SOREMP.</w:t>
      </w:r>
      <w:r>
        <w:rPr>
          <w:sz w:val="15"/>
          <w:szCs w:val="15"/>
        </w:rPr>
        <w:t xml:space="preserve"> </w:t>
      </w:r>
      <w:r w:rsidR="00397BE6" w:rsidRPr="00660C3E">
        <w:rPr>
          <w:b/>
          <w:bCs/>
          <w:i/>
          <w:iCs/>
          <w:sz w:val="15"/>
          <w:szCs w:val="15"/>
        </w:rPr>
        <w:t>Abbreviations:</w:t>
      </w:r>
      <w:r w:rsidR="00397BE6" w:rsidRPr="00660C3E">
        <w:rPr>
          <w:sz w:val="15"/>
          <w:szCs w:val="15"/>
        </w:rPr>
        <w:t xml:space="preserve"> </w:t>
      </w:r>
      <w:r w:rsidRPr="00660C3E">
        <w:rPr>
          <w:rStyle w:val="Strong"/>
          <w:rFonts w:eastAsiaTheme="majorEastAsia"/>
          <w:sz w:val="15"/>
          <w:szCs w:val="15"/>
        </w:rPr>
        <w:t>AHI</w:t>
      </w:r>
      <w:r w:rsidRPr="00660C3E">
        <w:rPr>
          <w:sz w:val="15"/>
          <w:szCs w:val="15"/>
        </w:rPr>
        <w:t xml:space="preserve"> = apnoea–hypopnoea index; </w:t>
      </w:r>
      <w:r w:rsidR="00397BE6" w:rsidRPr="00660C3E">
        <w:rPr>
          <w:rStyle w:val="Strong"/>
          <w:rFonts w:eastAsiaTheme="majorEastAsia"/>
          <w:sz w:val="15"/>
          <w:szCs w:val="15"/>
        </w:rPr>
        <w:t>ASO</w:t>
      </w:r>
      <w:r w:rsidR="00397BE6" w:rsidRPr="00660C3E">
        <w:rPr>
          <w:sz w:val="15"/>
          <w:szCs w:val="15"/>
        </w:rPr>
        <w:t xml:space="preserve"> = anti-streptolysin O; </w:t>
      </w:r>
      <w:r w:rsidR="00397BE6" w:rsidRPr="00660C3E">
        <w:rPr>
          <w:rStyle w:val="Strong"/>
          <w:rFonts w:eastAsiaTheme="majorEastAsia"/>
          <w:sz w:val="15"/>
          <w:szCs w:val="15"/>
        </w:rPr>
        <w:t>ANA</w:t>
      </w:r>
      <w:r w:rsidR="00397BE6" w:rsidRPr="00660C3E">
        <w:rPr>
          <w:sz w:val="15"/>
          <w:szCs w:val="15"/>
        </w:rPr>
        <w:t xml:space="preserve"> = antinuclear antibody; </w:t>
      </w:r>
      <w:r w:rsidR="00397BE6" w:rsidRPr="00660C3E">
        <w:rPr>
          <w:rStyle w:val="Strong"/>
          <w:rFonts w:eastAsiaTheme="majorEastAsia"/>
          <w:sz w:val="15"/>
          <w:szCs w:val="15"/>
        </w:rPr>
        <w:t>CBT</w:t>
      </w:r>
      <w:r w:rsidR="00397BE6" w:rsidRPr="00660C3E">
        <w:rPr>
          <w:sz w:val="15"/>
          <w:szCs w:val="15"/>
        </w:rPr>
        <w:t xml:space="preserve"> = cognitive behavioural therapy; </w:t>
      </w:r>
      <w:r w:rsidRPr="00660C3E">
        <w:rPr>
          <w:rStyle w:val="Strong"/>
          <w:rFonts w:eastAsiaTheme="majorEastAsia"/>
          <w:sz w:val="15"/>
          <w:szCs w:val="15"/>
        </w:rPr>
        <w:t>MSLT</w:t>
      </w:r>
      <w:r w:rsidRPr="00660C3E">
        <w:rPr>
          <w:sz w:val="15"/>
          <w:szCs w:val="15"/>
        </w:rPr>
        <w:t xml:space="preserve"> = multiple sleep latency test;</w:t>
      </w:r>
      <w:r>
        <w:rPr>
          <w:sz w:val="15"/>
          <w:szCs w:val="15"/>
        </w:rPr>
        <w:t xml:space="preserve"> </w:t>
      </w:r>
      <w:r w:rsidR="00955117">
        <w:rPr>
          <w:sz w:val="15"/>
          <w:szCs w:val="15"/>
        </w:rPr>
        <w:t>v</w:t>
      </w:r>
      <w:r w:rsidR="00397BE6" w:rsidRPr="00660C3E">
        <w:rPr>
          <w:rStyle w:val="Strong"/>
          <w:rFonts w:eastAsiaTheme="majorEastAsia"/>
          <w:sz w:val="15"/>
          <w:szCs w:val="15"/>
        </w:rPr>
        <w:t>PSG</w:t>
      </w:r>
      <w:r w:rsidR="00397BE6" w:rsidRPr="00660C3E">
        <w:rPr>
          <w:sz w:val="15"/>
          <w:szCs w:val="15"/>
        </w:rPr>
        <w:t xml:space="preserve"> = </w:t>
      </w:r>
      <w:r w:rsidR="00955117">
        <w:rPr>
          <w:sz w:val="15"/>
          <w:szCs w:val="15"/>
        </w:rPr>
        <w:t>video-</w:t>
      </w:r>
      <w:r w:rsidR="00397BE6" w:rsidRPr="00660C3E">
        <w:rPr>
          <w:sz w:val="15"/>
          <w:szCs w:val="15"/>
        </w:rPr>
        <w:t xml:space="preserve">polysomnography; </w:t>
      </w:r>
      <w:r w:rsidR="00397BE6" w:rsidRPr="00660C3E">
        <w:rPr>
          <w:rStyle w:val="Strong"/>
          <w:rFonts w:eastAsiaTheme="majorEastAsia"/>
          <w:sz w:val="15"/>
          <w:szCs w:val="15"/>
        </w:rPr>
        <w:t>RSWA</w:t>
      </w:r>
      <w:r w:rsidR="00397BE6" w:rsidRPr="00660C3E">
        <w:rPr>
          <w:sz w:val="15"/>
          <w:szCs w:val="15"/>
        </w:rPr>
        <w:t xml:space="preserve"> = REM sleep without atonia; </w:t>
      </w:r>
      <w:r w:rsidR="00397BE6" w:rsidRPr="00660C3E">
        <w:rPr>
          <w:rStyle w:val="Strong"/>
          <w:rFonts w:eastAsiaTheme="majorEastAsia"/>
          <w:sz w:val="15"/>
          <w:szCs w:val="15"/>
        </w:rPr>
        <w:t>SOREMPs</w:t>
      </w:r>
      <w:r w:rsidR="00397BE6" w:rsidRPr="00660C3E">
        <w:rPr>
          <w:sz w:val="15"/>
          <w:szCs w:val="15"/>
        </w:rPr>
        <w:t xml:space="preserve"> = sleep-onset REM periods.</w:t>
      </w:r>
    </w:p>
    <w:p w14:paraId="4C689FAB" w14:textId="77777777" w:rsidR="00F76A75" w:rsidRPr="00397BE6" w:rsidRDefault="00F76A75" w:rsidP="00A1365F">
      <w:pPr>
        <w:pStyle w:val="NormalWeb"/>
        <w:rPr>
          <w:sz w:val="20"/>
          <w:szCs w:val="20"/>
        </w:rPr>
      </w:pPr>
    </w:p>
    <w:p w14:paraId="562175CC" w14:textId="77777777" w:rsidR="00A1365F" w:rsidRPr="00397BE6" w:rsidRDefault="00A1365F" w:rsidP="00E23173">
      <w:pPr>
        <w:pStyle w:val="NormalWeb"/>
        <w:rPr>
          <w:sz w:val="20"/>
          <w:szCs w:val="20"/>
        </w:rPr>
      </w:pPr>
    </w:p>
    <w:p w14:paraId="0A62393F" w14:textId="77777777" w:rsidR="00A1365F" w:rsidRPr="00397BE6" w:rsidRDefault="00A1365F" w:rsidP="00E23173">
      <w:pPr>
        <w:pStyle w:val="NormalWeb"/>
        <w:rPr>
          <w:sz w:val="20"/>
          <w:szCs w:val="20"/>
        </w:rPr>
      </w:pPr>
    </w:p>
    <w:p w14:paraId="430E2039" w14:textId="197255F5" w:rsidR="009F4123" w:rsidRPr="00397BE6" w:rsidRDefault="009F4123">
      <w:pPr>
        <w:rPr>
          <w:rFonts w:ascii="Times New Roman" w:hAnsi="Times New Roman" w:cs="Times New Roman"/>
          <w:sz w:val="20"/>
          <w:szCs w:val="20"/>
        </w:rPr>
      </w:pPr>
    </w:p>
    <w:p w14:paraId="2276A6C9" w14:textId="77777777" w:rsidR="00A1365F" w:rsidRPr="00397BE6" w:rsidRDefault="00A1365F">
      <w:pPr>
        <w:rPr>
          <w:rFonts w:ascii="Times New Roman" w:hAnsi="Times New Roman" w:cs="Times New Roman"/>
          <w:sz w:val="20"/>
          <w:szCs w:val="20"/>
        </w:rPr>
      </w:pPr>
    </w:p>
    <w:p w14:paraId="49EF7848" w14:textId="77777777" w:rsidR="00A1365F" w:rsidRPr="00397BE6" w:rsidRDefault="00A1365F">
      <w:pPr>
        <w:rPr>
          <w:rFonts w:ascii="Times New Roman" w:hAnsi="Times New Roman" w:cs="Times New Roman"/>
          <w:sz w:val="20"/>
          <w:szCs w:val="20"/>
        </w:rPr>
      </w:pPr>
    </w:p>
    <w:p w14:paraId="543F86D4" w14:textId="77777777" w:rsidR="00A1365F" w:rsidRPr="00397BE6" w:rsidRDefault="00A1365F">
      <w:pPr>
        <w:rPr>
          <w:rFonts w:ascii="Times New Roman" w:hAnsi="Times New Roman" w:cs="Times New Roman"/>
          <w:sz w:val="20"/>
          <w:szCs w:val="20"/>
        </w:rPr>
      </w:pPr>
    </w:p>
    <w:p w14:paraId="67E12155" w14:textId="77777777" w:rsidR="00D654DC" w:rsidRDefault="00D654DC" w:rsidP="00A1365F">
      <w:pPr>
        <w:ind w:hanging="709"/>
        <w:rPr>
          <w:rFonts w:ascii="Times New Roman" w:hAnsi="Times New Roman" w:cs="Times New Roman"/>
          <w:sz w:val="20"/>
          <w:szCs w:val="20"/>
        </w:rPr>
      </w:pPr>
    </w:p>
    <w:p w14:paraId="2994A96F" w14:textId="77777777" w:rsidR="00D654DC" w:rsidRDefault="00D654DC" w:rsidP="00A1365F">
      <w:pPr>
        <w:ind w:hanging="709"/>
        <w:rPr>
          <w:rFonts w:ascii="Times New Roman" w:hAnsi="Times New Roman" w:cs="Times New Roman"/>
          <w:sz w:val="20"/>
          <w:szCs w:val="20"/>
        </w:rPr>
      </w:pPr>
    </w:p>
    <w:p w14:paraId="410D5266" w14:textId="77777777" w:rsidR="00D654DC" w:rsidRPr="00D654DC" w:rsidRDefault="00D654DC" w:rsidP="00D654DC">
      <w:pPr>
        <w:pStyle w:val="EndNoteBibliography"/>
        <w:ind w:left="720" w:hanging="720"/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ADDIN EN.REFLIST </w:instrText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 w:rsidRPr="00D654DC">
        <w:t>[1] R. Ferri, F. Rundo, M. Manconi, G. Plazzi, O. Bruni, A. Oldani, L. Ferini-Strambi, and M. Zucconi, Improved computation of the atonia index in normal controls and patients with REM sleep behavior disorder. Sleep medicine 11 (2010) 947-9.</w:t>
      </w:r>
    </w:p>
    <w:p w14:paraId="1EF31E41" w14:textId="5E175B10" w:rsidR="00A1365F" w:rsidRPr="00397BE6" w:rsidRDefault="00D654DC" w:rsidP="00A1365F">
      <w:pPr>
        <w:ind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A1365F" w:rsidRPr="00397BE6" w:rsidSect="00E468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644"/>
    <w:multiLevelType w:val="multilevel"/>
    <w:tmpl w:val="0812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B0C7F"/>
    <w:multiLevelType w:val="multilevel"/>
    <w:tmpl w:val="4878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BC6893"/>
    <w:multiLevelType w:val="multilevel"/>
    <w:tmpl w:val="2AA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F3F6B"/>
    <w:multiLevelType w:val="multilevel"/>
    <w:tmpl w:val="784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999530">
    <w:abstractNumId w:val="3"/>
  </w:num>
  <w:num w:numId="2" w16cid:durableId="1823766298">
    <w:abstractNumId w:val="2"/>
  </w:num>
  <w:num w:numId="3" w16cid:durableId="547686685">
    <w:abstractNumId w:val="0"/>
  </w:num>
  <w:num w:numId="4" w16cid:durableId="99838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 in Neuroendo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ddrzfpwad5arxeetflvffvcsdxwvz2vve0d&quot;&gt;singapore&lt;record-ids&gt;&lt;item&gt;31&lt;/item&gt;&lt;/record-ids&gt;&lt;/item&gt;&lt;/Libraries&gt;"/>
  </w:docVars>
  <w:rsids>
    <w:rsidRoot w:val="000963A1"/>
    <w:rsid w:val="00005C14"/>
    <w:rsid w:val="00044276"/>
    <w:rsid w:val="00061FD5"/>
    <w:rsid w:val="000621E7"/>
    <w:rsid w:val="000963A1"/>
    <w:rsid w:val="000A6070"/>
    <w:rsid w:val="000C1EF6"/>
    <w:rsid w:val="000D45A6"/>
    <w:rsid w:val="001045CF"/>
    <w:rsid w:val="0018020F"/>
    <w:rsid w:val="00181DF2"/>
    <w:rsid w:val="001E474E"/>
    <w:rsid w:val="001E7625"/>
    <w:rsid w:val="0021069A"/>
    <w:rsid w:val="002475B7"/>
    <w:rsid w:val="002A04B8"/>
    <w:rsid w:val="002A2691"/>
    <w:rsid w:val="002A2FFF"/>
    <w:rsid w:val="002C0759"/>
    <w:rsid w:val="002F42AA"/>
    <w:rsid w:val="003337A2"/>
    <w:rsid w:val="003478C4"/>
    <w:rsid w:val="00347B09"/>
    <w:rsid w:val="00351504"/>
    <w:rsid w:val="00371F72"/>
    <w:rsid w:val="0037568D"/>
    <w:rsid w:val="00397BE6"/>
    <w:rsid w:val="003A233A"/>
    <w:rsid w:val="003A23A4"/>
    <w:rsid w:val="003D5DA1"/>
    <w:rsid w:val="003F5C6E"/>
    <w:rsid w:val="00402CCA"/>
    <w:rsid w:val="00416FBB"/>
    <w:rsid w:val="00427070"/>
    <w:rsid w:val="00445C63"/>
    <w:rsid w:val="00464D74"/>
    <w:rsid w:val="00473175"/>
    <w:rsid w:val="00475647"/>
    <w:rsid w:val="00475B58"/>
    <w:rsid w:val="004A673D"/>
    <w:rsid w:val="00514151"/>
    <w:rsid w:val="00522702"/>
    <w:rsid w:val="005648C9"/>
    <w:rsid w:val="0059352A"/>
    <w:rsid w:val="00595A11"/>
    <w:rsid w:val="005D7AB5"/>
    <w:rsid w:val="005E0448"/>
    <w:rsid w:val="005E4D12"/>
    <w:rsid w:val="00634782"/>
    <w:rsid w:val="00635C18"/>
    <w:rsid w:val="00660C3E"/>
    <w:rsid w:val="00671E65"/>
    <w:rsid w:val="006B1CF3"/>
    <w:rsid w:val="006B7716"/>
    <w:rsid w:val="006D5001"/>
    <w:rsid w:val="006E240A"/>
    <w:rsid w:val="006E5F1C"/>
    <w:rsid w:val="006F44BB"/>
    <w:rsid w:val="006F47D9"/>
    <w:rsid w:val="00756655"/>
    <w:rsid w:val="00777F6F"/>
    <w:rsid w:val="00784F54"/>
    <w:rsid w:val="00786120"/>
    <w:rsid w:val="007B7117"/>
    <w:rsid w:val="00803311"/>
    <w:rsid w:val="0082685F"/>
    <w:rsid w:val="00847C11"/>
    <w:rsid w:val="008A78A5"/>
    <w:rsid w:val="008C505C"/>
    <w:rsid w:val="009229DC"/>
    <w:rsid w:val="009341A1"/>
    <w:rsid w:val="00936448"/>
    <w:rsid w:val="009425AD"/>
    <w:rsid w:val="00955117"/>
    <w:rsid w:val="00974DD7"/>
    <w:rsid w:val="009A65D3"/>
    <w:rsid w:val="009C5F16"/>
    <w:rsid w:val="009D060D"/>
    <w:rsid w:val="009F4123"/>
    <w:rsid w:val="009F5576"/>
    <w:rsid w:val="00A1365F"/>
    <w:rsid w:val="00A1609D"/>
    <w:rsid w:val="00A45EFA"/>
    <w:rsid w:val="00A76D1A"/>
    <w:rsid w:val="00A96039"/>
    <w:rsid w:val="00AC27B5"/>
    <w:rsid w:val="00AE0C7E"/>
    <w:rsid w:val="00AE2150"/>
    <w:rsid w:val="00B62A66"/>
    <w:rsid w:val="00B73BCB"/>
    <w:rsid w:val="00B970C0"/>
    <w:rsid w:val="00BB3304"/>
    <w:rsid w:val="00BE6289"/>
    <w:rsid w:val="00C10D7F"/>
    <w:rsid w:val="00C1424B"/>
    <w:rsid w:val="00C24420"/>
    <w:rsid w:val="00C36435"/>
    <w:rsid w:val="00C607DF"/>
    <w:rsid w:val="00C91476"/>
    <w:rsid w:val="00CA7349"/>
    <w:rsid w:val="00CD09DE"/>
    <w:rsid w:val="00D01FFF"/>
    <w:rsid w:val="00D05139"/>
    <w:rsid w:val="00D435EF"/>
    <w:rsid w:val="00D528B8"/>
    <w:rsid w:val="00D63A70"/>
    <w:rsid w:val="00D654DC"/>
    <w:rsid w:val="00D745F1"/>
    <w:rsid w:val="00D97215"/>
    <w:rsid w:val="00DF33AD"/>
    <w:rsid w:val="00E14F79"/>
    <w:rsid w:val="00E23173"/>
    <w:rsid w:val="00E46896"/>
    <w:rsid w:val="00E5729D"/>
    <w:rsid w:val="00E72023"/>
    <w:rsid w:val="00E90CE2"/>
    <w:rsid w:val="00E96022"/>
    <w:rsid w:val="00ED2F0C"/>
    <w:rsid w:val="00F1514C"/>
    <w:rsid w:val="00F76A75"/>
    <w:rsid w:val="00F95109"/>
    <w:rsid w:val="00FC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47FE2"/>
  <w15:chartTrackingRefBased/>
  <w15:docId w15:val="{62BEEF63-CCA2-254B-BB9F-DC8955E3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3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3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3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3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3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3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3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6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E231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23173"/>
    <w:rPr>
      <w:b/>
      <w:bCs/>
    </w:rPr>
  </w:style>
  <w:style w:type="character" w:styleId="Emphasis">
    <w:name w:val="Emphasis"/>
    <w:basedOn w:val="DefaultParagraphFont"/>
    <w:uiPriority w:val="20"/>
    <w:qFormat/>
    <w:rsid w:val="00E23173"/>
    <w:rPr>
      <w:i/>
      <w:iCs/>
    </w:rPr>
  </w:style>
  <w:style w:type="paragraph" w:customStyle="1" w:styleId="whitespace-normal">
    <w:name w:val="whitespace-normal"/>
    <w:basedOn w:val="Normal"/>
    <w:rsid w:val="00E231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90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CE2"/>
    <w:pPr>
      <w:spacing w:before="120" w:after="240"/>
    </w:pPr>
    <w:rPr>
      <w:rFonts w:ascii="Times New Roman" w:hAnsi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CE2"/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D654DC"/>
    <w:pPr>
      <w:jc w:val="center"/>
    </w:pPr>
    <w:rPr>
      <w:rFonts w:ascii="Aptos" w:hAnsi="Aptos"/>
      <w:noProof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D654D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D654DC"/>
    <w:rPr>
      <w:rFonts w:ascii="Aptos" w:eastAsia="Times New Roman" w:hAnsi="Aptos" w:cs="Times New Roman"/>
      <w:noProof/>
      <w:kern w:val="0"/>
      <w:lang w:val="en-US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654DC"/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NormalWebChar"/>
    <w:link w:val="EndNoteBibliography"/>
    <w:rsid w:val="00D654DC"/>
    <w:rPr>
      <w:rFonts w:ascii="Aptos" w:eastAsia="Times New Roman" w:hAnsi="Aptos" w:cs="Times New Roman"/>
      <w:noProof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Nazanin Aghajan Biabani</dc:creator>
  <cp:keywords/>
  <dc:description/>
  <cp:lastModifiedBy>I Rosenzweig Consultant</cp:lastModifiedBy>
  <cp:revision>19</cp:revision>
  <dcterms:created xsi:type="dcterms:W3CDTF">2025-09-08T14:02:00Z</dcterms:created>
  <dcterms:modified xsi:type="dcterms:W3CDTF">2025-09-08T17:55:00Z</dcterms:modified>
</cp:coreProperties>
</file>