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C310" w14:textId="77777777" w:rsidR="00537EC8" w:rsidRPr="00106F06" w:rsidRDefault="00537EC8" w:rsidP="00537EC8">
      <w:pPr>
        <w:jc w:val="both"/>
        <w:rPr>
          <w:rFonts w:cs="Times New Roman"/>
          <w:b/>
          <w:bCs/>
        </w:rPr>
      </w:pPr>
      <w:r w:rsidRPr="00106F06">
        <w:rPr>
          <w:rFonts w:cs="Times New Roman"/>
          <w:b/>
          <w:bCs/>
        </w:rPr>
        <w:t xml:space="preserve">Supplementary Table </w:t>
      </w:r>
      <w:r>
        <w:rPr>
          <w:rFonts w:cs="Times New Roman"/>
          <w:b/>
          <w:bCs/>
        </w:rPr>
        <w:t>3</w:t>
      </w:r>
      <w:r w:rsidRPr="00106F06">
        <w:rPr>
          <w:rFonts w:cs="Times New Roman"/>
          <w:b/>
          <w:bCs/>
        </w:rPr>
        <w:t>: Assay methods for measuring serum MTX levels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999"/>
        <w:gridCol w:w="2396"/>
        <w:gridCol w:w="2126"/>
        <w:gridCol w:w="2551"/>
        <w:gridCol w:w="1242"/>
      </w:tblGrid>
      <w:tr w:rsidR="00537EC8" w:rsidRPr="00106F06" w14:paraId="00C8EF29" w14:textId="77777777" w:rsidTr="00286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shd w:val="clear" w:color="auto" w:fill="D9F2D0" w:themeFill="accent6" w:themeFillTint="33"/>
            <w:hideMark/>
          </w:tcPr>
          <w:p w14:paraId="407D0BDD" w14:textId="77777777" w:rsidR="00537EC8" w:rsidRPr="00E922AB" w:rsidRDefault="00537EC8" w:rsidP="004342B8">
            <w:p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Assay Type</w:t>
            </w:r>
          </w:p>
        </w:tc>
        <w:tc>
          <w:tcPr>
            <w:tcW w:w="2396" w:type="dxa"/>
            <w:shd w:val="clear" w:color="auto" w:fill="D9F2D0" w:themeFill="accent6" w:themeFillTint="33"/>
            <w:hideMark/>
          </w:tcPr>
          <w:p w14:paraId="183CE8F7" w14:textId="77777777" w:rsidR="00537EC8" w:rsidRPr="00E922AB" w:rsidRDefault="00537EC8" w:rsidP="004342B8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Description / Features</w:t>
            </w:r>
          </w:p>
        </w:tc>
        <w:tc>
          <w:tcPr>
            <w:tcW w:w="2126" w:type="dxa"/>
            <w:shd w:val="clear" w:color="auto" w:fill="D9F2D0" w:themeFill="accent6" w:themeFillTint="33"/>
            <w:hideMark/>
          </w:tcPr>
          <w:p w14:paraId="73C210BD" w14:textId="77777777" w:rsidR="00537EC8" w:rsidRPr="00E922AB" w:rsidRDefault="00537EC8" w:rsidP="004342B8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Advantages</w:t>
            </w:r>
          </w:p>
        </w:tc>
        <w:tc>
          <w:tcPr>
            <w:tcW w:w="2551" w:type="dxa"/>
            <w:shd w:val="clear" w:color="auto" w:fill="D9F2D0" w:themeFill="accent6" w:themeFillTint="33"/>
            <w:hideMark/>
          </w:tcPr>
          <w:p w14:paraId="770907A9" w14:textId="77777777" w:rsidR="00537EC8" w:rsidRPr="00E922AB" w:rsidRDefault="00537EC8" w:rsidP="004342B8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Limitations</w:t>
            </w:r>
          </w:p>
        </w:tc>
        <w:tc>
          <w:tcPr>
            <w:tcW w:w="1242" w:type="dxa"/>
            <w:shd w:val="clear" w:color="auto" w:fill="D9F2D0" w:themeFill="accent6" w:themeFillTint="33"/>
            <w:hideMark/>
          </w:tcPr>
          <w:p w14:paraId="3077D8E7" w14:textId="77777777" w:rsidR="00537EC8" w:rsidRPr="00E922AB" w:rsidRDefault="00537EC8" w:rsidP="004342B8">
            <w:pPr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References</w:t>
            </w:r>
          </w:p>
        </w:tc>
      </w:tr>
      <w:tr w:rsidR="00537EC8" w:rsidRPr="00106F06" w14:paraId="4A00000E" w14:textId="77777777" w:rsidTr="00286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hideMark/>
          </w:tcPr>
          <w:p w14:paraId="378BB82F" w14:textId="77777777" w:rsidR="00537EC8" w:rsidRPr="00E922AB" w:rsidRDefault="00537EC8" w:rsidP="004342B8">
            <w:p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Immunoassay</w:t>
            </w:r>
          </w:p>
        </w:tc>
        <w:tc>
          <w:tcPr>
            <w:tcW w:w="2396" w:type="dxa"/>
            <w:hideMark/>
          </w:tcPr>
          <w:p w14:paraId="0625B713" w14:textId="77777777" w:rsidR="00537EC8" w:rsidRPr="00E922AB" w:rsidRDefault="00537EC8" w:rsidP="004342B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Measures serum MTX concentrations using antibody-based detection.</w:t>
            </w:r>
          </w:p>
        </w:tc>
        <w:tc>
          <w:tcPr>
            <w:tcW w:w="2126" w:type="dxa"/>
            <w:hideMark/>
          </w:tcPr>
          <w:p w14:paraId="6FED043A" w14:textId="77777777" w:rsidR="00537EC8" w:rsidRPr="00E922AB" w:rsidRDefault="00537EC8" w:rsidP="004342B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High automation; rapid results; widely used in clinical laboratories</w:t>
            </w:r>
          </w:p>
        </w:tc>
        <w:tc>
          <w:tcPr>
            <w:tcW w:w="2551" w:type="dxa"/>
            <w:hideMark/>
          </w:tcPr>
          <w:p w14:paraId="72C82B57" w14:textId="77777777" w:rsidR="00537EC8" w:rsidRPr="00E922AB" w:rsidRDefault="00537EC8" w:rsidP="004342B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Can cross-react with MTX metabolites (DAMPA, glutamate); expensive; requires refrigeration</w:t>
            </w:r>
          </w:p>
        </w:tc>
        <w:tc>
          <w:tcPr>
            <w:tcW w:w="1242" w:type="dxa"/>
            <w:hideMark/>
          </w:tcPr>
          <w:p w14:paraId="043395A1" w14:textId="77777777" w:rsidR="00537EC8" w:rsidRPr="00E922AB" w:rsidRDefault="00537EC8" w:rsidP="004342B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>(</w:t>
            </w:r>
            <w:r w:rsidRPr="00E922AB">
              <w:rPr>
                <w:rFonts w:cs="Times New Roman"/>
                <w:sz w:val="22"/>
              </w:rPr>
              <w:t>3,</w:t>
            </w:r>
            <w:r>
              <w:rPr>
                <w:rFonts w:cs="Times New Roman"/>
                <w:sz w:val="22"/>
              </w:rPr>
              <w:t>51)</w:t>
            </w:r>
          </w:p>
        </w:tc>
      </w:tr>
      <w:tr w:rsidR="00537EC8" w:rsidRPr="00106F06" w14:paraId="20790B6E" w14:textId="77777777" w:rsidTr="00286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hideMark/>
          </w:tcPr>
          <w:p w14:paraId="7D0EE642" w14:textId="77777777" w:rsidR="00537EC8" w:rsidRPr="00E922AB" w:rsidRDefault="00537EC8" w:rsidP="004342B8">
            <w:p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Chromatography (HPLC/LC-MS)</w:t>
            </w:r>
          </w:p>
        </w:tc>
        <w:tc>
          <w:tcPr>
            <w:tcW w:w="2396" w:type="dxa"/>
            <w:hideMark/>
          </w:tcPr>
          <w:p w14:paraId="3FA475A0" w14:textId="77777777" w:rsidR="00537EC8" w:rsidRPr="00E922AB" w:rsidRDefault="00537EC8" w:rsidP="004342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Separates MTX from metabolites using high-performance or liquid chromatography techniques.</w:t>
            </w:r>
          </w:p>
        </w:tc>
        <w:tc>
          <w:tcPr>
            <w:tcW w:w="2126" w:type="dxa"/>
            <w:hideMark/>
          </w:tcPr>
          <w:p w14:paraId="23415A83" w14:textId="77777777" w:rsidR="00537EC8" w:rsidRPr="00E922AB" w:rsidRDefault="00537EC8" w:rsidP="004342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Gold standard; high specificity and accuracy; minimal interference from metabolites</w:t>
            </w:r>
          </w:p>
        </w:tc>
        <w:tc>
          <w:tcPr>
            <w:tcW w:w="2551" w:type="dxa"/>
            <w:hideMark/>
          </w:tcPr>
          <w:p w14:paraId="1D3A0FD6" w14:textId="77777777" w:rsidR="00537EC8" w:rsidRPr="00E922AB" w:rsidRDefault="00537EC8" w:rsidP="004342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Requires specialized equipment and trained personnel; longer turnaround time; high initial cost</w:t>
            </w:r>
          </w:p>
        </w:tc>
        <w:tc>
          <w:tcPr>
            <w:tcW w:w="1242" w:type="dxa"/>
            <w:hideMark/>
          </w:tcPr>
          <w:p w14:paraId="577E39B7" w14:textId="77777777" w:rsidR="00537EC8" w:rsidRPr="00E922AB" w:rsidRDefault="00537EC8" w:rsidP="004342B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t>(51)</w:t>
            </w:r>
          </w:p>
        </w:tc>
      </w:tr>
      <w:tr w:rsidR="00537EC8" w:rsidRPr="00106F06" w14:paraId="3E8F8FCC" w14:textId="77777777" w:rsidTr="00286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  <w:hideMark/>
          </w:tcPr>
          <w:p w14:paraId="5EB84EA7" w14:textId="77777777" w:rsidR="00537EC8" w:rsidRPr="00E922AB" w:rsidRDefault="00537EC8" w:rsidP="004342B8">
            <w:pPr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>Practical Notes</w:t>
            </w:r>
          </w:p>
        </w:tc>
        <w:tc>
          <w:tcPr>
            <w:tcW w:w="8315" w:type="dxa"/>
            <w:gridSpan w:val="4"/>
            <w:hideMark/>
          </w:tcPr>
          <w:p w14:paraId="5FAE58BF" w14:textId="77777777" w:rsidR="00537EC8" w:rsidRPr="00E922AB" w:rsidRDefault="00537EC8" w:rsidP="004342B8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E922AB">
              <w:rPr>
                <w:rFonts w:cs="Times New Roman"/>
                <w:sz w:val="22"/>
              </w:rPr>
              <w:t xml:space="preserve">Immunoassays are commonly used in routine laboratories; chromatographic methods are reserved for precise </w:t>
            </w:r>
            <w:proofErr w:type="gramStart"/>
            <w:r w:rsidRPr="00E922AB">
              <w:rPr>
                <w:rFonts w:cs="Times New Roman"/>
                <w:sz w:val="22"/>
              </w:rPr>
              <w:t>measurement</w:t>
            </w:r>
            <w:proofErr w:type="gramEnd"/>
            <w:r w:rsidRPr="00E922AB">
              <w:rPr>
                <w:rFonts w:cs="Times New Roman"/>
                <w:sz w:val="22"/>
              </w:rPr>
              <w:t xml:space="preserve"> or research applications.</w:t>
            </w:r>
          </w:p>
        </w:tc>
      </w:tr>
    </w:tbl>
    <w:p w14:paraId="248C5AFB" w14:textId="77777777" w:rsidR="00537EC8" w:rsidRPr="00E922AB" w:rsidRDefault="00537EC8" w:rsidP="00537EC8">
      <w:pPr>
        <w:jc w:val="both"/>
        <w:rPr>
          <w:rFonts w:cs="Times New Roman"/>
          <w:sz w:val="20"/>
          <w:szCs w:val="18"/>
        </w:rPr>
      </w:pPr>
      <w:r w:rsidRPr="00E922AB">
        <w:rPr>
          <w:rFonts w:cs="Times New Roman"/>
          <w:b/>
          <w:bCs/>
          <w:sz w:val="20"/>
          <w:szCs w:val="18"/>
        </w:rPr>
        <w:t>MTX –</w:t>
      </w:r>
      <w:r w:rsidRPr="00E922AB">
        <w:rPr>
          <w:rFonts w:cs="Times New Roman"/>
          <w:sz w:val="20"/>
          <w:szCs w:val="18"/>
        </w:rPr>
        <w:t xml:space="preserve"> methotrexate; </w:t>
      </w:r>
      <w:r w:rsidRPr="00E922AB">
        <w:rPr>
          <w:rFonts w:cs="Times New Roman"/>
          <w:b/>
          <w:bCs/>
          <w:sz w:val="20"/>
          <w:szCs w:val="18"/>
        </w:rPr>
        <w:t>DAMPA</w:t>
      </w:r>
      <w:r w:rsidRPr="00E922AB">
        <w:rPr>
          <w:rFonts w:cs="Times New Roman"/>
          <w:sz w:val="20"/>
          <w:szCs w:val="18"/>
        </w:rPr>
        <w:t xml:space="preserve"> – 2,4-diamino-N</w:t>
      </w:r>
      <w:r w:rsidRPr="00E922AB">
        <w:rPr>
          <w:rFonts w:cs="Times New Roman"/>
          <w:sz w:val="20"/>
          <w:szCs w:val="18"/>
          <w:vertAlign w:val="superscript"/>
        </w:rPr>
        <w:t>10</w:t>
      </w:r>
      <w:r w:rsidRPr="00E922AB">
        <w:rPr>
          <w:rFonts w:cs="Times New Roman"/>
          <w:sz w:val="20"/>
          <w:szCs w:val="18"/>
        </w:rPr>
        <w:t xml:space="preserve">-methylpteroic acid; </w:t>
      </w:r>
      <w:r w:rsidRPr="00E922AB">
        <w:rPr>
          <w:rFonts w:cs="Times New Roman"/>
          <w:b/>
          <w:bCs/>
          <w:sz w:val="20"/>
          <w:szCs w:val="18"/>
        </w:rPr>
        <w:t>HPLC</w:t>
      </w:r>
      <w:r w:rsidRPr="00E922AB">
        <w:rPr>
          <w:rFonts w:cs="Times New Roman"/>
          <w:sz w:val="20"/>
          <w:szCs w:val="18"/>
        </w:rPr>
        <w:t xml:space="preserve"> – High-performance liquid chromatography; </w:t>
      </w:r>
      <w:r w:rsidRPr="00E922AB">
        <w:rPr>
          <w:rFonts w:cs="Times New Roman"/>
          <w:b/>
          <w:bCs/>
          <w:sz w:val="20"/>
          <w:szCs w:val="18"/>
        </w:rPr>
        <w:t>LC-MS</w:t>
      </w:r>
      <w:r w:rsidRPr="00E922AB">
        <w:rPr>
          <w:rFonts w:cs="Times New Roman"/>
          <w:sz w:val="20"/>
          <w:szCs w:val="18"/>
        </w:rPr>
        <w:t xml:space="preserve"> – Liquid chromatography mass spectrometry.</w:t>
      </w:r>
    </w:p>
    <w:p w14:paraId="60A231F2" w14:textId="77777777" w:rsidR="009C02CE" w:rsidRDefault="009C02CE"/>
    <w:sectPr w:rsidR="009C02CE" w:rsidSect="00286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8B"/>
    <w:rsid w:val="000E2FE4"/>
    <w:rsid w:val="00286DAE"/>
    <w:rsid w:val="00537EC8"/>
    <w:rsid w:val="0062778B"/>
    <w:rsid w:val="009550D4"/>
    <w:rsid w:val="009C02CE"/>
    <w:rsid w:val="00A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D8EFB-0E97-459F-86F9-E913944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C8"/>
    <w:pPr>
      <w:spacing w:before="120" w:after="24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7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7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8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8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8B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8B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78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8B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8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78B"/>
    <w:pPr>
      <w:spacing w:before="0" w:after="160" w:line="259" w:lineRule="auto"/>
      <w:ind w:left="720"/>
      <w:contextualSpacing/>
    </w:pPr>
    <w:rPr>
      <w:rFonts w:asciiTheme="minorHAnsi" w:hAnsiTheme="minorHAnsi"/>
      <w:kern w:val="2"/>
      <w:sz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7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78B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537EC8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886</Characters>
  <Application>Microsoft Office Word</Application>
  <DocSecurity>0</DocSecurity>
  <Lines>43</Lines>
  <Paragraphs>19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 Kaumudee  Dixit</dc:creator>
  <cp:keywords/>
  <dc:description/>
  <cp:lastModifiedBy>Keerti Kaumudee  Dixit</cp:lastModifiedBy>
  <cp:revision>3</cp:revision>
  <dcterms:created xsi:type="dcterms:W3CDTF">2025-09-26T08:52:00Z</dcterms:created>
  <dcterms:modified xsi:type="dcterms:W3CDTF">2025-09-26T10:48:00Z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6b615d4d-143c-4586-a00e-9040c8297885</vt:lpwstr>
  </property>
</Properties>
</file>