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8F" w:rsidRDefault="00654E8F" w:rsidP="00BE05CD">
      <w:pPr>
        <w:pStyle w:val="SupplementaryMaterial"/>
      </w:pPr>
      <w:r w:rsidRPr="001549D3">
        <w:t>Supplementary Material</w:t>
      </w:r>
    </w:p>
    <w:p w:rsidR="00BE05CD" w:rsidRDefault="00BE05CD" w:rsidP="000D58BA">
      <w:pPr>
        <w:pStyle w:val="AuthorList"/>
        <w:spacing w:line="480" w:lineRule="auto"/>
        <w:jc w:val="both"/>
        <w:rPr>
          <w:sz w:val="32"/>
          <w:szCs w:val="32"/>
        </w:rPr>
      </w:pPr>
    </w:p>
    <w:p w:rsidR="000E4914" w:rsidRPr="000E4914" w:rsidRDefault="000E4914" w:rsidP="000D58BA">
      <w:pPr>
        <w:pStyle w:val="AuthorList"/>
        <w:spacing w:line="480" w:lineRule="auto"/>
        <w:jc w:val="both"/>
        <w:rPr>
          <w:sz w:val="32"/>
          <w:szCs w:val="32"/>
        </w:rPr>
      </w:pPr>
      <w:r w:rsidRPr="000E4914">
        <w:rPr>
          <w:rFonts w:hint="eastAsia"/>
          <w:sz w:val="32"/>
          <w:szCs w:val="32"/>
        </w:rPr>
        <w:t>I</w:t>
      </w:r>
      <w:r w:rsidRPr="000E4914">
        <w:rPr>
          <w:sz w:val="32"/>
          <w:szCs w:val="32"/>
        </w:rPr>
        <w:t>nduc</w:t>
      </w:r>
      <w:r w:rsidRPr="000E4914">
        <w:rPr>
          <w:rFonts w:hint="eastAsia"/>
          <w:sz w:val="32"/>
          <w:szCs w:val="32"/>
        </w:rPr>
        <w:t>tion of</w:t>
      </w:r>
      <w:r w:rsidRPr="000E4914">
        <w:rPr>
          <w:sz w:val="32"/>
          <w:szCs w:val="32"/>
        </w:rPr>
        <w:t xml:space="preserve"> Dendritic Cell Maturation and Activation </w:t>
      </w:r>
      <w:r w:rsidRPr="000E4914">
        <w:rPr>
          <w:rFonts w:hint="eastAsia"/>
          <w:sz w:val="32"/>
          <w:szCs w:val="32"/>
        </w:rPr>
        <w:t xml:space="preserve">by </w:t>
      </w:r>
      <w:r w:rsidRPr="000E4914">
        <w:rPr>
          <w:sz w:val="32"/>
          <w:szCs w:val="32"/>
        </w:rPr>
        <w:t>a Potential Adjuvant, 2-Hydroxypropyl-β-cyclodextrin</w:t>
      </w:r>
    </w:p>
    <w:p w:rsidR="000E4914" w:rsidRPr="000E4914" w:rsidRDefault="000E4914" w:rsidP="000D58BA">
      <w:pPr>
        <w:spacing w:before="240" w:after="0" w:line="480" w:lineRule="auto"/>
        <w:jc w:val="both"/>
        <w:rPr>
          <w:rFonts w:cs="Times New Roman"/>
          <w:b/>
          <w:bCs/>
          <w:szCs w:val="24"/>
        </w:rPr>
      </w:pPr>
      <w:r w:rsidRPr="000E4914">
        <w:rPr>
          <w:rFonts w:cs="Times New Roman" w:hint="eastAsia"/>
          <w:b/>
          <w:bCs/>
          <w:szCs w:val="24"/>
        </w:rPr>
        <w:t>Sun Kyung Kim, Che</w:t>
      </w:r>
      <w:r w:rsidRPr="000E4914">
        <w:rPr>
          <w:rFonts w:cs="Times New Roman"/>
          <w:b/>
          <w:bCs/>
          <w:szCs w:val="24"/>
        </w:rPr>
        <w:t>ol-Heui Yun, Seung Hyun Han</w:t>
      </w:r>
      <w:r>
        <w:rPr>
          <w:rFonts w:cs="Times New Roman"/>
          <w:b/>
          <w:szCs w:val="24"/>
          <w:vertAlign w:val="superscript"/>
        </w:rPr>
        <w:t>*</w:t>
      </w:r>
    </w:p>
    <w:p w:rsidR="002868E2" w:rsidRDefault="002868E2" w:rsidP="000D58BA">
      <w:pPr>
        <w:spacing w:before="240" w:after="0" w:line="480" w:lineRule="auto"/>
        <w:jc w:val="both"/>
        <w:rPr>
          <w:rFonts w:cs="Times New Roman"/>
        </w:rPr>
      </w:pPr>
      <w:r w:rsidRPr="00994A3D">
        <w:rPr>
          <w:rFonts w:cs="Times New Roman"/>
          <w:b/>
        </w:rPr>
        <w:t xml:space="preserve">* Correspondence: </w:t>
      </w:r>
      <w:r w:rsidR="000E4914">
        <w:rPr>
          <w:rFonts w:cs="Times New Roman"/>
        </w:rPr>
        <w:t>Seung Hyun Han</w:t>
      </w:r>
      <w:r w:rsidR="00994A3D" w:rsidRPr="00994A3D">
        <w:rPr>
          <w:rFonts w:cs="Times New Roman"/>
        </w:rPr>
        <w:t xml:space="preserve">: </w:t>
      </w:r>
      <w:hyperlink r:id="rId11" w:history="1">
        <w:r w:rsidR="00214F18" w:rsidRPr="00806EBC">
          <w:rPr>
            <w:rStyle w:val="Hyperlink"/>
            <w:rFonts w:cs="Times New Roman"/>
          </w:rPr>
          <w:t>shhan-mi@snu.ac.kr</w:t>
        </w:r>
      </w:hyperlink>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Default="00214F18" w:rsidP="000D58BA">
      <w:pPr>
        <w:spacing w:before="240" w:after="0"/>
        <w:jc w:val="both"/>
        <w:rPr>
          <w:rFonts w:cs="Times New Roman"/>
        </w:rPr>
      </w:pPr>
    </w:p>
    <w:p w:rsidR="00214F18" w:rsidRPr="00994A3D" w:rsidRDefault="00214F18" w:rsidP="000D58BA">
      <w:pPr>
        <w:spacing w:before="240" w:after="0"/>
        <w:jc w:val="both"/>
        <w:rPr>
          <w:rFonts w:cs="Times New Roman"/>
        </w:rPr>
      </w:pPr>
    </w:p>
    <w:p w:rsidR="00994A3D" w:rsidRPr="00214F18" w:rsidRDefault="00214F18" w:rsidP="000D58BA">
      <w:pPr>
        <w:spacing w:after="0" w:line="312" w:lineRule="auto"/>
        <w:contextualSpacing/>
        <w:jc w:val="both"/>
        <w:rPr>
          <w:rFonts w:cs="Times New Roman"/>
          <w:b/>
          <w:sz w:val="28"/>
          <w:szCs w:val="24"/>
        </w:rPr>
      </w:pPr>
      <w:r w:rsidRPr="00214F18">
        <w:rPr>
          <w:rFonts w:cs="Times New Roman"/>
          <w:b/>
          <w:sz w:val="28"/>
          <w:szCs w:val="24"/>
        </w:rPr>
        <w:lastRenderedPageBreak/>
        <w:t>Materials and methods</w:t>
      </w:r>
    </w:p>
    <w:p w:rsidR="00214F18" w:rsidRDefault="00214F18" w:rsidP="000D58BA">
      <w:pPr>
        <w:spacing w:after="0" w:line="312" w:lineRule="auto"/>
        <w:contextualSpacing/>
        <w:jc w:val="both"/>
        <w:rPr>
          <w:rFonts w:cs="Times New Roman"/>
          <w:b/>
          <w:sz w:val="28"/>
          <w:szCs w:val="24"/>
        </w:rPr>
      </w:pPr>
      <w:r w:rsidRPr="00942DF9">
        <w:rPr>
          <w:rFonts w:cs="Times New Roman"/>
          <w:b/>
          <w:sz w:val="28"/>
          <w:szCs w:val="24"/>
        </w:rPr>
        <w:t xml:space="preserve">Cell viability analysis </w:t>
      </w:r>
    </w:p>
    <w:p w:rsidR="00214F18" w:rsidRDefault="00214F18" w:rsidP="000D58BA">
      <w:pPr>
        <w:spacing w:after="0" w:line="312" w:lineRule="auto"/>
        <w:contextualSpacing/>
        <w:jc w:val="both"/>
        <w:rPr>
          <w:rFonts w:cs="Times New Roman"/>
          <w:szCs w:val="24"/>
        </w:rPr>
      </w:pPr>
      <w:r w:rsidRPr="00EA6CB5">
        <w:rPr>
          <w:rFonts w:cs="Times New Roman"/>
          <w:szCs w:val="24"/>
        </w:rPr>
        <w:t>DCs (2.5 × 10</w:t>
      </w:r>
      <w:r w:rsidRPr="00EA6CB5">
        <w:rPr>
          <w:rFonts w:cs="Times New Roman"/>
          <w:szCs w:val="24"/>
          <w:vertAlign w:val="superscript"/>
        </w:rPr>
        <w:t>5</w:t>
      </w:r>
      <w:r w:rsidRPr="00EA6CB5">
        <w:rPr>
          <w:rFonts w:cs="Times New Roman"/>
          <w:szCs w:val="24"/>
        </w:rPr>
        <w:t xml:space="preserve"> cells/ml) were stimulated with either HP</w:t>
      </w:r>
      <w:bookmarkStart w:id="0" w:name="OLE_LINK85"/>
      <w:bookmarkStart w:id="1" w:name="OLE_LINK86"/>
      <w:bookmarkStart w:id="2" w:name="OLE_LINK87"/>
      <w:r w:rsidR="00D72B51">
        <w:rPr>
          <w:rFonts w:cs="Times New Roman"/>
          <w:szCs w:val="24"/>
        </w:rPr>
        <w:t>-β</w:t>
      </w:r>
      <w:bookmarkEnd w:id="0"/>
      <w:bookmarkEnd w:id="1"/>
      <w:bookmarkEnd w:id="2"/>
      <w:r w:rsidR="00D72B51">
        <w:rPr>
          <w:rFonts w:cs="Times New Roman"/>
          <w:szCs w:val="24"/>
        </w:rPr>
        <w:t xml:space="preserve">-CD (0, 0.1, 0.3, or 1 mg/ml) </w:t>
      </w:r>
      <w:r w:rsidRPr="00EA6CB5">
        <w:rPr>
          <w:rFonts w:cs="Times New Roman"/>
          <w:szCs w:val="24"/>
        </w:rPr>
        <w:t>in the presence of GM-CSF (2.5 ng/ml) and IL-4 (5 ng/ml) for 24 h. The unstimulated or stimulated DCs (5 × 10</w:t>
      </w:r>
      <w:r w:rsidRPr="00EA6CB5">
        <w:rPr>
          <w:rFonts w:cs="Times New Roman"/>
          <w:szCs w:val="24"/>
          <w:vertAlign w:val="superscript"/>
        </w:rPr>
        <w:t>4</w:t>
      </w:r>
      <w:r w:rsidRPr="00EA6CB5">
        <w:rPr>
          <w:rFonts w:cs="Times New Roman"/>
          <w:szCs w:val="24"/>
        </w:rPr>
        <w:t xml:space="preserve"> cells) were suspended in 100 μl Annexin V-binding buffer</w:t>
      </w:r>
      <w:r w:rsidR="00D72B51">
        <w:rPr>
          <w:rFonts w:cs="Times New Roman"/>
          <w:szCs w:val="24"/>
        </w:rPr>
        <w:t xml:space="preserve"> (</w:t>
      </w:r>
      <w:r w:rsidR="00D72B51" w:rsidRPr="00EA6CB5">
        <w:rPr>
          <w:rFonts w:cs="Times New Roman"/>
          <w:szCs w:val="24"/>
        </w:rPr>
        <w:t>BD Biosciences</w:t>
      </w:r>
      <w:r w:rsidR="00D72B51">
        <w:rPr>
          <w:rFonts w:cs="Times New Roman"/>
          <w:szCs w:val="24"/>
        </w:rPr>
        <w:t>)</w:t>
      </w:r>
      <w:r w:rsidRPr="00EA6CB5">
        <w:rPr>
          <w:rFonts w:cs="Times New Roman"/>
          <w:szCs w:val="24"/>
        </w:rPr>
        <w:t xml:space="preserve"> containing </w:t>
      </w:r>
      <w:r w:rsidR="00D72B51" w:rsidRPr="00EA6CB5">
        <w:rPr>
          <w:rFonts w:cs="Times New Roman"/>
          <w:szCs w:val="24"/>
        </w:rPr>
        <w:t xml:space="preserve">1.25 μg/ml </w:t>
      </w:r>
      <w:r w:rsidRPr="00EA6CB5">
        <w:rPr>
          <w:rFonts w:cs="Times New Roman"/>
          <w:szCs w:val="24"/>
        </w:rPr>
        <w:t>PI (</w:t>
      </w:r>
      <w:r w:rsidR="00D72B51" w:rsidRPr="00EA6CB5">
        <w:rPr>
          <w:rFonts w:cs="Times New Roman"/>
          <w:szCs w:val="24"/>
        </w:rPr>
        <w:t>Sigma-Aldrich</w:t>
      </w:r>
      <w:r w:rsidRPr="00EA6CB5">
        <w:rPr>
          <w:rFonts w:cs="Times New Roman"/>
          <w:szCs w:val="24"/>
        </w:rPr>
        <w:t xml:space="preserve">) and </w:t>
      </w:r>
      <w:r w:rsidR="00D72B51" w:rsidRPr="00EA6CB5">
        <w:rPr>
          <w:rFonts w:cs="Times New Roman"/>
          <w:szCs w:val="24"/>
        </w:rPr>
        <w:t xml:space="preserve">0.2 μg/ml </w:t>
      </w:r>
      <w:r w:rsidRPr="00EA6CB5">
        <w:rPr>
          <w:rFonts w:cs="Times New Roman"/>
          <w:szCs w:val="24"/>
        </w:rPr>
        <w:t>FITC-conjugated Annexin V (</w:t>
      </w:r>
      <w:r w:rsidR="00D72B51">
        <w:rPr>
          <w:rFonts w:cs="Times New Roman"/>
          <w:szCs w:val="24"/>
        </w:rPr>
        <w:t>BioLegend</w:t>
      </w:r>
      <w:r w:rsidRPr="00EA6CB5">
        <w:rPr>
          <w:rFonts w:cs="Times New Roman"/>
          <w:szCs w:val="24"/>
        </w:rPr>
        <w:t>) and incubated for 10 min at room temperature. Cell viability was analyzed using flow cytometry w</w:t>
      </w:r>
      <w:r w:rsidR="000D58BA">
        <w:rPr>
          <w:rFonts w:cs="Times New Roman"/>
          <w:szCs w:val="24"/>
        </w:rPr>
        <w:t xml:space="preserve">ith FACSCalibur </w:t>
      </w:r>
      <w:r w:rsidRPr="00EA6CB5">
        <w:rPr>
          <w:rFonts w:cs="Times New Roman"/>
          <w:szCs w:val="24"/>
        </w:rPr>
        <w:t>and FlowJo softw</w:t>
      </w:r>
      <w:r w:rsidR="000D58BA">
        <w:rPr>
          <w:rFonts w:cs="Times New Roman"/>
          <w:szCs w:val="24"/>
        </w:rPr>
        <w:t>are (TreeStar</w:t>
      </w:r>
      <w:r w:rsidRPr="00EA6CB5">
        <w:rPr>
          <w:rFonts w:cs="Times New Roman"/>
          <w:szCs w:val="24"/>
        </w:rPr>
        <w:t xml:space="preserve">). </w:t>
      </w:r>
    </w:p>
    <w:p w:rsidR="0069622A" w:rsidRDefault="0069622A" w:rsidP="000D58BA">
      <w:pPr>
        <w:spacing w:after="0" w:line="312" w:lineRule="auto"/>
        <w:contextualSpacing/>
        <w:jc w:val="both"/>
        <w:rPr>
          <w:rFonts w:cs="Times New Roman"/>
          <w:szCs w:val="24"/>
        </w:rPr>
      </w:pPr>
    </w:p>
    <w:p w:rsidR="00C830F5" w:rsidRPr="005C2C3C" w:rsidRDefault="00F40CAC" w:rsidP="000D58BA">
      <w:pPr>
        <w:spacing w:after="0" w:line="312" w:lineRule="auto"/>
        <w:contextualSpacing/>
        <w:jc w:val="both"/>
        <w:rPr>
          <w:rFonts w:cs="Times New Roman"/>
          <w:b/>
          <w:sz w:val="28"/>
          <w:szCs w:val="24"/>
        </w:rPr>
      </w:pPr>
      <w:bookmarkStart w:id="3" w:name="OLE_LINK107"/>
      <w:bookmarkStart w:id="4" w:name="OLE_LINK108"/>
      <w:bookmarkStart w:id="5" w:name="OLE_LINK109"/>
      <w:bookmarkStart w:id="6" w:name="OLE_LINK110"/>
      <w:bookmarkStart w:id="7" w:name="OLE_LINK104"/>
      <w:bookmarkStart w:id="8" w:name="OLE_LINK105"/>
      <w:bookmarkStart w:id="9" w:name="OLE_LINK106"/>
      <w:r w:rsidRPr="005C2C3C">
        <w:rPr>
          <w:rFonts w:cs="Times New Roman"/>
          <w:b/>
          <w:sz w:val="28"/>
          <w:szCs w:val="24"/>
        </w:rPr>
        <w:t>Lymphocyte</w:t>
      </w:r>
      <w:r w:rsidR="00200156" w:rsidRPr="005C2C3C">
        <w:rPr>
          <w:rFonts w:cs="Times New Roman"/>
          <w:b/>
          <w:sz w:val="28"/>
          <w:szCs w:val="24"/>
        </w:rPr>
        <w:t xml:space="preserve"> </w:t>
      </w:r>
      <w:r w:rsidR="00E500A4" w:rsidRPr="005C2C3C">
        <w:rPr>
          <w:rFonts w:cs="Times New Roman"/>
          <w:b/>
          <w:sz w:val="28"/>
          <w:szCs w:val="24"/>
        </w:rPr>
        <w:t xml:space="preserve">activation </w:t>
      </w:r>
      <w:r w:rsidR="00200156" w:rsidRPr="005C2C3C">
        <w:rPr>
          <w:rFonts w:cs="Times New Roman"/>
          <w:b/>
          <w:sz w:val="28"/>
          <w:szCs w:val="24"/>
        </w:rPr>
        <w:t xml:space="preserve">by </w:t>
      </w:r>
      <w:bookmarkStart w:id="10" w:name="OLE_LINK88"/>
      <w:bookmarkStart w:id="11" w:name="OLE_LINK89"/>
      <w:r w:rsidR="00200156" w:rsidRPr="005C2C3C">
        <w:rPr>
          <w:rFonts w:cs="Times New Roman"/>
          <w:b/>
          <w:sz w:val="28"/>
          <w:szCs w:val="24"/>
        </w:rPr>
        <w:t xml:space="preserve">HP-β-CD </w:t>
      </w:r>
      <w:bookmarkEnd w:id="10"/>
      <w:bookmarkEnd w:id="11"/>
      <w:r w:rsidR="00200156" w:rsidRPr="005C2C3C">
        <w:rPr>
          <w:rFonts w:cs="Times New Roman"/>
          <w:b/>
          <w:sz w:val="28"/>
          <w:szCs w:val="24"/>
        </w:rPr>
        <w:t>or HP-β-CD-sensitized DCs</w:t>
      </w:r>
    </w:p>
    <w:bookmarkEnd w:id="3"/>
    <w:bookmarkEnd w:id="4"/>
    <w:bookmarkEnd w:id="5"/>
    <w:bookmarkEnd w:id="6"/>
    <w:p w:rsidR="0069622A" w:rsidRPr="005C2C3C" w:rsidRDefault="00D70E93" w:rsidP="00CA00D3">
      <w:pPr>
        <w:spacing w:after="0" w:line="312" w:lineRule="auto"/>
        <w:contextualSpacing/>
        <w:jc w:val="both"/>
        <w:rPr>
          <w:rFonts w:cs="Times New Roman"/>
          <w:szCs w:val="24"/>
        </w:rPr>
      </w:pPr>
      <w:r w:rsidRPr="005C2C3C">
        <w:rPr>
          <w:rFonts w:cs="Times New Roman"/>
          <w:szCs w:val="24"/>
        </w:rPr>
        <w:t>CD3</w:t>
      </w:r>
      <w:r w:rsidRPr="005C2C3C">
        <w:rPr>
          <w:rFonts w:cs="Times New Roman"/>
          <w:szCs w:val="24"/>
          <w:vertAlign w:val="superscript"/>
        </w:rPr>
        <w:t>+</w:t>
      </w:r>
      <w:r w:rsidRPr="005C2C3C">
        <w:rPr>
          <w:rFonts w:cs="Times New Roman"/>
          <w:szCs w:val="24"/>
        </w:rPr>
        <w:t xml:space="preserve"> T lymphocytes were isolated from CD14</w:t>
      </w:r>
      <w:r w:rsidRPr="005C2C3C">
        <w:rPr>
          <w:rFonts w:cs="Times New Roman"/>
          <w:szCs w:val="24"/>
          <w:vertAlign w:val="superscript"/>
        </w:rPr>
        <w:t>+</w:t>
      </w:r>
      <w:r w:rsidRPr="005C2C3C">
        <w:rPr>
          <w:rFonts w:cs="Times New Roman"/>
          <w:szCs w:val="24"/>
        </w:rPr>
        <w:t xml:space="preserve"> monocyte-depleted peripheral blood mononuclear cells by positive selection using CD3 magnetic beads (BD Biosciences). The isolated CD3</w:t>
      </w:r>
      <w:r w:rsidRPr="005C2C3C">
        <w:rPr>
          <w:rFonts w:cs="Times New Roman"/>
          <w:szCs w:val="24"/>
          <w:vertAlign w:val="superscript"/>
        </w:rPr>
        <w:t>+</w:t>
      </w:r>
      <w:r w:rsidRPr="005C2C3C">
        <w:rPr>
          <w:rFonts w:cs="Times New Roman"/>
          <w:szCs w:val="24"/>
        </w:rPr>
        <w:t xml:space="preserve"> T lymphocytes were labeled with 10 μM 5,6-carboxyfluorescein diacetate succinimidyl ester (CFSE) for 15 min at 37</w:t>
      </w:r>
      <w:r w:rsidRPr="005C2C3C">
        <w:rPr>
          <w:rFonts w:eastAsia="Malgun Gothic" w:cs="Times New Roman"/>
          <w:szCs w:val="24"/>
        </w:rPr>
        <w:t>˚</w:t>
      </w:r>
      <w:r w:rsidRPr="005C2C3C">
        <w:rPr>
          <w:rFonts w:cs="Times New Roman"/>
          <w:szCs w:val="24"/>
        </w:rPr>
        <w:t>C and washed with PBS. The CFSE-labeled autologous CD3</w:t>
      </w:r>
      <w:r w:rsidRPr="005C2C3C">
        <w:rPr>
          <w:rFonts w:cs="Times New Roman"/>
          <w:szCs w:val="24"/>
          <w:vertAlign w:val="superscript"/>
        </w:rPr>
        <w:t xml:space="preserve">+ </w:t>
      </w:r>
      <w:r w:rsidRPr="005C2C3C">
        <w:rPr>
          <w:rFonts w:cs="Times New Roman"/>
          <w:szCs w:val="24"/>
        </w:rPr>
        <w:t>T lymphocytes (2.5 × 10</w:t>
      </w:r>
      <w:r w:rsidRPr="005C2C3C">
        <w:rPr>
          <w:rFonts w:cs="Times New Roman"/>
          <w:szCs w:val="24"/>
          <w:vertAlign w:val="superscript"/>
        </w:rPr>
        <w:t>5</w:t>
      </w:r>
      <w:r w:rsidRPr="005C2C3C">
        <w:rPr>
          <w:rFonts w:cs="Times New Roman"/>
          <w:szCs w:val="24"/>
        </w:rPr>
        <w:t xml:space="preserve"> cells/ml) were treated with HP-β-CD (0.3 or 1 mg/ml) for 4 days. In a separate experiment, immature DCs (2.5 × 10</w:t>
      </w:r>
      <w:r w:rsidRPr="005C2C3C">
        <w:rPr>
          <w:rFonts w:cs="Times New Roman"/>
          <w:szCs w:val="24"/>
          <w:vertAlign w:val="superscript"/>
        </w:rPr>
        <w:t>5</w:t>
      </w:r>
      <w:r w:rsidR="00F40CAC" w:rsidRPr="005C2C3C">
        <w:rPr>
          <w:rFonts w:cs="Times New Roman"/>
          <w:szCs w:val="24"/>
        </w:rPr>
        <w:t xml:space="preserve"> cells/ml) were trea</w:t>
      </w:r>
      <w:r w:rsidRPr="005C2C3C">
        <w:rPr>
          <w:rFonts w:cs="Times New Roman"/>
          <w:szCs w:val="24"/>
        </w:rPr>
        <w:t xml:space="preserve">ted with </w:t>
      </w:r>
      <w:bookmarkStart w:id="12" w:name="OLE_LINK82"/>
      <w:bookmarkStart w:id="13" w:name="OLE_LINK83"/>
      <w:bookmarkStart w:id="14" w:name="OLE_LINK84"/>
      <w:r w:rsidRPr="005C2C3C">
        <w:rPr>
          <w:rFonts w:cs="Times New Roman"/>
          <w:szCs w:val="24"/>
        </w:rPr>
        <w:t xml:space="preserve">HP-β-CD </w:t>
      </w:r>
      <w:bookmarkEnd w:id="12"/>
      <w:bookmarkEnd w:id="13"/>
      <w:bookmarkEnd w:id="14"/>
      <w:r w:rsidRPr="005C2C3C">
        <w:rPr>
          <w:rFonts w:cs="Times New Roman"/>
          <w:szCs w:val="24"/>
        </w:rPr>
        <w:t>(1 mg/ml) in the presence of GM-CSF (2.5 ng/ml) and IL-4 (5 ng/ml) for 16 h. After removal of the culture supernatant, the DCs (5 × 10</w:t>
      </w:r>
      <w:r w:rsidRPr="005C2C3C">
        <w:rPr>
          <w:rFonts w:cs="Times New Roman"/>
          <w:szCs w:val="24"/>
          <w:vertAlign w:val="superscript"/>
        </w:rPr>
        <w:t>4</w:t>
      </w:r>
      <w:r w:rsidRPr="005C2C3C">
        <w:rPr>
          <w:rFonts w:cs="Times New Roman"/>
          <w:szCs w:val="24"/>
        </w:rPr>
        <w:t xml:space="preserve"> cells) were co</w:t>
      </w:r>
      <w:r w:rsidR="00F40CAC" w:rsidRPr="005C2C3C">
        <w:rPr>
          <w:rFonts w:cs="Times New Roman"/>
          <w:szCs w:val="24"/>
        </w:rPr>
        <w:t>-</w:t>
      </w:r>
      <w:r w:rsidRPr="005C2C3C">
        <w:rPr>
          <w:rFonts w:cs="Times New Roman"/>
          <w:szCs w:val="24"/>
        </w:rPr>
        <w:t xml:space="preserve">cultured with </w:t>
      </w:r>
      <w:bookmarkStart w:id="15" w:name="OLE_LINK81"/>
      <w:r w:rsidRPr="005C2C3C">
        <w:rPr>
          <w:rFonts w:cs="Times New Roman"/>
          <w:szCs w:val="24"/>
        </w:rPr>
        <w:t xml:space="preserve">the CFSE-labeled autologous </w:t>
      </w:r>
      <w:bookmarkStart w:id="16" w:name="OLE_LINK79"/>
      <w:bookmarkStart w:id="17" w:name="OLE_LINK80"/>
      <w:r w:rsidRPr="005C2C3C">
        <w:rPr>
          <w:rFonts w:cs="Times New Roman"/>
          <w:szCs w:val="24"/>
        </w:rPr>
        <w:t>CD3</w:t>
      </w:r>
      <w:r w:rsidRPr="005C2C3C">
        <w:rPr>
          <w:rFonts w:cs="Times New Roman"/>
          <w:szCs w:val="24"/>
          <w:vertAlign w:val="superscript"/>
        </w:rPr>
        <w:t xml:space="preserve">+ </w:t>
      </w:r>
      <w:r w:rsidRPr="005C2C3C">
        <w:rPr>
          <w:rFonts w:cs="Times New Roman"/>
          <w:szCs w:val="24"/>
        </w:rPr>
        <w:t>T lymphocytes (5 × 10</w:t>
      </w:r>
      <w:r w:rsidRPr="005C2C3C">
        <w:rPr>
          <w:rFonts w:cs="Times New Roman"/>
          <w:szCs w:val="24"/>
          <w:vertAlign w:val="superscript"/>
        </w:rPr>
        <w:t>4</w:t>
      </w:r>
      <w:r w:rsidRPr="005C2C3C">
        <w:rPr>
          <w:rFonts w:cs="Times New Roman"/>
          <w:szCs w:val="24"/>
        </w:rPr>
        <w:t xml:space="preserve"> cells)</w:t>
      </w:r>
      <w:bookmarkEnd w:id="15"/>
      <w:r w:rsidRPr="005C2C3C">
        <w:rPr>
          <w:rFonts w:cs="Times New Roman"/>
          <w:szCs w:val="24"/>
        </w:rPr>
        <w:t xml:space="preserve"> </w:t>
      </w:r>
      <w:bookmarkEnd w:id="16"/>
      <w:bookmarkEnd w:id="17"/>
      <w:r w:rsidRPr="005C2C3C">
        <w:rPr>
          <w:rFonts w:cs="Times New Roman"/>
          <w:szCs w:val="24"/>
        </w:rPr>
        <w:t>for 4 days. The proliferation and CD25 expression of the T lymphocytes were analyzed by flow cytometry and FlowJo software.</w:t>
      </w:r>
      <w:r w:rsidR="0069622A" w:rsidRPr="005C2C3C">
        <w:rPr>
          <w:rFonts w:cs="Times New Roman"/>
          <w:szCs w:val="24"/>
        </w:rPr>
        <w:t xml:space="preserve"> </w:t>
      </w:r>
    </w:p>
    <w:bookmarkEnd w:id="7"/>
    <w:bookmarkEnd w:id="8"/>
    <w:bookmarkEnd w:id="9"/>
    <w:p w:rsidR="0069622A" w:rsidRDefault="0069622A" w:rsidP="0069622A">
      <w:pPr>
        <w:spacing w:after="0" w:line="276" w:lineRule="auto"/>
        <w:contextualSpacing/>
        <w:jc w:val="both"/>
        <w:rPr>
          <w:rFonts w:cs="Times New Roman"/>
          <w:szCs w:val="24"/>
        </w:rPr>
      </w:pPr>
    </w:p>
    <w:p w:rsidR="00214F18" w:rsidRPr="00692ACF" w:rsidRDefault="00214F18" w:rsidP="000D58BA">
      <w:pPr>
        <w:spacing w:after="0" w:line="312" w:lineRule="auto"/>
        <w:contextualSpacing/>
        <w:jc w:val="both"/>
        <w:rPr>
          <w:rFonts w:cs="Times New Roman"/>
          <w:b/>
          <w:sz w:val="28"/>
          <w:szCs w:val="24"/>
        </w:rPr>
      </w:pPr>
      <w:bookmarkStart w:id="18" w:name="OLE_LINK70"/>
      <w:bookmarkStart w:id="19" w:name="OLE_LINK71"/>
      <w:bookmarkStart w:id="20" w:name="OLE_LINK72"/>
      <w:r w:rsidRPr="00692ACF">
        <w:rPr>
          <w:rFonts w:cs="Times New Roman"/>
          <w:b/>
          <w:sz w:val="28"/>
          <w:szCs w:val="24"/>
        </w:rPr>
        <w:t>Immunization with OVA plus HP-β-CD in mice</w:t>
      </w:r>
    </w:p>
    <w:bookmarkEnd w:id="18"/>
    <w:bookmarkEnd w:id="19"/>
    <w:bookmarkEnd w:id="20"/>
    <w:p w:rsidR="00214F18" w:rsidRPr="00692ACF" w:rsidRDefault="00214F18" w:rsidP="000D58BA">
      <w:pPr>
        <w:spacing w:after="0" w:line="312" w:lineRule="auto"/>
        <w:contextualSpacing/>
        <w:jc w:val="both"/>
        <w:rPr>
          <w:rFonts w:cs="Times New Roman"/>
          <w:szCs w:val="24"/>
        </w:rPr>
      </w:pPr>
      <w:r w:rsidRPr="00692ACF">
        <w:rPr>
          <w:rFonts w:cs="Times New Roman"/>
          <w:szCs w:val="24"/>
        </w:rPr>
        <w:t xml:space="preserve">Seven-week-old male C57BL/6 mice were purchased from Orient Bio (Sungnam, Korea) and maintained in a specific pathogen-free animal facility. All experiments using animals were conducted under the approval of the Institutional Animal Care and Use Committee of Seoul National University. Care and treatment of the animals were carried out in accordance with the approved guidelines. Mice were anesthetized by intraperitoneal injection of Avertin (2,2,2-tribromoethanol and </w:t>
      </w:r>
      <w:r w:rsidRPr="00692ACF">
        <w:rPr>
          <w:rFonts w:eastAsia="BatangChe"/>
        </w:rPr>
        <w:t>2-methyl-2-butanol</w:t>
      </w:r>
      <w:r w:rsidRPr="00692ACF">
        <w:rPr>
          <w:rFonts w:cs="Times New Roman"/>
          <w:szCs w:val="24"/>
        </w:rPr>
        <w:t xml:space="preserve">) and administered with 20 μg OVA with or without 3 mg HP-β-CD through a hind footpad. The mice were maintained for 24 h or 7 days and sacrificed to obtain the draining lymph nodes and the blood, respectively. </w:t>
      </w:r>
    </w:p>
    <w:p w:rsidR="00214F18" w:rsidRPr="00692ACF" w:rsidRDefault="00214F18" w:rsidP="000D58BA">
      <w:pPr>
        <w:spacing w:after="0" w:line="312" w:lineRule="auto"/>
        <w:contextualSpacing/>
        <w:jc w:val="both"/>
        <w:rPr>
          <w:rFonts w:cs="Times New Roman"/>
          <w:szCs w:val="24"/>
        </w:rPr>
      </w:pPr>
    </w:p>
    <w:p w:rsidR="00214F18" w:rsidRPr="00692ACF" w:rsidRDefault="00214F18" w:rsidP="000D58BA">
      <w:pPr>
        <w:spacing w:after="0" w:line="312" w:lineRule="auto"/>
        <w:contextualSpacing/>
        <w:jc w:val="both"/>
        <w:rPr>
          <w:rFonts w:cs="Times New Roman"/>
          <w:b/>
          <w:sz w:val="28"/>
          <w:szCs w:val="24"/>
        </w:rPr>
      </w:pPr>
      <w:r w:rsidRPr="00692ACF">
        <w:rPr>
          <w:rFonts w:cs="Times New Roman"/>
          <w:b/>
          <w:sz w:val="28"/>
          <w:szCs w:val="24"/>
        </w:rPr>
        <w:t>Measurement of antibody titers</w:t>
      </w:r>
    </w:p>
    <w:p w:rsidR="00214F18" w:rsidRPr="00692ACF" w:rsidRDefault="00214F18" w:rsidP="000D58BA">
      <w:pPr>
        <w:spacing w:after="0" w:line="312" w:lineRule="auto"/>
        <w:contextualSpacing/>
        <w:jc w:val="both"/>
        <w:rPr>
          <w:rFonts w:cs="Times New Roman"/>
        </w:rPr>
      </w:pPr>
      <w:r w:rsidRPr="00692ACF">
        <w:rPr>
          <w:rFonts w:cs="Times New Roman"/>
          <w:szCs w:val="24"/>
        </w:rPr>
        <w:t xml:space="preserve">The blood samples were taken from the mice immunized with OVA with or without HP-β-CD on day seven by cardiac puncture and subjected to centrifugation at 11,460 </w:t>
      </w:r>
      <w:r w:rsidRPr="00692ACF">
        <w:rPr>
          <w:rFonts w:cs="Times New Roman"/>
        </w:rPr>
        <w:t>×</w:t>
      </w:r>
      <w:r w:rsidRPr="00692ACF">
        <w:rPr>
          <w:rFonts w:cs="Times New Roman"/>
          <w:i/>
          <w:szCs w:val="24"/>
        </w:rPr>
        <w:t>g</w:t>
      </w:r>
      <w:r w:rsidRPr="00692ACF">
        <w:rPr>
          <w:rFonts w:cs="Times New Roman"/>
          <w:szCs w:val="24"/>
        </w:rPr>
        <w:t>, 10 min. The sera were collected and stored at -80</w:t>
      </w:r>
      <w:r w:rsidRPr="00692ACF">
        <w:rPr>
          <w:rFonts w:cs="Times New Roman"/>
        </w:rPr>
        <w:t>°C.</w:t>
      </w:r>
      <w:r w:rsidRPr="00692ACF">
        <w:rPr>
          <w:rFonts w:cs="Times New Roman"/>
          <w:szCs w:val="24"/>
        </w:rPr>
        <w:t xml:space="preserve"> Titers of OVA-specific antibodies (total IgG, IgG1, and IgG2a) in the sera were determined by ELISA using </w:t>
      </w:r>
      <w:r w:rsidR="00D72B51">
        <w:rPr>
          <w:rFonts w:cs="Times New Roman"/>
          <w:szCs w:val="24"/>
        </w:rPr>
        <w:t>h</w:t>
      </w:r>
      <w:r w:rsidR="00D72B51" w:rsidRPr="00692ACF">
        <w:rPr>
          <w:rFonts w:cs="Times New Roman"/>
          <w:szCs w:val="24"/>
        </w:rPr>
        <w:t xml:space="preserve">orseradish peroxidase </w:t>
      </w:r>
      <w:r w:rsidR="00D72B51">
        <w:rPr>
          <w:rFonts w:cs="Times New Roman"/>
          <w:szCs w:val="24"/>
        </w:rPr>
        <w:t>(</w:t>
      </w:r>
      <w:r w:rsidRPr="00692ACF">
        <w:rPr>
          <w:rFonts w:cs="Times New Roman"/>
          <w:szCs w:val="24"/>
        </w:rPr>
        <w:t>HRP</w:t>
      </w:r>
      <w:r w:rsidR="00D72B51">
        <w:rPr>
          <w:rFonts w:cs="Times New Roman"/>
          <w:szCs w:val="24"/>
        </w:rPr>
        <w:t>)</w:t>
      </w:r>
      <w:r w:rsidRPr="00692ACF">
        <w:rPr>
          <w:rFonts w:cs="Times New Roman"/>
          <w:szCs w:val="24"/>
        </w:rPr>
        <w:t xml:space="preserve">-conjugated anti-mouse total IgG, IgG1, and </w:t>
      </w:r>
      <w:r w:rsidRPr="00692ACF">
        <w:rPr>
          <w:rFonts w:cs="Times New Roman"/>
          <w:szCs w:val="24"/>
        </w:rPr>
        <w:lastRenderedPageBreak/>
        <w:t>IgG2a antibodies</w:t>
      </w:r>
      <w:r w:rsidR="00D72B51">
        <w:rPr>
          <w:rFonts w:cs="Times New Roman"/>
          <w:szCs w:val="24"/>
        </w:rPr>
        <w:t xml:space="preserve"> (Southern Biotech)</w:t>
      </w:r>
      <w:r w:rsidR="00D72B51" w:rsidRPr="00692ACF">
        <w:rPr>
          <w:rFonts w:cs="Times New Roman"/>
          <w:szCs w:val="24"/>
        </w:rPr>
        <w:t>.</w:t>
      </w:r>
      <w:r w:rsidRPr="00692ACF">
        <w:rPr>
          <w:rFonts w:cs="Times New Roman"/>
          <w:szCs w:val="24"/>
        </w:rPr>
        <w:t xml:space="preserve"> </w:t>
      </w:r>
      <w:r w:rsidRPr="00692ACF">
        <w:rPr>
          <w:rFonts w:cs="Times New Roman" w:hint="eastAsia"/>
          <w:szCs w:val="24"/>
        </w:rPr>
        <w:t>Briefly</w:t>
      </w:r>
      <w:r w:rsidRPr="00692ACF">
        <w:rPr>
          <w:rFonts w:ascii="Batang" w:eastAsia="Batang" w:hAnsi="Batang" w:cs="Batang" w:hint="eastAsia"/>
          <w:szCs w:val="24"/>
        </w:rPr>
        <w:t>,</w:t>
      </w:r>
      <w:r w:rsidRPr="00692ACF">
        <w:rPr>
          <w:rFonts w:ascii="Batang" w:eastAsia="Batang" w:hAnsi="Batang" w:cs="Batang"/>
          <w:szCs w:val="24"/>
        </w:rPr>
        <w:t xml:space="preserve"> </w:t>
      </w:r>
      <w:r w:rsidRPr="00692ACF">
        <w:rPr>
          <w:rFonts w:cs="Times New Roman"/>
          <w:szCs w:val="24"/>
        </w:rPr>
        <w:t>96-well microtiter plates were incubated with 10 μg/ml OVA in PBS overnight at 4</w:t>
      </w:r>
      <w:r w:rsidRPr="00692ACF">
        <w:rPr>
          <w:rFonts w:cs="Times New Roman"/>
        </w:rPr>
        <w:t>°C. The plates were washed and incubated with 1% BSA in PBS for 1 h. The plates were washed and incubated with diluted serum for 2 h at room temperature. The plates were washed and incubated with HRP-conjugated anti-mouse total IgG, IgG1, or IgG2a antibody for 2 h. After the plates were washed, color reactions were initiated by the addition of TMB solution (BioLegend) and stopped with 2 N H</w:t>
      </w:r>
      <w:r w:rsidRPr="00692ACF">
        <w:rPr>
          <w:rFonts w:cs="Times New Roman"/>
          <w:vertAlign w:val="subscript"/>
        </w:rPr>
        <w:t>2</w:t>
      </w:r>
      <w:r w:rsidRPr="00692ACF">
        <w:rPr>
          <w:rFonts w:cs="Times New Roman"/>
        </w:rPr>
        <w:t>SO</w:t>
      </w:r>
      <w:r w:rsidRPr="00692ACF">
        <w:rPr>
          <w:rFonts w:cs="Times New Roman"/>
          <w:vertAlign w:val="subscript"/>
        </w:rPr>
        <w:t>4</w:t>
      </w:r>
      <w:r w:rsidRPr="00692ACF">
        <w:rPr>
          <w:rFonts w:cs="Times New Roman"/>
        </w:rPr>
        <w:t>. The optical density was measured at a wavelength of 450 nm. The antibody titers expressed as the reciprocal log</w:t>
      </w:r>
      <w:r w:rsidRPr="00692ACF">
        <w:rPr>
          <w:rFonts w:cs="Times New Roman"/>
          <w:vertAlign w:val="subscript"/>
        </w:rPr>
        <w:t xml:space="preserve">2 </w:t>
      </w:r>
      <w:r w:rsidRPr="00692ACF">
        <w:rPr>
          <w:rFonts w:cs="Times New Roman"/>
        </w:rPr>
        <w:t>were determined at the point giving an optical density at 450 nm higher than background (cutoff value: OD</w:t>
      </w:r>
      <w:r w:rsidRPr="00692ACF">
        <w:rPr>
          <w:rFonts w:cs="Times New Roman"/>
          <w:vertAlign w:val="subscript"/>
        </w:rPr>
        <w:t>450</w:t>
      </w:r>
      <w:r w:rsidRPr="00692ACF">
        <w:rPr>
          <w:rFonts w:cs="Times New Roman"/>
        </w:rPr>
        <w:t>=0.1).</w:t>
      </w:r>
    </w:p>
    <w:p w:rsidR="00214F18" w:rsidRPr="00214F18" w:rsidRDefault="00214F18" w:rsidP="000D58BA">
      <w:pPr>
        <w:spacing w:before="100" w:beforeAutospacing="1" w:after="100" w:afterAutospacing="1"/>
        <w:jc w:val="both"/>
        <w:rPr>
          <w:rFonts w:eastAsia="Times New Roman" w:cs="Times New Roman"/>
          <w:szCs w:val="24"/>
          <w:lang w:eastAsia="en-GB"/>
        </w:rPr>
      </w:pPr>
    </w:p>
    <w:p w:rsidR="00214F18" w:rsidRDefault="00214F18"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0B4460" w:rsidRDefault="000B4460" w:rsidP="000D58BA">
      <w:pPr>
        <w:spacing w:before="100" w:beforeAutospacing="1" w:after="100" w:afterAutospacing="1"/>
        <w:jc w:val="both"/>
        <w:rPr>
          <w:rFonts w:eastAsia="Times New Roman" w:cs="Times New Roman"/>
          <w:szCs w:val="24"/>
          <w:lang w:val="en-GB" w:eastAsia="en-GB"/>
        </w:rPr>
      </w:pPr>
    </w:p>
    <w:p w:rsidR="00214F18" w:rsidRPr="00994A3D" w:rsidRDefault="00214F18" w:rsidP="000D58BA">
      <w:pPr>
        <w:spacing w:before="100" w:beforeAutospacing="1" w:after="100" w:afterAutospacing="1"/>
        <w:jc w:val="both"/>
        <w:rPr>
          <w:rFonts w:eastAsia="Times New Roman" w:cs="Times New Roman"/>
          <w:szCs w:val="24"/>
          <w:lang w:val="en-GB" w:eastAsia="en-GB"/>
        </w:rPr>
      </w:pPr>
    </w:p>
    <w:p w:rsidR="00971C04" w:rsidRPr="00971C04" w:rsidRDefault="00F80959" w:rsidP="000D58BA">
      <w:pPr>
        <w:jc w:val="both"/>
      </w:pPr>
      <w:r>
        <w:rPr>
          <w:noProof/>
          <w:lang w:val="en-GB" w:eastAsia="en-GB" w:bidi="bn-IN"/>
        </w:rPr>
        <w:drawing>
          <wp:inline distT="0" distB="0" distL="0" distR="0" wp14:anchorId="1C0A78C3">
            <wp:extent cx="4513479" cy="4626933"/>
            <wp:effectExtent l="0" t="0" r="0" b="0"/>
            <wp:docPr id="79" name="그림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5285" cy="4628785"/>
                    </a:xfrm>
                    <a:prstGeom prst="rect">
                      <a:avLst/>
                    </a:prstGeom>
                    <a:noFill/>
                  </pic:spPr>
                </pic:pic>
              </a:graphicData>
            </a:graphic>
          </wp:inline>
        </w:drawing>
      </w:r>
    </w:p>
    <w:p w:rsidR="00994A3D" w:rsidRDefault="00994A3D" w:rsidP="000D58BA">
      <w:pPr>
        <w:keepNext/>
        <w:jc w:val="both"/>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D72B51">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F80959" w:rsidRPr="008C0545">
        <w:rPr>
          <w:rFonts w:cs="Times New Roman"/>
          <w:b/>
          <w:szCs w:val="24"/>
        </w:rPr>
        <w:t xml:space="preserve">HP-β-CD </w:t>
      </w:r>
      <w:r w:rsidR="00F80959">
        <w:rPr>
          <w:rFonts w:cs="Times New Roman"/>
          <w:b/>
          <w:szCs w:val="24"/>
        </w:rPr>
        <w:t>is not cytotoxic to DCs.</w:t>
      </w:r>
    </w:p>
    <w:p w:rsidR="00F80959" w:rsidRDefault="00F80959" w:rsidP="000D58BA">
      <w:pPr>
        <w:spacing w:after="0"/>
        <w:contextualSpacing/>
        <w:jc w:val="both"/>
        <w:rPr>
          <w:rFonts w:cs="Times New Roman"/>
          <w:szCs w:val="24"/>
        </w:rPr>
      </w:pPr>
      <w:r>
        <w:rPr>
          <w:rFonts w:cs="Times New Roman"/>
          <w:szCs w:val="24"/>
        </w:rPr>
        <w:t xml:space="preserve">(A) </w:t>
      </w:r>
      <w:r w:rsidRPr="008C0545">
        <w:rPr>
          <w:rFonts w:cs="Times New Roman"/>
          <w:szCs w:val="24"/>
        </w:rPr>
        <w:t>Immature DCs (2.5 × 10</w:t>
      </w:r>
      <w:r w:rsidRPr="008C0545">
        <w:rPr>
          <w:rFonts w:cs="Times New Roman"/>
          <w:szCs w:val="24"/>
          <w:vertAlign w:val="superscript"/>
        </w:rPr>
        <w:t>5</w:t>
      </w:r>
      <w:r w:rsidRPr="008C0545">
        <w:rPr>
          <w:rFonts w:cs="Times New Roman"/>
          <w:szCs w:val="24"/>
        </w:rPr>
        <w:t xml:space="preserve"> cells/ml) were stimulated with HP-β-CD (0, 0.1, 0.3, or 1 mg/ml) in the presence of GM-CSF and IL-4 for 24 h. DCs stimulated with HP-β-CD were stained with Annexin V and PI</w:t>
      </w:r>
      <w:r w:rsidRPr="008C0545">
        <w:rPr>
          <w:rFonts w:cs="Times New Roman" w:hint="eastAsia"/>
          <w:szCs w:val="24"/>
        </w:rPr>
        <w:t xml:space="preserve"> and c</w:t>
      </w:r>
      <w:r w:rsidRPr="008C0545">
        <w:rPr>
          <w:rFonts w:cs="Times New Roman"/>
          <w:szCs w:val="24"/>
        </w:rPr>
        <w:t>ell viability was determined by flow cytometry.</w:t>
      </w:r>
      <w:r>
        <w:rPr>
          <w:rFonts w:cs="Times New Roman"/>
          <w:szCs w:val="24"/>
        </w:rPr>
        <w:t xml:space="preserve"> (B) </w:t>
      </w:r>
      <w:r w:rsidRPr="00CA7447">
        <w:rPr>
          <w:rFonts w:cs="Times New Roman"/>
        </w:rPr>
        <w:t>Immature DCs (2.5 × 10</w:t>
      </w:r>
      <w:r w:rsidRPr="00CA7447">
        <w:rPr>
          <w:rFonts w:cs="Times New Roman"/>
          <w:vertAlign w:val="superscript"/>
        </w:rPr>
        <w:t>5</w:t>
      </w:r>
      <w:r w:rsidRPr="00CA7447">
        <w:rPr>
          <w:rFonts w:cs="Times New Roman"/>
        </w:rPr>
        <w:t xml:space="preserve"> cells/ml) were pretreated with filipin (10 and 30 μg/ml)</w:t>
      </w:r>
      <w:r>
        <w:rPr>
          <w:rFonts w:cs="Times New Roman"/>
        </w:rPr>
        <w:t xml:space="preserve"> or methanol as a vehicle control</w:t>
      </w:r>
      <w:r w:rsidRPr="00CA7447">
        <w:rPr>
          <w:rFonts w:cs="Times New Roman"/>
        </w:rPr>
        <w:t xml:space="preserve"> for 1 h, followed by stimulation with HP-β-CD (1 mg/ml) for another 24 h. Cells were stained with Annexin V and PI, and then the cell viability was analyzed by flow cytometry.</w:t>
      </w:r>
    </w:p>
    <w:p w:rsidR="00DE23E8" w:rsidRDefault="00DE23E8" w:rsidP="000D58BA">
      <w:pPr>
        <w:spacing w:before="240"/>
        <w:jc w:val="both"/>
      </w:pPr>
    </w:p>
    <w:p w:rsidR="00F80959" w:rsidRDefault="00F80959" w:rsidP="000D58BA">
      <w:pPr>
        <w:spacing w:before="240"/>
        <w:jc w:val="both"/>
      </w:pPr>
    </w:p>
    <w:p w:rsidR="0069622A" w:rsidRDefault="0069622A" w:rsidP="000D58BA">
      <w:pPr>
        <w:spacing w:before="240"/>
        <w:jc w:val="both"/>
      </w:pPr>
    </w:p>
    <w:p w:rsidR="0069622A" w:rsidRDefault="0069622A" w:rsidP="000D58BA">
      <w:pPr>
        <w:spacing w:before="240"/>
        <w:jc w:val="both"/>
      </w:pPr>
    </w:p>
    <w:p w:rsidR="0069622A" w:rsidRDefault="0069622A" w:rsidP="000D58BA">
      <w:pPr>
        <w:spacing w:before="240"/>
        <w:jc w:val="both"/>
      </w:pPr>
    </w:p>
    <w:p w:rsidR="0069622A" w:rsidRDefault="0069622A" w:rsidP="000D58BA">
      <w:pPr>
        <w:spacing w:before="240"/>
        <w:jc w:val="both"/>
      </w:pPr>
    </w:p>
    <w:p w:rsidR="0069622A" w:rsidRDefault="004E6D07" w:rsidP="000D58BA">
      <w:pPr>
        <w:spacing w:before="240"/>
        <w:jc w:val="both"/>
      </w:pPr>
      <w:r w:rsidRPr="004E6D07">
        <w:rPr>
          <w:noProof/>
          <w:lang w:val="en-GB" w:eastAsia="en-GB" w:bidi="bn-IN"/>
        </w:rPr>
        <w:drawing>
          <wp:inline distT="0" distB="0" distL="0" distR="0">
            <wp:extent cx="6208395" cy="2593833"/>
            <wp:effectExtent l="0" t="0" r="1905" b="0"/>
            <wp:docPr id="30" name="그림 30" descr="C:\Users\김선경\Desktop\supplementary 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김선경\Desktop\supplementary figure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8395" cy="2593833"/>
                    </a:xfrm>
                    <a:prstGeom prst="rect">
                      <a:avLst/>
                    </a:prstGeom>
                    <a:noFill/>
                    <a:ln>
                      <a:noFill/>
                    </a:ln>
                  </pic:spPr>
                </pic:pic>
              </a:graphicData>
            </a:graphic>
          </wp:inline>
        </w:drawing>
      </w:r>
    </w:p>
    <w:p w:rsidR="00D849E5" w:rsidRPr="005C2C3C" w:rsidRDefault="0069622A" w:rsidP="00D849E5">
      <w:pPr>
        <w:spacing w:after="0"/>
        <w:contextualSpacing/>
        <w:jc w:val="both"/>
        <w:rPr>
          <w:rFonts w:cs="Times New Roman"/>
          <w:b/>
          <w:szCs w:val="24"/>
        </w:rPr>
      </w:pPr>
      <w:bookmarkStart w:id="21" w:name="OLE_LINK114"/>
      <w:bookmarkStart w:id="22" w:name="OLE_LINK115"/>
      <w:bookmarkStart w:id="23" w:name="OLE_LINK116"/>
      <w:bookmarkStart w:id="24" w:name="OLE_LINK117"/>
      <w:bookmarkStart w:id="25" w:name="_GoBack"/>
      <w:bookmarkEnd w:id="25"/>
      <w:r w:rsidRPr="005C2C3C">
        <w:rPr>
          <w:rFonts w:cs="Times New Roman"/>
          <w:b/>
          <w:szCs w:val="24"/>
        </w:rPr>
        <w:t>Supplementary Figure 2.</w:t>
      </w:r>
      <w:r w:rsidRPr="005C2C3C">
        <w:rPr>
          <w:rFonts w:cs="Times New Roman"/>
          <w:szCs w:val="24"/>
        </w:rPr>
        <w:t xml:space="preserve"> </w:t>
      </w:r>
      <w:r w:rsidR="00E500A4" w:rsidRPr="005C2C3C">
        <w:rPr>
          <w:rFonts w:cs="Times New Roman"/>
          <w:b/>
          <w:szCs w:val="24"/>
        </w:rPr>
        <w:t xml:space="preserve">HP-β-CD-sensitized DCs, but not HP-β-CD, </w:t>
      </w:r>
      <w:r w:rsidR="00D849E5" w:rsidRPr="005C2C3C">
        <w:rPr>
          <w:rFonts w:cs="Times New Roman"/>
          <w:b/>
          <w:szCs w:val="24"/>
        </w:rPr>
        <w:t>activate T lymphocytes.</w:t>
      </w:r>
    </w:p>
    <w:p w:rsidR="00DD5725" w:rsidRPr="005C2C3C" w:rsidRDefault="00DD5725" w:rsidP="00DD5725">
      <w:pPr>
        <w:spacing w:after="0"/>
        <w:contextualSpacing/>
        <w:jc w:val="both"/>
      </w:pPr>
      <w:r w:rsidRPr="005C2C3C">
        <w:rPr>
          <w:rFonts w:cs="Times New Roman"/>
          <w:szCs w:val="24"/>
        </w:rPr>
        <w:t>Human monocyte-derived DCs (2.5 × 10</w:t>
      </w:r>
      <w:r w:rsidRPr="005C2C3C">
        <w:rPr>
          <w:rFonts w:cs="Times New Roman"/>
          <w:szCs w:val="24"/>
          <w:vertAlign w:val="superscript"/>
        </w:rPr>
        <w:t>5</w:t>
      </w:r>
      <w:r w:rsidRPr="005C2C3C">
        <w:rPr>
          <w:rFonts w:cs="Times New Roman"/>
          <w:szCs w:val="24"/>
        </w:rPr>
        <w:t xml:space="preserve"> cells/ml) were stimulated with HP-β-CD (0 or 1 mg/ml) for 16 h. Then, the DCs (5 × 10</w:t>
      </w:r>
      <w:r w:rsidRPr="005C2C3C">
        <w:rPr>
          <w:rFonts w:cs="Times New Roman"/>
          <w:szCs w:val="24"/>
          <w:vertAlign w:val="superscript"/>
        </w:rPr>
        <w:t>4</w:t>
      </w:r>
      <w:r w:rsidRPr="005C2C3C">
        <w:rPr>
          <w:rFonts w:cs="Times New Roman"/>
          <w:szCs w:val="24"/>
        </w:rPr>
        <w:t xml:space="preserve"> cells) were co</w:t>
      </w:r>
      <w:r w:rsidR="00F40CAC" w:rsidRPr="005C2C3C">
        <w:rPr>
          <w:rFonts w:cs="Times New Roman"/>
          <w:szCs w:val="24"/>
        </w:rPr>
        <w:t>-</w:t>
      </w:r>
      <w:r w:rsidRPr="005C2C3C">
        <w:rPr>
          <w:rFonts w:cs="Times New Roman"/>
          <w:szCs w:val="24"/>
        </w:rPr>
        <w:t>cultured with CFSE-labeled autologous CD3</w:t>
      </w:r>
      <w:r w:rsidRPr="005C2C3C">
        <w:rPr>
          <w:rFonts w:cs="Times New Roman"/>
          <w:szCs w:val="24"/>
          <w:vertAlign w:val="superscript"/>
        </w:rPr>
        <w:t>+</w:t>
      </w:r>
      <w:r w:rsidRPr="005C2C3C">
        <w:rPr>
          <w:rFonts w:cs="Times New Roman"/>
          <w:szCs w:val="24"/>
        </w:rPr>
        <w:t xml:space="preserve"> T cells (5 × 10</w:t>
      </w:r>
      <w:r w:rsidRPr="005C2C3C">
        <w:rPr>
          <w:rFonts w:cs="Times New Roman"/>
          <w:szCs w:val="24"/>
          <w:vertAlign w:val="superscript"/>
        </w:rPr>
        <w:t>4</w:t>
      </w:r>
      <w:r w:rsidRPr="005C2C3C">
        <w:rPr>
          <w:rFonts w:cs="Times New Roman"/>
          <w:szCs w:val="24"/>
        </w:rPr>
        <w:t xml:space="preserve"> cells) for 4 days. </w:t>
      </w:r>
      <w:r w:rsidR="00D70E93" w:rsidRPr="005C2C3C">
        <w:rPr>
          <w:rFonts w:cs="Times New Roman"/>
          <w:szCs w:val="24"/>
        </w:rPr>
        <w:t>In a separate experiment, t</w:t>
      </w:r>
      <w:r w:rsidRPr="005C2C3C">
        <w:rPr>
          <w:rFonts w:cs="Times New Roman"/>
          <w:szCs w:val="24"/>
        </w:rPr>
        <w:t>he</w:t>
      </w:r>
      <w:r w:rsidR="00D849E5" w:rsidRPr="005C2C3C">
        <w:rPr>
          <w:rFonts w:cs="Times New Roman"/>
          <w:szCs w:val="24"/>
        </w:rPr>
        <w:t xml:space="preserve"> </w:t>
      </w:r>
      <w:bookmarkStart w:id="26" w:name="OLE_LINK98"/>
      <w:bookmarkStart w:id="27" w:name="OLE_LINK99"/>
      <w:bookmarkStart w:id="28" w:name="OLE_LINK100"/>
      <w:r w:rsidR="00D849E5" w:rsidRPr="005C2C3C">
        <w:rPr>
          <w:rFonts w:cs="Times New Roman"/>
          <w:szCs w:val="24"/>
        </w:rPr>
        <w:t>CD3</w:t>
      </w:r>
      <w:r w:rsidR="00D849E5" w:rsidRPr="005C2C3C">
        <w:rPr>
          <w:rFonts w:cs="Times New Roman"/>
          <w:szCs w:val="24"/>
          <w:vertAlign w:val="superscript"/>
        </w:rPr>
        <w:t>+</w:t>
      </w:r>
      <w:r w:rsidR="00D849E5" w:rsidRPr="005C2C3C">
        <w:rPr>
          <w:rFonts w:cs="Times New Roman"/>
          <w:szCs w:val="24"/>
        </w:rPr>
        <w:t xml:space="preserve"> T lymphocytes (2.5 × 10</w:t>
      </w:r>
      <w:r w:rsidR="00D849E5" w:rsidRPr="005C2C3C">
        <w:rPr>
          <w:rFonts w:cs="Times New Roman"/>
          <w:szCs w:val="24"/>
          <w:vertAlign w:val="superscript"/>
        </w:rPr>
        <w:t>5</w:t>
      </w:r>
      <w:r w:rsidR="00D849E5" w:rsidRPr="005C2C3C">
        <w:rPr>
          <w:rFonts w:cs="Times New Roman"/>
          <w:szCs w:val="24"/>
        </w:rPr>
        <w:t xml:space="preserve"> cells/ml) </w:t>
      </w:r>
      <w:bookmarkEnd w:id="26"/>
      <w:bookmarkEnd w:id="27"/>
      <w:bookmarkEnd w:id="28"/>
      <w:r w:rsidR="00D849E5" w:rsidRPr="005C2C3C">
        <w:rPr>
          <w:rFonts w:cs="Times New Roman"/>
          <w:szCs w:val="24"/>
        </w:rPr>
        <w:t>were stimulated with HP-β-CD (0.3 or 1 mg/ml)</w:t>
      </w:r>
      <w:r w:rsidRPr="005C2C3C">
        <w:rPr>
          <w:rFonts w:cs="Times New Roman"/>
          <w:szCs w:val="24"/>
        </w:rPr>
        <w:t xml:space="preserve"> in the absence of DCs</w:t>
      </w:r>
      <w:r w:rsidR="00D849E5" w:rsidRPr="005C2C3C">
        <w:rPr>
          <w:rFonts w:cs="Times New Roman"/>
          <w:szCs w:val="24"/>
        </w:rPr>
        <w:t xml:space="preserve"> for 4 days. (A) T</w:t>
      </w:r>
      <w:r w:rsidR="00F40CAC" w:rsidRPr="005C2C3C">
        <w:rPr>
          <w:rFonts w:cs="Times New Roman"/>
          <w:szCs w:val="24"/>
        </w:rPr>
        <w:t>he</w:t>
      </w:r>
      <w:r w:rsidR="00D849E5" w:rsidRPr="005C2C3C">
        <w:rPr>
          <w:rFonts w:cs="Times New Roman"/>
          <w:szCs w:val="24"/>
        </w:rPr>
        <w:t xml:space="preserve"> proliferation and CD25 expression </w:t>
      </w:r>
      <w:r w:rsidR="00F40CAC" w:rsidRPr="005C2C3C">
        <w:rPr>
          <w:rFonts w:cs="Times New Roman"/>
          <w:szCs w:val="24"/>
        </w:rPr>
        <w:t xml:space="preserve">of T lymphocyte </w:t>
      </w:r>
      <w:r w:rsidR="00D849E5" w:rsidRPr="005C2C3C">
        <w:rPr>
          <w:rFonts w:cs="Times New Roman"/>
          <w:szCs w:val="24"/>
        </w:rPr>
        <w:t xml:space="preserve">were analyzed by flow cytometry. </w:t>
      </w:r>
      <w:r w:rsidRPr="005C2C3C">
        <w:rPr>
          <w:rFonts w:cs="Times New Roman"/>
          <w:szCs w:val="24"/>
        </w:rPr>
        <w:t xml:space="preserve">The numbers on the histograms indicate the percentages of T lymphocytes in each quadrant. (B) </w:t>
      </w:r>
      <w:r w:rsidR="00D849E5" w:rsidRPr="005C2C3C">
        <w:rPr>
          <w:rFonts w:cs="Times New Roman"/>
          <w:szCs w:val="24"/>
        </w:rPr>
        <w:t>The</w:t>
      </w:r>
      <w:r w:rsidR="00F40CAC" w:rsidRPr="005C2C3C">
        <w:rPr>
          <w:rFonts w:cs="Times New Roman"/>
          <w:szCs w:val="24"/>
        </w:rPr>
        <w:t xml:space="preserve"> bar graph</w:t>
      </w:r>
      <w:r w:rsidR="00D849E5" w:rsidRPr="005C2C3C">
        <w:rPr>
          <w:rFonts w:cs="Times New Roman"/>
          <w:szCs w:val="24"/>
        </w:rPr>
        <w:t xml:space="preserve"> displays the average of triplicate measurements for the proliferation of CD25</w:t>
      </w:r>
      <w:r w:rsidR="00D849E5" w:rsidRPr="005C2C3C">
        <w:rPr>
          <w:rFonts w:cs="Times New Roman"/>
          <w:szCs w:val="24"/>
          <w:vertAlign w:val="superscript"/>
        </w:rPr>
        <w:t>+</w:t>
      </w:r>
      <w:r w:rsidR="00D849E5" w:rsidRPr="005C2C3C">
        <w:rPr>
          <w:rFonts w:cs="Times New Roman"/>
          <w:szCs w:val="24"/>
        </w:rPr>
        <w:t xml:space="preserve"> T lymphocytes. </w:t>
      </w:r>
      <w:r w:rsidR="00222BB7" w:rsidRPr="005C2C3C">
        <w:rPr>
          <w:rFonts w:cs="Times New Roman"/>
          <w:szCs w:val="24"/>
        </w:rPr>
        <w:t xml:space="preserve">Statistical significance was analyzed by Student’s </w:t>
      </w:r>
      <w:r w:rsidR="00222BB7" w:rsidRPr="005C2C3C">
        <w:rPr>
          <w:rFonts w:cs="Times New Roman"/>
          <w:i/>
          <w:szCs w:val="24"/>
        </w:rPr>
        <w:t>t</w:t>
      </w:r>
      <w:r w:rsidR="00222BB7" w:rsidRPr="005C2C3C">
        <w:rPr>
          <w:rFonts w:cs="Times New Roman"/>
          <w:szCs w:val="24"/>
        </w:rPr>
        <w:t xml:space="preserve">-test. </w:t>
      </w:r>
      <w:r w:rsidR="00FD68BB" w:rsidRPr="005C2C3C">
        <w:rPr>
          <w:rFonts w:cs="Times New Roman"/>
          <w:szCs w:val="24"/>
        </w:rPr>
        <w:t xml:space="preserve">N.S., not significant; </w:t>
      </w:r>
      <w:r w:rsidRPr="005C2C3C">
        <w:rPr>
          <w:rFonts w:cs="Times New Roman"/>
          <w:szCs w:val="24"/>
        </w:rPr>
        <w:t xml:space="preserve">*, </w:t>
      </w:r>
      <w:r w:rsidRPr="005C2C3C">
        <w:rPr>
          <w:rFonts w:cs="Times New Roman"/>
          <w:i/>
          <w:iCs/>
          <w:szCs w:val="24"/>
        </w:rPr>
        <w:t>P</w:t>
      </w:r>
      <w:r w:rsidRPr="005C2C3C">
        <w:rPr>
          <w:rFonts w:cs="Times New Roman"/>
          <w:szCs w:val="24"/>
        </w:rPr>
        <w:t xml:space="preserve"> &lt; 0.05. Unstim.-DC indicates T lymphocytes cocultured with unstimulated DCs.</w:t>
      </w:r>
    </w:p>
    <w:bookmarkEnd w:id="21"/>
    <w:bookmarkEnd w:id="22"/>
    <w:bookmarkEnd w:id="23"/>
    <w:bookmarkEnd w:id="24"/>
    <w:p w:rsidR="0069622A" w:rsidRDefault="0069622A" w:rsidP="000D58BA">
      <w:pPr>
        <w:spacing w:before="240"/>
        <w:jc w:val="both"/>
      </w:pPr>
    </w:p>
    <w:p w:rsidR="0069622A" w:rsidRDefault="0069622A" w:rsidP="000D58BA">
      <w:pPr>
        <w:spacing w:before="240"/>
        <w:jc w:val="both"/>
      </w:pPr>
    </w:p>
    <w:p w:rsidR="0069622A" w:rsidRDefault="0069622A" w:rsidP="000D58BA">
      <w:pPr>
        <w:spacing w:before="240"/>
        <w:jc w:val="both"/>
      </w:pPr>
    </w:p>
    <w:p w:rsidR="0069622A" w:rsidRDefault="0069622A" w:rsidP="000D58BA">
      <w:pPr>
        <w:spacing w:before="240"/>
        <w:jc w:val="both"/>
      </w:pPr>
    </w:p>
    <w:p w:rsidR="00F80959" w:rsidRDefault="00F80959" w:rsidP="000D58BA">
      <w:pPr>
        <w:spacing w:before="240"/>
        <w:jc w:val="both"/>
      </w:pPr>
    </w:p>
    <w:p w:rsidR="00D849E5" w:rsidRDefault="00D849E5" w:rsidP="000D58BA">
      <w:pPr>
        <w:spacing w:before="240"/>
        <w:jc w:val="both"/>
      </w:pPr>
    </w:p>
    <w:p w:rsidR="00D849E5" w:rsidRDefault="00D849E5" w:rsidP="000D58BA">
      <w:pPr>
        <w:spacing w:before="240"/>
        <w:jc w:val="both"/>
      </w:pPr>
    </w:p>
    <w:p w:rsidR="00D849E5" w:rsidRDefault="00D849E5" w:rsidP="000D58BA">
      <w:pPr>
        <w:spacing w:before="240"/>
        <w:jc w:val="both"/>
      </w:pPr>
    </w:p>
    <w:p w:rsidR="00D849E5" w:rsidRDefault="00D849E5" w:rsidP="000D58BA">
      <w:pPr>
        <w:spacing w:before="240"/>
        <w:jc w:val="both"/>
      </w:pPr>
    </w:p>
    <w:p w:rsidR="00D849E5" w:rsidRDefault="00D849E5" w:rsidP="000D58BA">
      <w:pPr>
        <w:spacing w:before="240"/>
        <w:jc w:val="both"/>
      </w:pPr>
    </w:p>
    <w:p w:rsidR="00D849E5" w:rsidRDefault="00D849E5" w:rsidP="000D58BA">
      <w:pPr>
        <w:spacing w:before="240"/>
        <w:jc w:val="both"/>
      </w:pPr>
    </w:p>
    <w:p w:rsidR="00F80959" w:rsidRDefault="00F80959" w:rsidP="000D58BA">
      <w:pPr>
        <w:spacing w:before="240"/>
        <w:jc w:val="both"/>
      </w:pPr>
    </w:p>
    <w:p w:rsidR="00F80959" w:rsidRDefault="00F80959" w:rsidP="000D58BA">
      <w:pPr>
        <w:keepNext/>
        <w:spacing w:before="240"/>
        <w:jc w:val="both"/>
      </w:pPr>
      <w:r>
        <w:rPr>
          <w:noProof/>
          <w:lang w:val="en-GB" w:eastAsia="en-GB" w:bidi="bn-IN"/>
        </w:rPr>
        <w:drawing>
          <wp:inline distT="0" distB="0" distL="0" distR="0" wp14:anchorId="1B01381F" wp14:editId="18D2C2A6">
            <wp:extent cx="5072332" cy="1987093"/>
            <wp:effectExtent l="0" t="0" r="0"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2919" cy="1987323"/>
                    </a:xfrm>
                    <a:prstGeom prst="rect">
                      <a:avLst/>
                    </a:prstGeom>
                    <a:noFill/>
                  </pic:spPr>
                </pic:pic>
              </a:graphicData>
            </a:graphic>
          </wp:inline>
        </w:drawing>
      </w:r>
    </w:p>
    <w:p w:rsidR="00F80959" w:rsidRPr="00692ACF" w:rsidRDefault="00F80959" w:rsidP="000D58BA">
      <w:pPr>
        <w:spacing w:after="0"/>
        <w:contextualSpacing/>
        <w:jc w:val="both"/>
        <w:rPr>
          <w:rFonts w:cs="Times New Roman"/>
          <w:b/>
          <w:szCs w:val="24"/>
        </w:rPr>
      </w:pPr>
      <w:bookmarkStart w:id="29" w:name="OLE_LINK65"/>
      <w:bookmarkStart w:id="30" w:name="OLE_LINK66"/>
      <w:r w:rsidRPr="0001436A">
        <w:rPr>
          <w:rFonts w:cs="Times New Roman"/>
          <w:b/>
          <w:szCs w:val="24"/>
        </w:rPr>
        <w:t xml:space="preserve">Supplementary Figure </w:t>
      </w:r>
      <w:r w:rsidR="0069622A">
        <w:rPr>
          <w:rFonts w:cs="Times New Roman"/>
          <w:b/>
          <w:szCs w:val="24"/>
        </w:rPr>
        <w:t>3</w:t>
      </w:r>
      <w:r w:rsidRPr="0001436A">
        <w:rPr>
          <w:rFonts w:cs="Times New Roman"/>
          <w:b/>
          <w:szCs w:val="24"/>
        </w:rPr>
        <w:t>.</w:t>
      </w:r>
      <w:r w:rsidRPr="001549D3">
        <w:rPr>
          <w:rFonts w:cs="Times New Roman"/>
          <w:szCs w:val="24"/>
        </w:rPr>
        <w:t xml:space="preserve"> </w:t>
      </w:r>
      <w:r w:rsidRPr="00692ACF">
        <w:rPr>
          <w:rFonts w:cs="Times New Roman"/>
          <w:b/>
          <w:szCs w:val="24"/>
        </w:rPr>
        <w:t xml:space="preserve">HP-β-CD </w:t>
      </w:r>
      <w:r w:rsidRPr="00692ACF">
        <w:rPr>
          <w:rFonts w:cs="Times New Roman" w:hint="eastAsia"/>
          <w:b/>
          <w:szCs w:val="24"/>
        </w:rPr>
        <w:t>potentiates</w:t>
      </w:r>
      <w:r w:rsidRPr="00692ACF">
        <w:rPr>
          <w:rFonts w:cs="Times New Roman"/>
          <w:b/>
          <w:szCs w:val="24"/>
        </w:rPr>
        <w:t xml:space="preserve"> humoral immune responses to coadministered OVA antigens. </w:t>
      </w:r>
    </w:p>
    <w:p w:rsidR="00F80959" w:rsidRPr="00BB36B4" w:rsidRDefault="00F80959" w:rsidP="000D58BA">
      <w:pPr>
        <w:spacing w:after="0"/>
        <w:contextualSpacing/>
        <w:jc w:val="both"/>
        <w:rPr>
          <w:rFonts w:cs="Times New Roman"/>
          <w:b/>
          <w:szCs w:val="24"/>
        </w:rPr>
      </w:pPr>
      <w:r w:rsidRPr="00692ACF">
        <w:rPr>
          <w:rFonts w:cs="Times New Roman"/>
          <w:szCs w:val="24"/>
        </w:rPr>
        <w:t xml:space="preserve">C57BL/6 mice were immunized with 20 μg OVA </w:t>
      </w:r>
      <w:r w:rsidRPr="00692ACF">
        <w:rPr>
          <w:rFonts w:cs="Times New Roman" w:hint="eastAsia"/>
          <w:szCs w:val="24"/>
        </w:rPr>
        <w:t xml:space="preserve">in </w:t>
      </w:r>
      <w:r w:rsidRPr="00692ACF">
        <w:rPr>
          <w:rFonts w:cs="Times New Roman"/>
          <w:szCs w:val="24"/>
        </w:rPr>
        <w:t>the presence or absence of 3 mg HP-β-CD through a hind footpad. Seven days after the</w:t>
      </w:r>
      <w:r w:rsidRPr="00692ACF">
        <w:rPr>
          <w:rFonts w:cs="Times New Roman" w:hint="eastAsia"/>
          <w:szCs w:val="24"/>
        </w:rPr>
        <w:t xml:space="preserve"> </w:t>
      </w:r>
      <w:r w:rsidRPr="00692ACF">
        <w:rPr>
          <w:rFonts w:cs="Times New Roman"/>
          <w:szCs w:val="24"/>
        </w:rPr>
        <w:t xml:space="preserve">immunization, </w:t>
      </w:r>
      <w:r w:rsidRPr="00692ACF">
        <w:rPr>
          <w:rFonts w:cs="Times New Roman" w:hint="eastAsia"/>
          <w:szCs w:val="24"/>
        </w:rPr>
        <w:t>t</w:t>
      </w:r>
      <w:r w:rsidRPr="00692ACF">
        <w:rPr>
          <w:rFonts w:cs="Times New Roman"/>
          <w:szCs w:val="24"/>
        </w:rPr>
        <w:t xml:space="preserve">iters of OVA-specific (A) total IgG or (B) IgG1 were measured in the blood by ELISA. *, </w:t>
      </w:r>
      <w:r w:rsidRPr="00692ACF">
        <w:rPr>
          <w:rFonts w:cs="Times New Roman"/>
          <w:i/>
          <w:iCs/>
          <w:szCs w:val="24"/>
        </w:rPr>
        <w:t>P</w:t>
      </w:r>
      <w:r w:rsidRPr="00692ACF">
        <w:rPr>
          <w:rFonts w:cs="Times New Roman"/>
          <w:szCs w:val="24"/>
        </w:rPr>
        <w:t xml:space="preserve"> &lt; 0.05. The result shown is a representative of four similar experiments.</w:t>
      </w:r>
      <w:bookmarkEnd w:id="29"/>
      <w:bookmarkEnd w:id="30"/>
    </w:p>
    <w:sectPr w:rsidR="00F80959" w:rsidRPr="00BB36B4"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C6" w:rsidRDefault="00D40CC6" w:rsidP="00117666">
      <w:pPr>
        <w:spacing w:after="0"/>
      </w:pPr>
      <w:r>
        <w:separator/>
      </w:r>
    </w:p>
  </w:endnote>
  <w:endnote w:type="continuationSeparator" w:id="0">
    <w:p w:rsidR="00D40CC6" w:rsidRDefault="00D40CC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rinda">
    <w:altName w:val="Cambria"/>
    <w:panose1 w:val="00000400000000000000"/>
    <w:charset w:val="01"/>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roman"/>
    <w:pitch w:val="fixed"/>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6A" w:rsidRPr="00577C4C" w:rsidRDefault="00C52A7B">
    <w:pPr>
      <w:rPr>
        <w:color w:val="C00000"/>
        <w:szCs w:val="24"/>
      </w:rPr>
    </w:pPr>
    <w:r>
      <w:rPr>
        <w:noProof/>
        <w:lang w:val="en-GB" w:eastAsia="en-GB" w:bidi="bn-IN"/>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2C3C">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2C3C">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6A" w:rsidRPr="00577C4C" w:rsidRDefault="00C52A7B">
    <w:pPr>
      <w:rPr>
        <w:b/>
        <w:sz w:val="20"/>
        <w:szCs w:val="24"/>
      </w:rPr>
    </w:pPr>
    <w:r>
      <w:rPr>
        <w:noProof/>
        <w:lang w:val="en-GB" w:eastAsia="en-GB" w:bidi="bn-IN"/>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2C3C">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C2C3C">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C6" w:rsidRDefault="00D40CC6" w:rsidP="00117666">
      <w:pPr>
        <w:spacing w:after="0"/>
      </w:pPr>
      <w:r>
        <w:separator/>
      </w:r>
    </w:p>
  </w:footnote>
  <w:footnote w:type="continuationSeparator" w:id="0">
    <w:p w:rsidR="00D40CC6" w:rsidRDefault="00D40CC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6A" w:rsidRDefault="0093429D" w:rsidP="0093429D">
    <w:r w:rsidRPr="005A1D84">
      <w:rPr>
        <w:b/>
        <w:noProof/>
        <w:color w:val="A6A6A6" w:themeColor="background1" w:themeShade="A6"/>
        <w:lang w:val="en-GB" w:eastAsia="en-GB" w:bidi="bn-IN"/>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1"/>
    <w:rsid w:val="0001436A"/>
    <w:rsid w:val="00034304"/>
    <w:rsid w:val="00035434"/>
    <w:rsid w:val="00042E1C"/>
    <w:rsid w:val="00052A14"/>
    <w:rsid w:val="00077D53"/>
    <w:rsid w:val="000B4460"/>
    <w:rsid w:val="000D58BA"/>
    <w:rsid w:val="000E4914"/>
    <w:rsid w:val="00105FD9"/>
    <w:rsid w:val="00117666"/>
    <w:rsid w:val="001549D3"/>
    <w:rsid w:val="00160065"/>
    <w:rsid w:val="001738A6"/>
    <w:rsid w:val="00177D84"/>
    <w:rsid w:val="001C6941"/>
    <w:rsid w:val="00200156"/>
    <w:rsid w:val="00214F18"/>
    <w:rsid w:val="00217B1D"/>
    <w:rsid w:val="00222BB7"/>
    <w:rsid w:val="002242BA"/>
    <w:rsid w:val="00267D18"/>
    <w:rsid w:val="002868E2"/>
    <w:rsid w:val="002869C3"/>
    <w:rsid w:val="002936E4"/>
    <w:rsid w:val="002B4A57"/>
    <w:rsid w:val="002C74CA"/>
    <w:rsid w:val="003544FB"/>
    <w:rsid w:val="003D2F2D"/>
    <w:rsid w:val="003F7FD3"/>
    <w:rsid w:val="00401590"/>
    <w:rsid w:val="00447801"/>
    <w:rsid w:val="00452E9C"/>
    <w:rsid w:val="004735C8"/>
    <w:rsid w:val="004961FF"/>
    <w:rsid w:val="004B3DED"/>
    <w:rsid w:val="004E6D07"/>
    <w:rsid w:val="00517A89"/>
    <w:rsid w:val="005250F2"/>
    <w:rsid w:val="00593EEA"/>
    <w:rsid w:val="005A5EEE"/>
    <w:rsid w:val="005B242C"/>
    <w:rsid w:val="005C2C3C"/>
    <w:rsid w:val="006134CE"/>
    <w:rsid w:val="006375C7"/>
    <w:rsid w:val="00654092"/>
    <w:rsid w:val="00654E8F"/>
    <w:rsid w:val="00660D05"/>
    <w:rsid w:val="006820B1"/>
    <w:rsid w:val="0069622A"/>
    <w:rsid w:val="006B7D14"/>
    <w:rsid w:val="00701727"/>
    <w:rsid w:val="0070566C"/>
    <w:rsid w:val="00714C50"/>
    <w:rsid w:val="00725A7D"/>
    <w:rsid w:val="007501BE"/>
    <w:rsid w:val="00790BB3"/>
    <w:rsid w:val="007C206C"/>
    <w:rsid w:val="00817DD6"/>
    <w:rsid w:val="00885156"/>
    <w:rsid w:val="008871CC"/>
    <w:rsid w:val="008E08AF"/>
    <w:rsid w:val="009151AA"/>
    <w:rsid w:val="0093429D"/>
    <w:rsid w:val="00943573"/>
    <w:rsid w:val="00970F7D"/>
    <w:rsid w:val="00971C04"/>
    <w:rsid w:val="00994A3D"/>
    <w:rsid w:val="009C1189"/>
    <w:rsid w:val="009C2B12"/>
    <w:rsid w:val="00A174D9"/>
    <w:rsid w:val="00AB6715"/>
    <w:rsid w:val="00B1671E"/>
    <w:rsid w:val="00B25EB8"/>
    <w:rsid w:val="00B37F4D"/>
    <w:rsid w:val="00BB36B4"/>
    <w:rsid w:val="00BE05CD"/>
    <w:rsid w:val="00C52A7B"/>
    <w:rsid w:val="00C56BAF"/>
    <w:rsid w:val="00C679AA"/>
    <w:rsid w:val="00C75972"/>
    <w:rsid w:val="00C830F5"/>
    <w:rsid w:val="00CA00D3"/>
    <w:rsid w:val="00CD066B"/>
    <w:rsid w:val="00CE4FEE"/>
    <w:rsid w:val="00D40CC6"/>
    <w:rsid w:val="00D65670"/>
    <w:rsid w:val="00D70E93"/>
    <w:rsid w:val="00D72B51"/>
    <w:rsid w:val="00D849E5"/>
    <w:rsid w:val="00DB59C3"/>
    <w:rsid w:val="00DC259A"/>
    <w:rsid w:val="00DC39B8"/>
    <w:rsid w:val="00DD5725"/>
    <w:rsid w:val="00DE23E8"/>
    <w:rsid w:val="00E500A4"/>
    <w:rsid w:val="00E52377"/>
    <w:rsid w:val="00E64E17"/>
    <w:rsid w:val="00E866C9"/>
    <w:rsid w:val="00EA3D3C"/>
    <w:rsid w:val="00EB3A4C"/>
    <w:rsid w:val="00F07A79"/>
    <w:rsid w:val="00F40CAC"/>
    <w:rsid w:val="00F46900"/>
    <w:rsid w:val="00F61D89"/>
    <w:rsid w:val="00F80959"/>
    <w:rsid w:val="00FB516B"/>
    <w:rsid w:val="00FD68BB"/>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EA673-F419-496A-900E-5ED62C89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30F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han-mi@snu.ac.k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5b10%5d%20HP-beta-CD\%5b6%5d%20PAPER\Submission\%5b5%5d%20Frontiers%20in%20Immunology\Supplementary_Material_SKKIM_to%20Frontiers%20in%20Immunolog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geName xmlns="264b75e8-4cea-4aca-92d2-fe78d4dbc99d">Accepted</StageName>
    <IsDeleted xmlns="264b75e8-4cea-4aca-92d2-fe78d4dbc99d">false</IsDeleted>
    <DocumentType xmlns="264b75e8-4cea-4aca-92d2-fe78d4dbc99d">Data Sheet</DocumentType>
    <FileFormat xmlns="264b75e8-4cea-4aca-92d2-fe78d4dbc99d">DOCX</FileFormat>
    <DocumentId xmlns="264b75e8-4cea-4aca-92d2-fe78d4dbc99d">Data Sheet 1.docx</DocumentId>
    <Checked_x0020_Out_x0020_To xmlns="264b75e8-4cea-4aca-92d2-fe78d4dbc99d">
      <UserInfo>
        <DisplayName/>
        <AccountId xsi:nil="true"/>
        <AccountType/>
      </UserInfo>
    </Checked_x0020_Out_x0020_To>
    <TitleName xmlns="264b75e8-4cea-4aca-92d2-fe78d4dbc99d">Data Sheet 1.docx</Tit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36DC05C6A1A459D0045F3A5BFA455" ma:contentTypeVersion="7" ma:contentTypeDescription="Create a new document." ma:contentTypeScope="" ma:versionID="79e4b1e9ad6462c332b2a675b59e1bfa">
  <xsd:schema xmlns:xsd="http://www.w3.org/2001/XMLSchema" xmlns:p="http://schemas.microsoft.com/office/2006/metadata/properties" xmlns:ns2="264b75e8-4cea-4aca-92d2-fe78d4dbc99d" targetNamespace="http://schemas.microsoft.com/office/2006/metadata/properties" ma:root="true" ma:fieldsID="89d1ce14b63a5a1181b7cd68a8134d12" ns2:_="">
    <xsd:import namespace="264b75e8-4cea-4aca-92d2-fe78d4dbc99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64b75e8-4cea-4aca-92d2-fe78d4dbc99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2BEED6-BB57-4751-A375-A686C0AE7C59}"/>
</file>

<file path=customXml/itemProps2.xml><?xml version="1.0" encoding="utf-8"?>
<ds:datastoreItem xmlns:ds="http://schemas.openxmlformats.org/officeDocument/2006/customXml" ds:itemID="{731526AF-DE4A-4A5A-8F9D-F9C64F3B7107}"/>
</file>

<file path=customXml/itemProps3.xml><?xml version="1.0" encoding="utf-8"?>
<ds:datastoreItem xmlns:ds="http://schemas.openxmlformats.org/officeDocument/2006/customXml" ds:itemID="{A5484606-4FC9-4716-B231-8A4DA7D187C5}"/>
</file>

<file path=customXml/itemProps4.xml><?xml version="1.0" encoding="utf-8"?>
<ds:datastoreItem xmlns:ds="http://schemas.openxmlformats.org/officeDocument/2006/customXml" ds:itemID="{67475CCF-1513-497C-B816-F697DBD43CFE}"/>
</file>

<file path=docProps/app.xml><?xml version="1.0" encoding="utf-8"?>
<Properties xmlns="http://schemas.openxmlformats.org/officeDocument/2006/extended-properties" xmlns:vt="http://schemas.openxmlformats.org/officeDocument/2006/docPropsVTypes">
  <Template>Supplementary_Material_SKKIM_to Frontiers in Immunology.dotx</Template>
  <TotalTime>5</TotalTime>
  <Pages>6</Pages>
  <Words>852</Words>
  <Characters>4860</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 Kyung Kim</dc:creator>
  <cp:lastModifiedBy>Gonçalo Vargas</cp:lastModifiedBy>
  <cp:revision>5</cp:revision>
  <cp:lastPrinted>2016-08-06T07:19:00Z</cp:lastPrinted>
  <dcterms:created xsi:type="dcterms:W3CDTF">2016-09-21T02:29:00Z</dcterms:created>
  <dcterms:modified xsi:type="dcterms:W3CDTF">2016-10-04T10:38:00Z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0x0101005A036DC05C6A1A459D0045F3A5BFA455</vt:lpwstr>
  </property>
</Properties>
</file>